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06600" w14:textId="77777777" w:rsidR="00542FA1" w:rsidRDefault="00542FA1" w:rsidP="00DF2FD0">
      <w:pPr>
        <w:jc w:val="center"/>
        <w:rPr>
          <w:rFonts w:ascii="Times New Roman" w:hAnsi="Times New Roman" w:cs="Times New Roman"/>
          <w:b/>
          <w:u w:val="single"/>
        </w:rPr>
      </w:pPr>
    </w:p>
    <w:p w14:paraId="4204A08F" w14:textId="0190F3AA" w:rsidR="00DF2FD0" w:rsidRDefault="00DF2FD0" w:rsidP="00DF2FD0">
      <w:pPr>
        <w:jc w:val="center"/>
        <w:rPr>
          <w:rFonts w:ascii="Times New Roman" w:hAnsi="Times New Roman" w:cs="Times New Roman"/>
          <w:b/>
          <w:u w:val="single"/>
        </w:rPr>
      </w:pPr>
      <w:r>
        <w:rPr>
          <w:rFonts w:ascii="Times New Roman" w:hAnsi="Times New Roman" w:cs="Times New Roman"/>
          <w:b/>
          <w:u w:val="single"/>
        </w:rPr>
        <w:t>ACLU Bail Reform Project</w:t>
      </w:r>
    </w:p>
    <w:p w14:paraId="1CA5E423" w14:textId="77777777" w:rsidR="00DF2FD0" w:rsidRPr="00DF2FD0" w:rsidRDefault="00DF2FD0" w:rsidP="00DF2FD0">
      <w:pPr>
        <w:jc w:val="center"/>
        <w:rPr>
          <w:rFonts w:ascii="Times New Roman" w:hAnsi="Times New Roman" w:cs="Times New Roman"/>
          <w:b/>
          <w:u w:val="single"/>
        </w:rPr>
      </w:pPr>
    </w:p>
    <w:p w14:paraId="5D0AF63B" w14:textId="5B23653D" w:rsidR="006804FF" w:rsidRPr="00D349A0" w:rsidRDefault="006804FF" w:rsidP="004A4634">
      <w:pPr>
        <w:jc w:val="both"/>
        <w:rPr>
          <w:rFonts w:ascii="Times New Roman" w:hAnsi="Times New Roman" w:cs="Times New Roman"/>
        </w:rPr>
      </w:pPr>
      <w:r w:rsidRPr="00D349A0">
        <w:rPr>
          <w:rFonts w:ascii="Times New Roman" w:hAnsi="Times New Roman" w:cs="Times New Roman"/>
        </w:rPr>
        <w:t xml:space="preserve">Like many aspects of the criminal justice system, the current approach to money bail is extremely problematic from a policy perspective, a legal perspective, and a moral perspective. In 2013, there were 609,464 jail admissions in Georgia. During an inmate count on August 3, 2017, there were </w:t>
      </w:r>
      <w:r w:rsidRPr="00D349A0">
        <w:rPr>
          <w:rFonts w:ascii="Times New Roman" w:hAnsi="Times New Roman" w:cs="Times New Roman"/>
          <w:b/>
        </w:rPr>
        <w:t>25,022 people incarcerated statewide who are awaiting trial</w:t>
      </w:r>
      <w:r w:rsidRPr="00D349A0">
        <w:rPr>
          <w:rFonts w:ascii="Times New Roman" w:hAnsi="Times New Roman" w:cs="Times New Roman"/>
        </w:rPr>
        <w:t xml:space="preserve">, representing </w:t>
      </w:r>
      <w:r w:rsidRPr="00D349A0">
        <w:rPr>
          <w:rFonts w:ascii="Times New Roman" w:hAnsi="Times New Roman" w:cs="Times New Roman"/>
          <w:b/>
        </w:rPr>
        <w:t>65% of the total statewide jail population</w:t>
      </w:r>
      <w:r w:rsidRPr="00D349A0">
        <w:rPr>
          <w:rFonts w:ascii="Times New Roman" w:hAnsi="Times New Roman" w:cs="Times New Roman"/>
        </w:rPr>
        <w:t>. Many are stuck in jail because they can’t afford to pay money bail to secure their release. Pretrial incarceration may last days, months, or even years with devastating consequences</w:t>
      </w:r>
      <w:r w:rsidR="002A161D">
        <w:rPr>
          <w:rFonts w:ascii="Times New Roman" w:hAnsi="Times New Roman" w:cs="Times New Roman"/>
        </w:rPr>
        <w:t xml:space="preserve"> for people and their families.</w:t>
      </w:r>
    </w:p>
    <w:p w14:paraId="089514BF" w14:textId="77777777" w:rsidR="006804FF" w:rsidRPr="00D349A0" w:rsidRDefault="006804FF" w:rsidP="004A4634">
      <w:pPr>
        <w:jc w:val="both"/>
        <w:rPr>
          <w:rFonts w:ascii="Times New Roman" w:hAnsi="Times New Roman" w:cs="Times New Roman"/>
        </w:rPr>
      </w:pPr>
    </w:p>
    <w:p w14:paraId="447A16C5" w14:textId="5D28A8C7" w:rsidR="006804FF" w:rsidRDefault="006804FF" w:rsidP="004A4634">
      <w:pPr>
        <w:jc w:val="both"/>
        <w:rPr>
          <w:rFonts w:ascii="Times New Roman" w:hAnsi="Times New Roman" w:cs="Times New Roman"/>
        </w:rPr>
      </w:pPr>
      <w:r w:rsidRPr="00D349A0">
        <w:rPr>
          <w:rFonts w:ascii="Times New Roman" w:hAnsi="Times New Roman" w:cs="Times New Roman"/>
        </w:rPr>
        <w:t xml:space="preserve">After arrest, individuals who cannot afford bail face an impossible choice: sit in jail for days, months, or possibly years as their case moves through the system; or plead guilty and give up their rights. This choice is faced regardless of an individual’s guilt or innocence. This is why, controlling for all other factors, </w:t>
      </w:r>
      <w:r w:rsidRPr="00D349A0">
        <w:rPr>
          <w:rFonts w:ascii="Times New Roman" w:hAnsi="Times New Roman" w:cs="Times New Roman"/>
          <w:b/>
        </w:rPr>
        <w:t>being jailed pretrial due to unaffordable bail is the single greatest predictor of a conviction</w:t>
      </w:r>
      <w:r w:rsidRPr="00D349A0">
        <w:rPr>
          <w:rFonts w:ascii="Times New Roman" w:hAnsi="Times New Roman" w:cs="Times New Roman"/>
        </w:rPr>
        <w:t>. A study shows that the non-felony conviction rate jumps from 50% for people released pretrial to 92% for those jailed pretrial.</w:t>
      </w:r>
      <w:r w:rsidRPr="00D349A0">
        <w:rPr>
          <w:rStyle w:val="FootnoteReference"/>
          <w:rFonts w:ascii="Times New Roman" w:hAnsi="Times New Roman" w:cs="Times New Roman"/>
        </w:rPr>
        <w:footnoteReference w:id="1"/>
      </w:r>
      <w:r w:rsidRPr="00D349A0">
        <w:rPr>
          <w:rFonts w:ascii="Times New Roman" w:hAnsi="Times New Roman" w:cs="Times New Roman"/>
        </w:rPr>
        <w:t xml:space="preserve"> The system traps people of low- and moderate-income, tears families apart, leads to lost jobs, housing, and caregiver assistance, and hurts communities. Meanwhile, people who have money can make bail and get out. This is an unfair, discriminatory, and unconstitutional system.</w:t>
      </w:r>
    </w:p>
    <w:p w14:paraId="1AC85AC9" w14:textId="77777777" w:rsidR="006804FF" w:rsidRDefault="006804FF" w:rsidP="004A4634">
      <w:pPr>
        <w:jc w:val="both"/>
        <w:rPr>
          <w:rFonts w:ascii="Times New Roman" w:hAnsi="Times New Roman" w:cs="Times New Roman"/>
        </w:rPr>
      </w:pPr>
    </w:p>
    <w:p w14:paraId="134F94FC" w14:textId="77777777" w:rsidR="006804FF" w:rsidRDefault="006804FF" w:rsidP="004A4634">
      <w:pPr>
        <w:jc w:val="both"/>
        <w:rPr>
          <w:rFonts w:ascii="Times New Roman" w:hAnsi="Times New Roman" w:cs="Times New Roman"/>
        </w:rPr>
      </w:pPr>
      <w:r w:rsidRPr="004C69E3">
        <w:rPr>
          <w:rFonts w:ascii="Times New Roman" w:hAnsi="Times New Roman" w:cs="Times New Roman"/>
          <w:b/>
        </w:rPr>
        <w:t>The goal of the coding project</w:t>
      </w:r>
      <w:r>
        <w:rPr>
          <w:rFonts w:ascii="Times New Roman" w:hAnsi="Times New Roman" w:cs="Times New Roman"/>
        </w:rPr>
        <w:t xml:space="preserve"> is to understa</w:t>
      </w:r>
      <w:bookmarkStart w:id="0" w:name="_GoBack"/>
      <w:bookmarkEnd w:id="0"/>
      <w:r>
        <w:rPr>
          <w:rFonts w:ascii="Times New Roman" w:hAnsi="Times New Roman" w:cs="Times New Roman"/>
        </w:rPr>
        <w:t xml:space="preserve">nd who is in jail where and for how long. We have 15 priority areas around the state we would like to have a monthly breakdown of who is in jail by race, charge, severity (misdemeanor or felony), and length of time in jail. We will use this data to help advocate and push for </w:t>
      </w:r>
      <w:r w:rsidR="00784212">
        <w:rPr>
          <w:rFonts w:ascii="Times New Roman" w:hAnsi="Times New Roman" w:cs="Times New Roman"/>
        </w:rPr>
        <w:t>bail reform through community organizing and the legislature.</w:t>
      </w:r>
    </w:p>
    <w:p w14:paraId="6F13315B" w14:textId="77777777" w:rsidR="006804FF" w:rsidRDefault="006804FF" w:rsidP="006804FF">
      <w:pPr>
        <w:rPr>
          <w:rFonts w:ascii="Times New Roman" w:hAnsi="Times New Roman" w:cs="Times New Roman"/>
        </w:rPr>
      </w:pPr>
    </w:p>
    <w:p w14:paraId="4E595789" w14:textId="77777777" w:rsidR="006804FF" w:rsidRDefault="006804FF" w:rsidP="006804FF">
      <w:pPr>
        <w:rPr>
          <w:rFonts w:ascii="Times New Roman" w:hAnsi="Times New Roman" w:cs="Times New Roman"/>
        </w:rPr>
      </w:pPr>
      <w:r>
        <w:rPr>
          <w:rFonts w:ascii="Times New Roman" w:hAnsi="Times New Roman" w:cs="Times New Roman"/>
        </w:rPr>
        <w:t xml:space="preserve">The 15 priority areas are </w:t>
      </w:r>
    </w:p>
    <w:p w14:paraId="547FF6C3" w14:textId="77777777" w:rsidR="006804FF" w:rsidRDefault="006804FF" w:rsidP="00B5494D">
      <w:pPr>
        <w:pStyle w:val="ListParagraph"/>
        <w:numPr>
          <w:ilvl w:val="0"/>
          <w:numId w:val="1"/>
        </w:numPr>
        <w:rPr>
          <w:rFonts w:ascii="Times New Roman" w:hAnsi="Times New Roman" w:cs="Times New Roman"/>
        </w:rPr>
      </w:pPr>
      <w:r>
        <w:rPr>
          <w:rFonts w:ascii="Times New Roman" w:hAnsi="Times New Roman" w:cs="Times New Roman"/>
        </w:rPr>
        <w:t>Athens-Clarke</w:t>
      </w:r>
    </w:p>
    <w:p w14:paraId="4C2A886E" w14:textId="77777777" w:rsidR="006804FF" w:rsidRDefault="006804FF" w:rsidP="00B5494D">
      <w:pPr>
        <w:pStyle w:val="ListParagraph"/>
        <w:numPr>
          <w:ilvl w:val="0"/>
          <w:numId w:val="1"/>
        </w:numPr>
        <w:rPr>
          <w:rFonts w:ascii="Times New Roman" w:hAnsi="Times New Roman" w:cs="Times New Roman"/>
        </w:rPr>
      </w:pPr>
      <w:r>
        <w:rPr>
          <w:rFonts w:ascii="Times New Roman" w:hAnsi="Times New Roman" w:cs="Times New Roman"/>
        </w:rPr>
        <w:t>Bibb</w:t>
      </w:r>
    </w:p>
    <w:p w14:paraId="16C0CBE4" w14:textId="77777777" w:rsidR="006804FF" w:rsidRPr="00B5494D" w:rsidRDefault="006804FF" w:rsidP="00B5494D">
      <w:pPr>
        <w:pStyle w:val="ListParagraph"/>
        <w:numPr>
          <w:ilvl w:val="0"/>
          <w:numId w:val="1"/>
        </w:numPr>
        <w:rPr>
          <w:rFonts w:ascii="Times New Roman" w:hAnsi="Times New Roman" w:cs="Times New Roman"/>
        </w:rPr>
      </w:pPr>
      <w:r>
        <w:rPr>
          <w:rFonts w:ascii="Times New Roman" w:hAnsi="Times New Roman" w:cs="Times New Roman"/>
        </w:rPr>
        <w:t>Chatham</w:t>
      </w:r>
    </w:p>
    <w:p w14:paraId="7D5A9AD4" w14:textId="77777777" w:rsidR="006804FF" w:rsidRDefault="006804FF" w:rsidP="00B5494D">
      <w:pPr>
        <w:pStyle w:val="ListParagraph"/>
        <w:numPr>
          <w:ilvl w:val="0"/>
          <w:numId w:val="1"/>
        </w:numPr>
        <w:rPr>
          <w:rFonts w:ascii="Times New Roman" w:hAnsi="Times New Roman" w:cs="Times New Roman"/>
        </w:rPr>
      </w:pPr>
      <w:r>
        <w:rPr>
          <w:rFonts w:ascii="Times New Roman" w:hAnsi="Times New Roman" w:cs="Times New Roman"/>
        </w:rPr>
        <w:t>Cobb</w:t>
      </w:r>
    </w:p>
    <w:p w14:paraId="17F2AF47" w14:textId="77777777" w:rsidR="006804FF" w:rsidRPr="00B5494D" w:rsidRDefault="006804FF" w:rsidP="00B5494D">
      <w:pPr>
        <w:pStyle w:val="ListParagraph"/>
        <w:numPr>
          <w:ilvl w:val="0"/>
          <w:numId w:val="1"/>
        </w:numPr>
        <w:rPr>
          <w:rFonts w:ascii="Times New Roman" w:hAnsi="Times New Roman" w:cs="Times New Roman"/>
        </w:rPr>
      </w:pPr>
      <w:r>
        <w:rPr>
          <w:rFonts w:ascii="Times New Roman" w:hAnsi="Times New Roman" w:cs="Times New Roman"/>
        </w:rPr>
        <w:t xml:space="preserve">Columbia/Richmond </w:t>
      </w:r>
    </w:p>
    <w:p w14:paraId="543AFECC" w14:textId="77777777" w:rsidR="006804FF" w:rsidRDefault="006804FF" w:rsidP="00B5494D">
      <w:pPr>
        <w:pStyle w:val="ListParagraph"/>
        <w:numPr>
          <w:ilvl w:val="0"/>
          <w:numId w:val="1"/>
        </w:numPr>
        <w:rPr>
          <w:rFonts w:ascii="Times New Roman" w:hAnsi="Times New Roman" w:cs="Times New Roman"/>
        </w:rPr>
      </w:pPr>
      <w:r>
        <w:rPr>
          <w:rFonts w:ascii="Times New Roman" w:hAnsi="Times New Roman" w:cs="Times New Roman"/>
        </w:rPr>
        <w:t>Dekalb</w:t>
      </w:r>
    </w:p>
    <w:p w14:paraId="764DC74D" w14:textId="77777777" w:rsidR="006804FF" w:rsidRDefault="006804FF" w:rsidP="00B5494D">
      <w:pPr>
        <w:pStyle w:val="ListParagraph"/>
        <w:numPr>
          <w:ilvl w:val="0"/>
          <w:numId w:val="1"/>
        </w:numPr>
        <w:rPr>
          <w:rFonts w:ascii="Times New Roman" w:hAnsi="Times New Roman" w:cs="Times New Roman"/>
        </w:rPr>
      </w:pPr>
      <w:r>
        <w:rPr>
          <w:rFonts w:ascii="Times New Roman" w:hAnsi="Times New Roman" w:cs="Times New Roman"/>
        </w:rPr>
        <w:t>Dougherty</w:t>
      </w:r>
    </w:p>
    <w:p w14:paraId="20E3C418" w14:textId="77777777" w:rsidR="006804FF" w:rsidRDefault="006804FF" w:rsidP="00B5494D">
      <w:pPr>
        <w:pStyle w:val="ListParagraph"/>
        <w:numPr>
          <w:ilvl w:val="0"/>
          <w:numId w:val="1"/>
        </w:numPr>
        <w:rPr>
          <w:rFonts w:ascii="Times New Roman" w:hAnsi="Times New Roman" w:cs="Times New Roman"/>
        </w:rPr>
      </w:pPr>
      <w:r>
        <w:rPr>
          <w:rFonts w:ascii="Times New Roman" w:hAnsi="Times New Roman" w:cs="Times New Roman"/>
        </w:rPr>
        <w:t>Glynn</w:t>
      </w:r>
    </w:p>
    <w:p w14:paraId="5CE68E94" w14:textId="77777777" w:rsidR="006804FF" w:rsidRDefault="006804FF" w:rsidP="00B5494D">
      <w:pPr>
        <w:pStyle w:val="ListParagraph"/>
        <w:numPr>
          <w:ilvl w:val="0"/>
          <w:numId w:val="1"/>
        </w:numPr>
        <w:rPr>
          <w:rFonts w:ascii="Times New Roman" w:hAnsi="Times New Roman" w:cs="Times New Roman"/>
        </w:rPr>
      </w:pPr>
      <w:r>
        <w:rPr>
          <w:rFonts w:ascii="Times New Roman" w:hAnsi="Times New Roman" w:cs="Times New Roman"/>
        </w:rPr>
        <w:t>Gwinnett</w:t>
      </w:r>
    </w:p>
    <w:p w14:paraId="13F8B702" w14:textId="77777777" w:rsidR="006804FF" w:rsidRDefault="006804FF" w:rsidP="00B5494D">
      <w:pPr>
        <w:pStyle w:val="ListParagraph"/>
        <w:numPr>
          <w:ilvl w:val="0"/>
          <w:numId w:val="1"/>
        </w:numPr>
        <w:rPr>
          <w:rFonts w:ascii="Times New Roman" w:hAnsi="Times New Roman" w:cs="Times New Roman"/>
        </w:rPr>
      </w:pPr>
      <w:r>
        <w:rPr>
          <w:rFonts w:ascii="Times New Roman" w:hAnsi="Times New Roman" w:cs="Times New Roman"/>
        </w:rPr>
        <w:t>Hall</w:t>
      </w:r>
    </w:p>
    <w:p w14:paraId="47918924" w14:textId="77777777" w:rsidR="006804FF" w:rsidRDefault="006804FF" w:rsidP="00B5494D">
      <w:pPr>
        <w:pStyle w:val="ListParagraph"/>
        <w:numPr>
          <w:ilvl w:val="0"/>
          <w:numId w:val="1"/>
        </w:numPr>
        <w:rPr>
          <w:rFonts w:ascii="Times New Roman" w:hAnsi="Times New Roman" w:cs="Times New Roman"/>
        </w:rPr>
      </w:pPr>
      <w:r>
        <w:rPr>
          <w:rFonts w:ascii="Times New Roman" w:hAnsi="Times New Roman" w:cs="Times New Roman"/>
        </w:rPr>
        <w:t>Henry</w:t>
      </w:r>
    </w:p>
    <w:p w14:paraId="3546F382" w14:textId="77777777" w:rsidR="006804FF" w:rsidRDefault="006804FF" w:rsidP="00B5494D">
      <w:pPr>
        <w:pStyle w:val="ListParagraph"/>
        <w:numPr>
          <w:ilvl w:val="0"/>
          <w:numId w:val="1"/>
        </w:numPr>
        <w:rPr>
          <w:rFonts w:ascii="Times New Roman" w:hAnsi="Times New Roman" w:cs="Times New Roman"/>
        </w:rPr>
      </w:pPr>
      <w:r>
        <w:rPr>
          <w:rFonts w:ascii="Times New Roman" w:hAnsi="Times New Roman" w:cs="Times New Roman"/>
        </w:rPr>
        <w:t>Fulton</w:t>
      </w:r>
    </w:p>
    <w:p w14:paraId="7DF89C5D" w14:textId="77777777" w:rsidR="006804FF" w:rsidRDefault="006804FF" w:rsidP="00B5494D">
      <w:pPr>
        <w:pStyle w:val="ListParagraph"/>
        <w:numPr>
          <w:ilvl w:val="0"/>
          <w:numId w:val="1"/>
        </w:numPr>
        <w:rPr>
          <w:rFonts w:ascii="Times New Roman" w:hAnsi="Times New Roman" w:cs="Times New Roman"/>
        </w:rPr>
      </w:pPr>
      <w:r>
        <w:rPr>
          <w:rFonts w:ascii="Times New Roman" w:hAnsi="Times New Roman" w:cs="Times New Roman"/>
        </w:rPr>
        <w:t>Lowndes</w:t>
      </w:r>
    </w:p>
    <w:p w14:paraId="45938955" w14:textId="77777777" w:rsidR="006804FF" w:rsidRDefault="006804FF" w:rsidP="00B5494D">
      <w:pPr>
        <w:pStyle w:val="ListParagraph"/>
        <w:numPr>
          <w:ilvl w:val="0"/>
          <w:numId w:val="1"/>
        </w:numPr>
        <w:rPr>
          <w:rFonts w:ascii="Times New Roman" w:hAnsi="Times New Roman" w:cs="Times New Roman"/>
        </w:rPr>
      </w:pPr>
      <w:r>
        <w:rPr>
          <w:rFonts w:ascii="Times New Roman" w:hAnsi="Times New Roman" w:cs="Times New Roman"/>
        </w:rPr>
        <w:t>Muscogee</w:t>
      </w:r>
    </w:p>
    <w:p w14:paraId="012F907D" w14:textId="2FD4A1BD" w:rsidR="009C4838" w:rsidRPr="00DF2FD0" w:rsidRDefault="006804FF" w:rsidP="00DF2FD0">
      <w:pPr>
        <w:pStyle w:val="ListParagraph"/>
        <w:numPr>
          <w:ilvl w:val="0"/>
          <w:numId w:val="1"/>
        </w:numPr>
        <w:rPr>
          <w:rFonts w:ascii="Times New Roman" w:hAnsi="Times New Roman" w:cs="Times New Roman"/>
        </w:rPr>
      </w:pPr>
      <w:r>
        <w:rPr>
          <w:rFonts w:ascii="Times New Roman" w:hAnsi="Times New Roman" w:cs="Times New Roman"/>
        </w:rPr>
        <w:t>Whitfield</w:t>
      </w:r>
    </w:p>
    <w:sectPr w:rsidR="009C4838" w:rsidRPr="00DF2FD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6F751" w14:textId="77777777" w:rsidR="00D20CE4" w:rsidRDefault="00D20CE4" w:rsidP="006804FF">
      <w:r>
        <w:separator/>
      </w:r>
    </w:p>
  </w:endnote>
  <w:endnote w:type="continuationSeparator" w:id="0">
    <w:p w14:paraId="76997D08" w14:textId="77777777" w:rsidR="00D20CE4" w:rsidRDefault="00D20CE4" w:rsidP="00680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B3743" w14:textId="77777777" w:rsidR="00D20CE4" w:rsidRDefault="00D20CE4" w:rsidP="006804FF">
      <w:r>
        <w:separator/>
      </w:r>
    </w:p>
  </w:footnote>
  <w:footnote w:type="continuationSeparator" w:id="0">
    <w:p w14:paraId="2EC5EF4C" w14:textId="77777777" w:rsidR="00D20CE4" w:rsidRDefault="00D20CE4" w:rsidP="006804FF">
      <w:r>
        <w:continuationSeparator/>
      </w:r>
    </w:p>
  </w:footnote>
  <w:footnote w:id="1">
    <w:p w14:paraId="61BB2D71" w14:textId="77777777" w:rsidR="006804FF" w:rsidRDefault="006804FF" w:rsidP="006804FF">
      <w:pPr>
        <w:pStyle w:val="FootnoteText"/>
      </w:pPr>
      <w:r w:rsidRPr="00B5494D">
        <w:rPr>
          <w:rStyle w:val="FootnoteReference"/>
          <w:rFonts w:ascii="Times New Roman" w:hAnsi="Times New Roman" w:cs="Times New Roman"/>
          <w:sz w:val="20"/>
          <w:szCs w:val="20"/>
        </w:rPr>
        <w:footnoteRef/>
      </w:r>
      <w:r w:rsidRPr="00B5494D">
        <w:rPr>
          <w:rFonts w:ascii="Times New Roman" w:hAnsi="Times New Roman" w:cs="Times New Roman"/>
          <w:sz w:val="20"/>
          <w:szCs w:val="20"/>
        </w:rPr>
        <w:t xml:space="preserve"> </w:t>
      </w:r>
      <w:r w:rsidRPr="00B5494D">
        <w:rPr>
          <w:rFonts w:ascii="Times New Roman" w:hAnsi="Times New Roman" w:cs="Times New Roman"/>
          <w:i/>
          <w:iCs/>
          <w:sz w:val="20"/>
          <w:szCs w:val="20"/>
        </w:rPr>
        <w:t>See </w:t>
      </w:r>
      <w:r w:rsidRPr="00B5494D">
        <w:rPr>
          <w:rFonts w:ascii="Times New Roman" w:hAnsi="Times New Roman" w:cs="Times New Roman"/>
          <w:sz w:val="20"/>
          <w:szCs w:val="20"/>
        </w:rPr>
        <w:t>Christopher T. Lowenkamp, Marie VanNostrand &amp; Alexander Holsinger, </w:t>
      </w:r>
      <w:r w:rsidRPr="00B5494D">
        <w:rPr>
          <w:rFonts w:ascii="Times New Roman" w:hAnsi="Times New Roman" w:cs="Times New Roman"/>
          <w:i/>
          <w:iCs/>
          <w:sz w:val="20"/>
          <w:szCs w:val="20"/>
        </w:rPr>
        <w:t>Investigating the Impact of Pretrial Detention on Sentencing Outcomes</w:t>
      </w:r>
      <w:r w:rsidRPr="00B5494D">
        <w:rPr>
          <w:rFonts w:ascii="Times New Roman" w:hAnsi="Times New Roman" w:cs="Times New Roman"/>
          <w:sz w:val="20"/>
          <w:szCs w:val="20"/>
        </w:rPr>
        <w:t> 10–11 (2013); Mary T. Philips, New York City Crim. Justice Agency, Inc., </w:t>
      </w:r>
      <w:r w:rsidRPr="00B5494D">
        <w:rPr>
          <w:rFonts w:ascii="Times New Roman" w:hAnsi="Times New Roman" w:cs="Times New Roman"/>
          <w:i/>
          <w:iCs/>
          <w:sz w:val="20"/>
          <w:szCs w:val="20"/>
        </w:rPr>
        <w:t>Pretrial Detention and Case Outcomes, Part 1: Nonfelony Cases</w:t>
      </w:r>
      <w:r w:rsidRPr="00B5494D">
        <w:rPr>
          <w:rFonts w:ascii="Times New Roman" w:hAnsi="Times New Roman" w:cs="Times New Roman"/>
          <w:sz w:val="20"/>
          <w:szCs w:val="20"/>
        </w:rPr>
        <w:t> 25–29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73F45" w14:textId="77777777" w:rsidR="006804FF" w:rsidRDefault="006804FF" w:rsidP="00B5494D">
    <w:pPr>
      <w:pStyle w:val="Header"/>
      <w:jc w:val="center"/>
    </w:pPr>
    <w:r>
      <w:rPr>
        <w:noProof/>
      </w:rPr>
      <w:drawing>
        <wp:inline distT="0" distB="0" distL="0" distR="0" wp14:anchorId="7624D1EC" wp14:editId="736B3CEE">
          <wp:extent cx="1438275" cy="68078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c_alcu_g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7808" cy="6852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16C8A"/>
    <w:multiLevelType w:val="hybridMultilevel"/>
    <w:tmpl w:val="1234C03C"/>
    <w:lvl w:ilvl="0" w:tplc="0E1A60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4FF"/>
    <w:rsid w:val="00036AC2"/>
    <w:rsid w:val="002A161D"/>
    <w:rsid w:val="004A4634"/>
    <w:rsid w:val="004C69E3"/>
    <w:rsid w:val="00542FA1"/>
    <w:rsid w:val="00643F9C"/>
    <w:rsid w:val="006804FF"/>
    <w:rsid w:val="006B6209"/>
    <w:rsid w:val="00725B23"/>
    <w:rsid w:val="00784212"/>
    <w:rsid w:val="00B5494D"/>
    <w:rsid w:val="00D20CE4"/>
    <w:rsid w:val="00DE5495"/>
    <w:rsid w:val="00DF2FD0"/>
    <w:rsid w:val="00E9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36D00"/>
  <w15:chartTrackingRefBased/>
  <w15:docId w15:val="{D7380412-1C15-4D6D-94FF-BF2E474A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04F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804FF"/>
  </w:style>
  <w:style w:type="character" w:customStyle="1" w:styleId="FootnoteTextChar">
    <w:name w:val="Footnote Text Char"/>
    <w:basedOn w:val="DefaultParagraphFont"/>
    <w:link w:val="FootnoteText"/>
    <w:uiPriority w:val="99"/>
    <w:rsid w:val="006804FF"/>
    <w:rPr>
      <w:rFonts w:eastAsiaTheme="minorEastAsia"/>
      <w:sz w:val="24"/>
      <w:szCs w:val="24"/>
    </w:rPr>
  </w:style>
  <w:style w:type="character" w:styleId="FootnoteReference">
    <w:name w:val="footnote reference"/>
    <w:basedOn w:val="DefaultParagraphFont"/>
    <w:uiPriority w:val="99"/>
    <w:unhideWhenUsed/>
    <w:rsid w:val="006804FF"/>
    <w:rPr>
      <w:vertAlign w:val="superscript"/>
    </w:rPr>
  </w:style>
  <w:style w:type="character" w:styleId="CommentReference">
    <w:name w:val="annotation reference"/>
    <w:basedOn w:val="DefaultParagraphFont"/>
    <w:uiPriority w:val="99"/>
    <w:semiHidden/>
    <w:unhideWhenUsed/>
    <w:rsid w:val="006804FF"/>
    <w:rPr>
      <w:sz w:val="16"/>
      <w:szCs w:val="16"/>
    </w:rPr>
  </w:style>
  <w:style w:type="paragraph" w:styleId="CommentText">
    <w:name w:val="annotation text"/>
    <w:basedOn w:val="Normal"/>
    <w:link w:val="CommentTextChar"/>
    <w:uiPriority w:val="99"/>
    <w:semiHidden/>
    <w:unhideWhenUsed/>
    <w:rsid w:val="006804FF"/>
    <w:rPr>
      <w:sz w:val="20"/>
      <w:szCs w:val="20"/>
    </w:rPr>
  </w:style>
  <w:style w:type="character" w:customStyle="1" w:styleId="CommentTextChar">
    <w:name w:val="Comment Text Char"/>
    <w:basedOn w:val="DefaultParagraphFont"/>
    <w:link w:val="CommentText"/>
    <w:uiPriority w:val="99"/>
    <w:semiHidden/>
    <w:rsid w:val="006804FF"/>
    <w:rPr>
      <w:rFonts w:eastAsiaTheme="minorEastAsia"/>
      <w:sz w:val="20"/>
      <w:szCs w:val="20"/>
    </w:rPr>
  </w:style>
  <w:style w:type="paragraph" w:styleId="BalloonText">
    <w:name w:val="Balloon Text"/>
    <w:basedOn w:val="Normal"/>
    <w:link w:val="BalloonTextChar"/>
    <w:uiPriority w:val="99"/>
    <w:semiHidden/>
    <w:unhideWhenUsed/>
    <w:rsid w:val="006804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4FF"/>
    <w:rPr>
      <w:rFonts w:ascii="Segoe UI" w:eastAsiaTheme="minorEastAsia" w:hAnsi="Segoe UI" w:cs="Segoe UI"/>
      <w:sz w:val="18"/>
      <w:szCs w:val="18"/>
    </w:rPr>
  </w:style>
  <w:style w:type="paragraph" w:styleId="ListParagraph">
    <w:name w:val="List Paragraph"/>
    <w:basedOn w:val="Normal"/>
    <w:uiPriority w:val="34"/>
    <w:qFormat/>
    <w:rsid w:val="006804FF"/>
    <w:pPr>
      <w:ind w:left="720"/>
      <w:contextualSpacing/>
    </w:pPr>
  </w:style>
  <w:style w:type="paragraph" w:styleId="Header">
    <w:name w:val="header"/>
    <w:basedOn w:val="Normal"/>
    <w:link w:val="HeaderChar"/>
    <w:uiPriority w:val="99"/>
    <w:unhideWhenUsed/>
    <w:rsid w:val="006804FF"/>
    <w:pPr>
      <w:tabs>
        <w:tab w:val="center" w:pos="4680"/>
        <w:tab w:val="right" w:pos="9360"/>
      </w:tabs>
    </w:pPr>
  </w:style>
  <w:style w:type="character" w:customStyle="1" w:styleId="HeaderChar">
    <w:name w:val="Header Char"/>
    <w:basedOn w:val="DefaultParagraphFont"/>
    <w:link w:val="Header"/>
    <w:uiPriority w:val="99"/>
    <w:rsid w:val="006804FF"/>
    <w:rPr>
      <w:rFonts w:eastAsiaTheme="minorEastAsia"/>
      <w:sz w:val="24"/>
      <w:szCs w:val="24"/>
    </w:rPr>
  </w:style>
  <w:style w:type="paragraph" w:styleId="Footer">
    <w:name w:val="footer"/>
    <w:basedOn w:val="Normal"/>
    <w:link w:val="FooterChar"/>
    <w:uiPriority w:val="99"/>
    <w:unhideWhenUsed/>
    <w:rsid w:val="006804FF"/>
    <w:pPr>
      <w:tabs>
        <w:tab w:val="center" w:pos="4680"/>
        <w:tab w:val="right" w:pos="9360"/>
      </w:tabs>
    </w:pPr>
  </w:style>
  <w:style w:type="character" w:customStyle="1" w:styleId="FooterChar">
    <w:name w:val="Footer Char"/>
    <w:basedOn w:val="DefaultParagraphFont"/>
    <w:link w:val="Footer"/>
    <w:uiPriority w:val="99"/>
    <w:rsid w:val="006804FF"/>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Fallon Traylor</dc:creator>
  <cp:keywords/>
  <dc:description/>
  <cp:lastModifiedBy>Lukas</cp:lastModifiedBy>
  <cp:revision>9</cp:revision>
  <dcterms:created xsi:type="dcterms:W3CDTF">2017-09-16T20:50:00Z</dcterms:created>
  <dcterms:modified xsi:type="dcterms:W3CDTF">2017-09-16T21:35:00Z</dcterms:modified>
</cp:coreProperties>
</file>