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:rsidR="00B80B56" w:rsidRDefault="003D2E4B" w:rsidP="003D2E4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Ova akcija omogućava organizacijama učesnicama da steknu iskustvo u međunarodnoj saradnji i ojačaju svoju kapaciteta, ali i za proizvodnju visokokvalitetnih inovativnih proizvoda. U zavisnosti od ciljeva projekta, uključene organizacije ili očekivani uticaj, između ostalih elemenata, Partnerstva za saradnju mogu biti različitih veličina i obima, i prema tome prilagođavati svoje aktivnosti. Kvalitativna ocena ovih projekata će biti proporcionalan ciljevima saradnje i prirodi uključenih organizacija.</w:t>
      </w:r>
    </w:p>
    <w:p w:rsidR="003D2E4B" w:rsidRPr="003D2E4B" w:rsidRDefault="003D2E4B" w:rsidP="003D2E4B">
      <w:pPr>
        <w:jc w:val="both"/>
        <w:rPr>
          <w:rFonts w:ascii="Arial" w:hAnsi="Arial" w:cs="Arial"/>
          <w:sz w:val="28"/>
          <w:szCs w:val="28"/>
        </w:rPr>
      </w:pPr>
    </w:p>
    <w:p w:rsidR="003D2E4B" w:rsidRDefault="003D2E4B" w:rsidP="003D2E4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Tokom životnog veka projekta, organizacije obično mogu da sprovode širok spektar aktivnosti. Od tradicionalnih aktivnosti na kreativnije i inovativnije, organizacije imaju fleksibilnost da izaberu najbolju kombinaciju koja doprinosi postizanju ciljeva projekta u odnosu na njegov obim i srazmerno kapacitetima partnerstvo. Na primer:</w:t>
      </w:r>
    </w:p>
    <w:p w:rsidR="003D2E4B" w:rsidRDefault="003D2E4B" w:rsidP="003D2E4B">
      <w:pPr>
        <w:jc w:val="both"/>
        <w:rPr>
          <w:rFonts w:ascii="Arial" w:hAnsi="Arial" w:cs="Arial"/>
          <w:sz w:val="28"/>
          <w:szCs w:val="28"/>
        </w:rPr>
      </w:pPr>
    </w:p>
    <w:p w:rsidR="003D2E4B" w:rsidRDefault="003D2E4B" w:rsidP="003D2E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 xml:space="preserve">Upravljanje projektom: aktivnosti koje su neophodne da bi se obezbedilo adekvatno planiranje, implementacija i praćenje projekata, uključujući neometanu i efikasnu saradnju između projektnih partnera. U ovoj fazi aktivnosti obično uključuju organizacione i administrativne zadatke, virtuelne sastanke među partnerima, pripremu za komunikacioni materijali, priprema i praćenje učesnika koji učestvuju u aktivnostima itd. </w:t>
      </w:r>
    </w:p>
    <w:p w:rsidR="003D2E4B" w:rsidRPr="003D2E4B" w:rsidRDefault="003D2E4B" w:rsidP="003D2E4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3D2E4B" w:rsidRDefault="003D2E4B" w:rsidP="003D2E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Aktivnosti implementacije: mogu uključiti događaje umrežavanja, sastanke, radne sesije za razmenu praksi i razvijati rezultate. Ove aktivnosti takođe mogu uključivati učešće osoblja i učenika (pod uslovom da su njihovi učešće doprinosi postizanju ciljeva projekta).</w:t>
      </w:r>
    </w:p>
    <w:p w:rsidR="003D2E4B" w:rsidRPr="003D2E4B" w:rsidRDefault="003D2E4B" w:rsidP="003D2E4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3D2E4B" w:rsidRDefault="003D2E4B" w:rsidP="003D2E4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D2E4B">
        <w:rPr>
          <w:rFonts w:ascii="Arial" w:hAnsi="Arial" w:cs="Arial"/>
          <w:sz w:val="28"/>
          <w:szCs w:val="28"/>
        </w:rPr>
        <w:t>Aktivnosti razmene i promocije: organizacija konferencija, sesija, događaja sa ciljem razmene, objašnjavanja i promovisanje rezultata projekta, bilo da su u vidu opipljivih rezultata, zaključaka, dobrih praksi ili bilo koji drugi oblik.</w:t>
      </w:r>
    </w:p>
    <w:p w:rsidR="003D2E4B" w:rsidRPr="003D2E4B" w:rsidRDefault="003D2E4B" w:rsidP="003D2E4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lastRenderedPageBreak/>
        <w:t>Specifični ciljevi i rezultati:</w:t>
      </w:r>
    </w:p>
    <w:p w:rsidR="00B80B56" w:rsidRDefault="00B80B56" w:rsidP="00B80B56">
      <w:pPr>
        <w:jc w:val="both"/>
        <w:rPr>
          <w:rFonts w:cstheme="minorHAnsi"/>
          <w:b/>
          <w:bCs/>
          <w:sz w:val="36"/>
          <w:szCs w:val="36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Pr="00B80B56">
        <w:rPr>
          <w:rFonts w:ascii="Arial" w:hAnsi="Arial" w:cs="Arial"/>
          <w:sz w:val="28"/>
          <w:szCs w:val="28"/>
        </w:rPr>
        <w:t>Siguran sam, evo šest nezavisnih ciljeva koji bi mogli pomoći u postizanju glavnog cilja uključivanja univerziteta u program skloništa za životinje: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Pr="00412AAD" w:rsidRDefault="00412AAD" w:rsidP="00412AAD">
      <w:pPr>
        <w:jc w:val="both"/>
        <w:rPr>
          <w:rFonts w:ascii="Arial" w:hAnsi="Arial" w:cs="Arial"/>
          <w:sz w:val="28"/>
          <w:szCs w:val="28"/>
        </w:rPr>
      </w:pPr>
      <w:r w:rsidRPr="00412AAD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B80B56" w:rsidRPr="00412AAD">
        <w:rPr>
          <w:rFonts w:ascii="Arial" w:hAnsi="Arial" w:cs="Arial"/>
          <w:sz w:val="28"/>
          <w:szCs w:val="28"/>
        </w:rPr>
        <w:t>Podsticanje istraživanja dobrobiti životinja:</w:t>
      </w:r>
    </w:p>
    <w:p w:rsidR="00412AAD" w:rsidRDefault="00B80B56" w:rsidP="00412A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</w:t>
      </w:r>
      <w:r w:rsidR="00FE6A2E" w:rsidRPr="00FE6A2E">
        <w:rPr>
          <w:rFonts w:ascii="Arial" w:hAnsi="Arial" w:cs="Arial"/>
          <w:sz w:val="28"/>
          <w:szCs w:val="28"/>
          <w:u w:val="single"/>
        </w:rPr>
        <w:t>:</w:t>
      </w:r>
      <w:r w:rsidR="00FE6A2E"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povećanje znanja i razumevanja problema dobrobiti životinja, što bi moglo dovesti do poboljšanja operacija skloništa za životinje i politika dobrobiti životinja zasnovanih na dokazima.</w:t>
      </w:r>
    </w:p>
    <w:p w:rsidR="00412AAD" w:rsidRDefault="00412AAD" w:rsidP="00412AAD">
      <w:pPr>
        <w:jc w:val="both"/>
        <w:rPr>
          <w:rFonts w:ascii="Arial" w:hAnsi="Arial" w:cs="Arial"/>
          <w:sz w:val="28"/>
          <w:szCs w:val="28"/>
        </w:rPr>
      </w:pPr>
    </w:p>
    <w:p w:rsidR="00B80B56" w:rsidRPr="00412AAD" w:rsidRDefault="00412AAD" w:rsidP="00412AAD">
      <w:pPr>
        <w:jc w:val="both"/>
        <w:rPr>
          <w:rFonts w:ascii="Arial" w:hAnsi="Arial" w:cs="Arial"/>
          <w:sz w:val="28"/>
          <w:szCs w:val="28"/>
        </w:rPr>
      </w:pPr>
      <w:r w:rsidRPr="00412AAD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 </w:t>
      </w:r>
      <w:r w:rsidR="00B80B56" w:rsidRPr="00412AAD">
        <w:rPr>
          <w:rFonts w:ascii="Arial" w:hAnsi="Arial" w:cs="Arial"/>
          <w:sz w:val="28"/>
          <w:szCs w:val="28"/>
        </w:rPr>
        <w:t>Promocija obrazovanja o dobrobiti životinja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svesti i razumevanja pitanja dobrobiti životinja među studentima univerziteta, što bi moglo dovesti do povećanog volontiranja i zagovaranja za uzroke dobrobiti životinja.</w:t>
      </w:r>
    </w:p>
    <w:p w:rsidR="00FE6A2E" w:rsidRDefault="00FE6A2E" w:rsidP="00FE6A2E">
      <w:pPr>
        <w:pStyle w:val="ListParagraph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FE6A2E" w:rsidRDefault="00FE6A2E" w:rsidP="00FE6A2E">
      <w:pPr>
        <w:pStyle w:val="ListParagraph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3. Proširivanje programa skloništa za životinje</w:t>
      </w:r>
    </w:p>
    <w:p w:rsidR="00B80B56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razvoj novih programa koji bi mogli koristiti skloništima za životinje, poput kampanja marketinga i prikupljanja sredstava, inicijativa za angažovanje zajednice i klinika za zdravlje životinja.</w:t>
      </w:r>
    </w:p>
    <w:p w:rsidR="00FE6A2E" w:rsidRPr="00B80B56" w:rsidRDefault="00FE6A2E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4. Poboljšanje uključivanja volontera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povećanje volontiranja među studentima univerziteta, što bi moglo dovesti do većeg broja posvećenih i strastvenih volontera koji mogu pomoći u pitanjima dobrobiti životinja.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5. Povećanje stopa usvajanja životinja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broja usvojenih životinja iz skloništa za životinje, što bi moglo smanjiti stope eutanazije životinja i poboljšati ukupnu dobrobit životinja.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6. Povećanje svesti javnosti</w:t>
      </w:r>
    </w:p>
    <w:p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svesti javnosti o pitanjima dobrobiti životinja, što bi moglo dovesti do povećane podrške za uzroke dobrobiti životinja i poboljšanih politika dobrobiti životinja.</w:t>
      </w:r>
    </w:p>
    <w:p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:rsidR="00FE6A2E" w:rsidRPr="00FE6A2E" w:rsidRDefault="00FE6A2E" w:rsidP="00FE6A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E6A2E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:rsidR="00FE6A2E" w:rsidRDefault="00FE6A2E" w:rsidP="00FE6A2E"/>
    <w:p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EU budžet za period od 2021. do 2027. godine iznosi 1,074 biliona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direktne uplate i finansiranje ruralnog razvoja farmerima i ruralnim zajednicama. Za period od 2021. do 2027. godine, budžet ZPP-a iznosi 387 milijardi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 xml:space="preserve"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</w:t>
      </w:r>
      <w:r w:rsidRPr="005A4759">
        <w:rPr>
          <w:rFonts w:ascii="Arial" w:hAnsi="Arial" w:cs="Arial"/>
          <w:sz w:val="28"/>
          <w:szCs w:val="28"/>
        </w:rPr>
        <w:lastRenderedPageBreak/>
        <w:t>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strukovnog obrazovanja i osposobljavanja glavni ciljevi su: pripravnici I studenti u strukovnom obrazovanju, profesionalci i treneri u stručnom osposobljavanju, osoblje početnog strukovnog obrazovanja, obrazovne organizacije, treneri i profesionalci u poduzećima;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308 godina, omladinski radnici, osoblje i članovi organizacija aktivnih na polju mladih;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i tijekom trećeg ciklusa kao doktorski kandidat (doktorska razina ili EQF razina 8).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lastRenderedPageBreak/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382EE90"/>
    <w:lvl w:ilvl="0" w:tplc="B90EE5F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b w:val="0"/>
        <w:bCs w:val="0"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298" w:hanging="360"/>
      </w:pPr>
    </w:lvl>
    <w:lvl w:ilvl="2" w:tplc="241A001B" w:tentative="1">
      <w:start w:val="1"/>
      <w:numFmt w:val="lowerRoman"/>
      <w:lvlText w:val="%3."/>
      <w:lvlJc w:val="right"/>
      <w:pPr>
        <w:ind w:left="2018" w:hanging="180"/>
      </w:pPr>
    </w:lvl>
    <w:lvl w:ilvl="3" w:tplc="241A000F" w:tentative="1">
      <w:start w:val="1"/>
      <w:numFmt w:val="decimal"/>
      <w:lvlText w:val="%4."/>
      <w:lvlJc w:val="left"/>
      <w:pPr>
        <w:ind w:left="2738" w:hanging="360"/>
      </w:pPr>
    </w:lvl>
    <w:lvl w:ilvl="4" w:tplc="241A0019" w:tentative="1">
      <w:start w:val="1"/>
      <w:numFmt w:val="lowerLetter"/>
      <w:lvlText w:val="%5."/>
      <w:lvlJc w:val="left"/>
      <w:pPr>
        <w:ind w:left="3458" w:hanging="360"/>
      </w:pPr>
    </w:lvl>
    <w:lvl w:ilvl="5" w:tplc="241A001B" w:tentative="1">
      <w:start w:val="1"/>
      <w:numFmt w:val="lowerRoman"/>
      <w:lvlText w:val="%6."/>
      <w:lvlJc w:val="right"/>
      <w:pPr>
        <w:ind w:left="4178" w:hanging="180"/>
      </w:pPr>
    </w:lvl>
    <w:lvl w:ilvl="6" w:tplc="241A000F" w:tentative="1">
      <w:start w:val="1"/>
      <w:numFmt w:val="decimal"/>
      <w:lvlText w:val="%7."/>
      <w:lvlJc w:val="left"/>
      <w:pPr>
        <w:ind w:left="4898" w:hanging="360"/>
      </w:pPr>
    </w:lvl>
    <w:lvl w:ilvl="7" w:tplc="241A0019" w:tentative="1">
      <w:start w:val="1"/>
      <w:numFmt w:val="lowerLetter"/>
      <w:lvlText w:val="%8."/>
      <w:lvlJc w:val="left"/>
      <w:pPr>
        <w:ind w:left="5618" w:hanging="360"/>
      </w:pPr>
    </w:lvl>
    <w:lvl w:ilvl="8" w:tplc="241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EF868C2"/>
    <w:multiLevelType w:val="hybridMultilevel"/>
    <w:tmpl w:val="B4222AC2"/>
    <w:lvl w:ilvl="0" w:tplc="AD180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A5D5DE6"/>
    <w:multiLevelType w:val="hybridMultilevel"/>
    <w:tmpl w:val="74FEA4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8CB"/>
    <w:multiLevelType w:val="hybridMultilevel"/>
    <w:tmpl w:val="5016AC1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E0C10"/>
    <w:multiLevelType w:val="hybridMultilevel"/>
    <w:tmpl w:val="21BEE9AE"/>
    <w:lvl w:ilvl="0" w:tplc="CC849F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98032882">
    <w:abstractNumId w:val="3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  <w:num w:numId="4" w16cid:durableId="458454039">
    <w:abstractNumId w:val="2"/>
  </w:num>
  <w:num w:numId="5" w16cid:durableId="467087635">
    <w:abstractNumId w:val="5"/>
  </w:num>
  <w:num w:numId="6" w16cid:durableId="49965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3D2E4B"/>
    <w:rsid w:val="00412AAD"/>
    <w:rsid w:val="005A4759"/>
    <w:rsid w:val="00743490"/>
    <w:rsid w:val="009800E8"/>
    <w:rsid w:val="00AA1670"/>
    <w:rsid w:val="00B36F15"/>
    <w:rsid w:val="00B80B56"/>
    <w:rsid w:val="00F361D7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B9F9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omer.sadikovic2001@gmail.com</cp:lastModifiedBy>
  <cp:revision>4</cp:revision>
  <dcterms:created xsi:type="dcterms:W3CDTF">2023-05-10T08:47:00Z</dcterms:created>
  <dcterms:modified xsi:type="dcterms:W3CDTF">2023-05-15T11:03:00Z</dcterms:modified>
</cp:coreProperties>
</file>