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78EF" w14:textId="77777777" w:rsidR="009800E8" w:rsidRDefault="002E19B4" w:rsidP="002E19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0856163C" w14:textId="77777777" w:rsidR="009800E8" w:rsidRPr="009800E8" w:rsidRDefault="009800E8" w:rsidP="009800E8">
      <w:pPr>
        <w:numPr>
          <w:ilvl w:val="0"/>
          <w:numId w:val="1"/>
        </w:numPr>
        <w:spacing w:after="200" w:line="276" w:lineRule="auto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Opšti cilj:</w:t>
      </w:r>
    </w:p>
    <w:p w14:paraId="117224EE" w14:textId="77777777" w:rsidR="00473D6F" w:rsidRDefault="00473D6F" w:rsidP="00473D6F">
      <w:pPr>
        <w:jc w:val="both"/>
        <w:rPr>
          <w:rFonts w:ascii="Arial" w:hAnsi="Arial" w:cs="Arial"/>
          <w:sz w:val="28"/>
          <w:szCs w:val="28"/>
        </w:rPr>
      </w:pPr>
      <w:r w:rsidRPr="003D2E4B">
        <w:rPr>
          <w:rFonts w:ascii="Arial" w:hAnsi="Arial" w:cs="Arial"/>
          <w:sz w:val="28"/>
          <w:szCs w:val="28"/>
        </w:rPr>
        <w:t>Ova akcija omogućava organizacijama učesnicama da steknu iskustvo u međunarodnoj saradnji i ojačaju svoju kapaciteta, ali i za proizvodnju visokokvalitetnih inovativnih proizvoda. U zavisnosti od ciljeva projekta, uključene organizacije ili očekivani uticaj, između ostalih elemenata, Partnerstva za saradnju mogu biti različitih veličina i obima, i prema tome prilagođavati svoje aktivnosti. Kvalitativna ocena ovih projekata će biti proporcionalan ciljevima saradnje i prirodi uključenih organizacija.</w:t>
      </w:r>
    </w:p>
    <w:p w14:paraId="62FF7AC7" w14:textId="77777777" w:rsidR="00473D6F" w:rsidRPr="003D2E4B" w:rsidRDefault="00473D6F" w:rsidP="00473D6F">
      <w:pPr>
        <w:jc w:val="both"/>
        <w:rPr>
          <w:rFonts w:ascii="Arial" w:hAnsi="Arial" w:cs="Arial"/>
          <w:sz w:val="28"/>
          <w:szCs w:val="28"/>
        </w:rPr>
      </w:pPr>
    </w:p>
    <w:p w14:paraId="7E160698" w14:textId="77777777" w:rsidR="00473D6F" w:rsidRDefault="00473D6F" w:rsidP="00473D6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3D2E4B">
        <w:rPr>
          <w:rFonts w:ascii="Arial" w:hAnsi="Arial" w:cs="Arial"/>
          <w:sz w:val="28"/>
          <w:szCs w:val="28"/>
        </w:rPr>
        <w:t>Tokom životnog veka projekta, organizacije obično mogu da sprovode širok spektar aktivnosti. Od tradicionalnih aktivnosti na kreativnije i inovativnije, organizacije imaju fleksibilnost da izaberu najbolju kombinaciju koja doprinosi postizanju ciljeva projekta u odnosu na njegov obim i srazmerno kapacitetima partnerstvo. Na primer:</w:t>
      </w:r>
    </w:p>
    <w:p w14:paraId="2E080169" w14:textId="77777777" w:rsidR="00473D6F" w:rsidRDefault="00473D6F" w:rsidP="00473D6F">
      <w:pPr>
        <w:jc w:val="both"/>
        <w:rPr>
          <w:rFonts w:ascii="Arial" w:hAnsi="Arial" w:cs="Arial"/>
          <w:sz w:val="28"/>
          <w:szCs w:val="28"/>
        </w:rPr>
      </w:pPr>
    </w:p>
    <w:p w14:paraId="042AED4B" w14:textId="77777777" w:rsidR="00473D6F" w:rsidRDefault="00473D6F" w:rsidP="00473D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B92B5A">
        <w:rPr>
          <w:rFonts w:ascii="Arial" w:hAnsi="Arial" w:cs="Arial"/>
          <w:b/>
          <w:bCs/>
          <w:sz w:val="28"/>
          <w:szCs w:val="28"/>
          <w:u w:val="single"/>
        </w:rPr>
        <w:t>Upravljanje projektom</w:t>
      </w:r>
      <w:r w:rsidRPr="003D2E4B">
        <w:rPr>
          <w:rFonts w:ascii="Arial" w:hAnsi="Arial" w:cs="Arial"/>
          <w:sz w:val="28"/>
          <w:szCs w:val="28"/>
        </w:rPr>
        <w:t xml:space="preserve">: aktivnosti koje su neophodne da bi se obezbedilo adekvatno planiranje, implementacija i praćenje projekata, uključujući neometanu i efikasnu saradnju između projektnih partnera. U ovoj fazi aktivnosti obično uključuju organizacione i administrativne zadatke, virtuelne sastanke među partnerima, pripremu za komunikacioni materijali, priprema i praćenje učesnika koji učestvuju u aktivnostima itd. </w:t>
      </w:r>
    </w:p>
    <w:p w14:paraId="7DDE090B" w14:textId="77777777" w:rsidR="00473D6F" w:rsidRPr="003D2E4B" w:rsidRDefault="00473D6F" w:rsidP="00473D6F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4A0DF10B" w14:textId="77777777" w:rsidR="00473D6F" w:rsidRDefault="00473D6F" w:rsidP="00473D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B92B5A">
        <w:rPr>
          <w:rFonts w:ascii="Arial" w:hAnsi="Arial" w:cs="Arial"/>
          <w:b/>
          <w:bCs/>
          <w:sz w:val="28"/>
          <w:szCs w:val="28"/>
          <w:u w:val="single"/>
        </w:rPr>
        <w:t>Aktivnosti implementacije</w:t>
      </w:r>
      <w:r w:rsidRPr="003D2E4B">
        <w:rPr>
          <w:rFonts w:ascii="Arial" w:hAnsi="Arial" w:cs="Arial"/>
          <w:sz w:val="28"/>
          <w:szCs w:val="28"/>
        </w:rPr>
        <w:t>: mogu uključiti događaje umrežavanja, sastanke, radne sesije za razmenu praksi i razvijati rezultate. Ove aktivnosti takođe mogu uključivati učešće osoblja i učenika (pod uslovom da su njihovi učešće doprinosi postizanju ciljeva projekta).</w:t>
      </w:r>
    </w:p>
    <w:p w14:paraId="13E50B31" w14:textId="77777777" w:rsidR="00473D6F" w:rsidRPr="003D2E4B" w:rsidRDefault="00473D6F" w:rsidP="00473D6F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54EB0242" w14:textId="77777777" w:rsidR="00473D6F" w:rsidRDefault="00473D6F" w:rsidP="00473D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B92B5A">
        <w:rPr>
          <w:rFonts w:ascii="Arial" w:hAnsi="Arial" w:cs="Arial"/>
          <w:b/>
          <w:bCs/>
          <w:sz w:val="28"/>
          <w:szCs w:val="28"/>
          <w:u w:val="single"/>
        </w:rPr>
        <w:t>Aktivnosti razmene i promocije</w:t>
      </w:r>
      <w:r w:rsidRPr="003D2E4B">
        <w:rPr>
          <w:rFonts w:ascii="Arial" w:hAnsi="Arial" w:cs="Arial"/>
          <w:sz w:val="28"/>
          <w:szCs w:val="28"/>
        </w:rPr>
        <w:t>: organizacija konferencija, sesija, događaja sa ciljem razmene, objašnjavanja i promovisanje rezultata projekta, bilo da su u vidu opipljivih rezultata, zaključaka, dobrih praksi ili bilo koji drugi oblik.</w:t>
      </w:r>
    </w:p>
    <w:p w14:paraId="6F312635" w14:textId="77777777" w:rsidR="00473D6F" w:rsidRDefault="00473D6F" w:rsidP="002E19B4">
      <w:pPr>
        <w:jc w:val="both"/>
        <w:rPr>
          <w:rFonts w:ascii="Arial" w:hAnsi="Arial" w:cs="Arial"/>
          <w:sz w:val="28"/>
          <w:szCs w:val="28"/>
        </w:rPr>
      </w:pPr>
    </w:p>
    <w:p w14:paraId="795394CE" w14:textId="77777777" w:rsidR="00473D6F" w:rsidRDefault="00473D6F" w:rsidP="002E19B4">
      <w:pPr>
        <w:jc w:val="both"/>
        <w:rPr>
          <w:rFonts w:ascii="Arial" w:hAnsi="Arial" w:cs="Arial"/>
          <w:sz w:val="28"/>
          <w:szCs w:val="28"/>
        </w:rPr>
      </w:pPr>
    </w:p>
    <w:p w14:paraId="2B6223EF" w14:textId="2F2ABEA5" w:rsidR="00B80B56" w:rsidRPr="006D60AE" w:rsidRDefault="00B80B56" w:rsidP="00B80B56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B80B56">
        <w:rPr>
          <w:rFonts w:cstheme="minorHAnsi"/>
          <w:b/>
          <w:bCs/>
          <w:sz w:val="36"/>
          <w:szCs w:val="36"/>
        </w:rPr>
        <w:t>Specifični ciljevi i rezultati:</w:t>
      </w:r>
    </w:p>
    <w:p w14:paraId="6F09627C" w14:textId="2C7AD48E" w:rsidR="00B80B56" w:rsidRP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  <w:r>
        <w:rPr>
          <w:rFonts w:cstheme="minorHAnsi"/>
          <w:b/>
          <w:bCs/>
          <w:sz w:val="36"/>
          <w:szCs w:val="36"/>
        </w:rPr>
        <w:tab/>
      </w:r>
      <w:r w:rsidR="006D60AE">
        <w:rPr>
          <w:rFonts w:ascii="Arial" w:hAnsi="Arial" w:cs="Arial"/>
          <w:sz w:val="28"/>
          <w:szCs w:val="28"/>
        </w:rPr>
        <w:t>E</w:t>
      </w:r>
      <w:r w:rsidRPr="00B80B56">
        <w:rPr>
          <w:rFonts w:ascii="Arial" w:hAnsi="Arial" w:cs="Arial"/>
          <w:sz w:val="28"/>
          <w:szCs w:val="28"/>
        </w:rPr>
        <w:t xml:space="preserve">vo </w:t>
      </w:r>
      <w:r w:rsidR="00473D6F">
        <w:rPr>
          <w:rFonts w:ascii="Arial" w:hAnsi="Arial" w:cs="Arial"/>
          <w:sz w:val="28"/>
          <w:szCs w:val="28"/>
        </w:rPr>
        <w:t>tri</w:t>
      </w:r>
      <w:r w:rsidRPr="00B80B56">
        <w:rPr>
          <w:rFonts w:ascii="Arial" w:hAnsi="Arial" w:cs="Arial"/>
          <w:sz w:val="28"/>
          <w:szCs w:val="28"/>
        </w:rPr>
        <w:t xml:space="preserve"> nezavisnih ciljeva koji bi mogli pomoći u postizanju glavnog cilja uključivanja univerziteta u program skloništa za životinje:</w:t>
      </w:r>
    </w:p>
    <w:p w14:paraId="56142702" w14:textId="77777777" w:rsid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</w:p>
    <w:p w14:paraId="6BA4B913" w14:textId="77777777" w:rsidR="00473D6F" w:rsidRDefault="00473D6F" w:rsidP="00B80B56">
      <w:pPr>
        <w:jc w:val="both"/>
        <w:rPr>
          <w:rFonts w:ascii="Arial" w:hAnsi="Arial" w:cs="Arial"/>
          <w:sz w:val="28"/>
          <w:szCs w:val="28"/>
        </w:rPr>
      </w:pPr>
    </w:p>
    <w:p w14:paraId="71F7CF64" w14:textId="739E1AD1" w:rsidR="00473D6F" w:rsidRDefault="00473D6F" w:rsidP="00473D6F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473D6F">
        <w:rPr>
          <w:rFonts w:ascii="Arial" w:hAnsi="Arial" w:cs="Arial"/>
          <w:b/>
          <w:bCs/>
          <w:sz w:val="28"/>
          <w:szCs w:val="28"/>
        </w:rPr>
        <w:t>1</w:t>
      </w:r>
      <w:r w:rsidRPr="00E15F97">
        <w:rPr>
          <w:rFonts w:ascii="Arial" w:hAnsi="Arial" w:cs="Arial"/>
          <w:sz w:val="28"/>
          <w:szCs w:val="28"/>
        </w:rPr>
        <w:t>.</w:t>
      </w:r>
      <w:r w:rsidR="00E15F97">
        <w:rPr>
          <w:rFonts w:ascii="Arial" w:hAnsi="Arial" w:cs="Arial"/>
          <w:sz w:val="28"/>
          <w:szCs w:val="28"/>
        </w:rPr>
        <w:t xml:space="preserve"> </w:t>
      </w:r>
      <w:r w:rsidRPr="00E15F97">
        <w:rPr>
          <w:rFonts w:ascii="Arial" w:hAnsi="Arial" w:cs="Arial"/>
          <w:sz w:val="28"/>
          <w:szCs w:val="28"/>
          <w:u w:val="single"/>
        </w:rPr>
        <w:t>Studentski volonterski program</w:t>
      </w:r>
      <w:r w:rsidRPr="002E19B4">
        <w:rPr>
          <w:rFonts w:ascii="Arial" w:hAnsi="Arial" w:cs="Arial"/>
          <w:sz w:val="28"/>
          <w:szCs w:val="28"/>
        </w:rPr>
        <w:t xml:space="preserve">: Univerzitet bi mogao da uspostavi volonterski program sa skloništem za životinje, omogućavajući studentima da svojim vremenom i veštinama doprinesu radu skloništa. Ovo može uključivati zadatke kao što su briga o životinjama, administrativni rad ili prikupljanje sredstava. </w:t>
      </w:r>
    </w:p>
    <w:p w14:paraId="6FB12D9F" w14:textId="77777777" w:rsidR="00473D6F" w:rsidRDefault="00473D6F" w:rsidP="00473D6F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4ADC1C46" w14:textId="1377BFA3" w:rsidR="00473D6F" w:rsidRDefault="00473D6F" w:rsidP="00473D6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473D6F">
        <w:rPr>
          <w:rFonts w:ascii="Arial" w:hAnsi="Arial" w:cs="Arial"/>
          <w:b/>
          <w:bCs/>
          <w:sz w:val="28"/>
          <w:szCs w:val="28"/>
        </w:rPr>
        <w:t>2.</w:t>
      </w:r>
      <w:r w:rsidRPr="00E15F97">
        <w:rPr>
          <w:rFonts w:ascii="Arial" w:hAnsi="Arial" w:cs="Arial"/>
          <w:sz w:val="28"/>
          <w:szCs w:val="28"/>
          <w:u w:val="single"/>
        </w:rPr>
        <w:t>Saradnja u istraživanju</w:t>
      </w:r>
      <w:r w:rsidRPr="002E19B4">
        <w:rPr>
          <w:rFonts w:ascii="Arial" w:hAnsi="Arial" w:cs="Arial"/>
          <w:sz w:val="28"/>
          <w:szCs w:val="28"/>
        </w:rPr>
        <w:t xml:space="preserve">: Univerzitet bi mogao da sarađuje sa skloništem za životinje na istraživačkim projektima koji se odnose na dobrobit životinja, ponašanje ili zdravlje. Ovo bi moglo uključiti nastavnike i studente sa različitih odeljenja, kao što su veterinarska medicina, biologija ili psihologija. </w:t>
      </w:r>
    </w:p>
    <w:p w14:paraId="542DCD3C" w14:textId="77777777" w:rsidR="00473D6F" w:rsidRDefault="00473D6F" w:rsidP="00473D6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9358776" w14:textId="73FF7F7E" w:rsidR="00473D6F" w:rsidRDefault="00473D6F" w:rsidP="00473D6F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473D6F">
        <w:rPr>
          <w:rFonts w:ascii="Arial" w:hAnsi="Arial" w:cs="Arial"/>
          <w:b/>
          <w:bCs/>
          <w:sz w:val="28"/>
          <w:szCs w:val="28"/>
        </w:rPr>
        <w:t>3.</w:t>
      </w:r>
      <w:r w:rsidRPr="00E15F97">
        <w:rPr>
          <w:rFonts w:ascii="Arial" w:hAnsi="Arial" w:cs="Arial"/>
          <w:sz w:val="28"/>
          <w:szCs w:val="28"/>
          <w:u w:val="single"/>
        </w:rPr>
        <w:t>Obrazovna partnerstva</w:t>
      </w:r>
      <w:r w:rsidRPr="002E19B4">
        <w:rPr>
          <w:rFonts w:ascii="Arial" w:hAnsi="Arial" w:cs="Arial"/>
          <w:sz w:val="28"/>
          <w:szCs w:val="28"/>
        </w:rPr>
        <w:t xml:space="preserve">: Sklonište za životinje i univerzitet bi mogli da budu partneri u obrazovnim programima, kao što su radionice ili predavanja, kako bi se podigla svest o pitanjima dobrobiti životinja i promovisalo odgovorno posedovanje kućnih ljubimaca. </w:t>
      </w:r>
    </w:p>
    <w:p w14:paraId="4F9BBC6C" w14:textId="0C77760E" w:rsidR="00FE6A2E" w:rsidRDefault="00FE6A2E" w:rsidP="00FE6A2E">
      <w:pPr>
        <w:jc w:val="both"/>
        <w:rPr>
          <w:rFonts w:ascii="Arial" w:hAnsi="Arial" w:cs="Arial"/>
          <w:sz w:val="28"/>
          <w:szCs w:val="28"/>
        </w:rPr>
      </w:pPr>
    </w:p>
    <w:p w14:paraId="2498693B" w14:textId="77777777" w:rsidR="00FE6A2E" w:rsidRDefault="00FE6A2E" w:rsidP="00FE6A2E">
      <w:pPr>
        <w:jc w:val="both"/>
        <w:rPr>
          <w:rFonts w:ascii="Arial" w:hAnsi="Arial" w:cs="Arial"/>
          <w:sz w:val="28"/>
          <w:szCs w:val="28"/>
        </w:rPr>
      </w:pPr>
    </w:p>
    <w:p w14:paraId="0609C8CA" w14:textId="77777777" w:rsidR="00FE6A2E" w:rsidRPr="00FE6A2E" w:rsidRDefault="00FE6A2E" w:rsidP="00FE6A2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E6A2E">
        <w:rPr>
          <w:b/>
          <w:color w:val="000000" w:themeColor="text1"/>
          <w:sz w:val="36"/>
          <w:szCs w:val="36"/>
        </w:rPr>
        <w:t>Budžet-ukupna vrednost, kolike su budžetske linije po specifičnim ciljevima:</w:t>
      </w:r>
    </w:p>
    <w:p w14:paraId="4068A461" w14:textId="77777777" w:rsidR="00FE6A2E" w:rsidRDefault="00FE6A2E" w:rsidP="00FE6A2E"/>
    <w:p w14:paraId="09770385" w14:textId="77777777" w:rsid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 xml:space="preserve">EU budžet za period od 2021. do 2027. godine iznosi 1,074 biliona evra, a uključuje finansiranje širokog spektra politika i programa, uključujući poljoprivredu, istraživanje i inovacije, regionalni razvoj i borbu protiv klimatskih promena. U okviru ovog budžeta, Zajednička poljoprivredna politika (ZPP) je jedno od najvećih područja finansiranja i uključuje podršku merama za dobrobit životinja. Pod ZPP, EU pruža </w:t>
      </w:r>
      <w:r w:rsidRPr="005A4759">
        <w:rPr>
          <w:rFonts w:ascii="Arial" w:hAnsi="Arial" w:cs="Arial"/>
          <w:sz w:val="28"/>
          <w:szCs w:val="28"/>
        </w:rPr>
        <w:lastRenderedPageBreak/>
        <w:t>direktne uplate i finansiranje ruralnog razvoja farmerima i ruralnim zajednicama. Za period od 2021. do 2027. godine, budžet ZPP-a iznosi 387 milijardi evra, od kojih se oko 30% dodeljuje za mere zaštite životne sredine i borbu protiv klimatskih promena, uključujući dobrobit životinja. Tačan iznos finansiranja koji se dodeljuje za dobrobit životinja u okviru ZPP i drugih programa EU-a može varirati iz godine u godinu i podložan je pregovorima i odobrenju od strane članica EU-a.</w:t>
      </w:r>
    </w:p>
    <w:p w14:paraId="35CEB678" w14:textId="77777777" w:rsid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</w:p>
    <w:p w14:paraId="07CA78DF" w14:textId="77777777" w:rsidR="006D60AE" w:rsidRPr="005A4759" w:rsidRDefault="006D60AE" w:rsidP="005A4759">
      <w:pPr>
        <w:jc w:val="both"/>
        <w:rPr>
          <w:rFonts w:ascii="Arial" w:hAnsi="Arial" w:cs="Arial"/>
          <w:sz w:val="28"/>
          <w:szCs w:val="28"/>
        </w:rPr>
      </w:pPr>
    </w:p>
    <w:p w14:paraId="563AF96D" w14:textId="77777777" w:rsidR="005A4759" w:rsidRPr="005A4759" w:rsidRDefault="005A4759" w:rsidP="005A4759">
      <w:pPr>
        <w:jc w:val="both"/>
        <w:rPr>
          <w:rFonts w:cstheme="minorHAnsi"/>
          <w:b/>
          <w:color w:val="000000" w:themeColor="text1"/>
          <w:sz w:val="36"/>
          <w:szCs w:val="36"/>
        </w:rPr>
      </w:pPr>
      <w:r w:rsidRPr="005A4759">
        <w:rPr>
          <w:rFonts w:ascii="Arial" w:hAnsi="Arial" w:cs="Arial"/>
          <w:b/>
          <w:color w:val="000000" w:themeColor="text1"/>
          <w:sz w:val="28"/>
          <w:szCs w:val="28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4. Ko može aplicirati za određeni projekat:</w:t>
      </w:r>
    </w:p>
    <w:p w14:paraId="2F7FB0A7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ab/>
        <w:t xml:space="preserve">Pojedinci - </w:t>
      </w:r>
      <w:r w:rsidRPr="005A4759">
        <w:rPr>
          <w:rFonts w:ascii="Arial" w:hAnsi="Arial" w:cs="Arial"/>
          <w:sz w:val="28"/>
          <w:szCs w:val="28"/>
        </w:rPr>
        <w:t>studenti, pripravnici, pripravnici, učenici, odrasli učenici, mladi ljudi, volonteri,profesori, učitelji, treneri, omladinski radnici, profesionalci organizacija aktivnih na poljima obrazovanja, osposobljavanja i mladih, glavni su ciljpopulacije Programa. Međutim, Program do tih pojedinaca dolazi putem organizacija, institucija, tijela ili skupine koje organiziraju takve aktivnosti. Uvjeti pristupa Programu stoga se odnose na ovo dvoje glumci: "sudionici" (pojedinci koji sudjeluju u Programu) i "organizacije sudionice" (uključujući grupe od najmanje četvero mladih ljudi aktivnih u radu s mladima, ali ne nužno i u kontekstu organizacija mladih, nazivaju se neformalnim skupinama mladih). Za sudionike I organizacije sudionice, uvjeti za sudjelovanje ovisi o zemlji u kojoj se nalaze</w:t>
      </w:r>
      <w:r w:rsidRPr="005A4759">
        <w:rPr>
          <w:rFonts w:ascii="Arial" w:hAnsi="Arial" w:cs="Arial"/>
          <w:b/>
          <w:sz w:val="28"/>
          <w:szCs w:val="28"/>
        </w:rPr>
        <w:t>.</w:t>
      </w:r>
    </w:p>
    <w:p w14:paraId="50A8B947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>SUDIONICI</w:t>
      </w:r>
    </w:p>
    <w:p w14:paraId="73D8C4FD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Općenito, sudionici Erasmus + projekata moraju biti smješteni u programskoj zemlji. Neke radnje, posebno u područja visokog obrazovanja i mladih, također su otvorena za sudionikeiz partnerskih zemalja.</w:t>
      </w:r>
    </w:p>
    <w:p w14:paraId="5E0A02D6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 xml:space="preserve">Posebni uvjeti za sudjelovanje u Erasmus + projektu ovise o vrsti dotične akcije. </w:t>
      </w:r>
    </w:p>
    <w:p w14:paraId="411BBF5B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Općenito:</w:t>
      </w:r>
    </w:p>
    <w:p w14:paraId="6088EA50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visokog obrazovanja glavni ciljevi su: student visokog obrazovanja (kratko ciklus, prvi, drugi ili treći ciklus), nastavnici i profesori visokog obrazovanja, osoblje visokoškolskiH ustanova, treneri i profesionalci u poduzećima;</w:t>
      </w:r>
    </w:p>
    <w:p w14:paraId="7F91DA3F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lastRenderedPageBreak/>
        <w:t>• Za projekte relevantne za područje strukovnog obrazovanja i osposobljavanja glavni ciljevi su: pripravnici I studenti u strukovnom obrazovanju, profesionalci i treneri u stručnom osposobljavanju, osoblje početnog strukovnog obrazovanja, obrazovne organizacije, treneri i profesionalci u poduzećima;</w:t>
      </w:r>
    </w:p>
    <w:p w14:paraId="196EA544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školskog obrazovanja glavni ciljevi su: voditelji škola, školski učitelji I školsko osoblje, učenici u predškolskom, osnovnom I srednjem obrazovanju;</w:t>
      </w:r>
    </w:p>
    <w:p w14:paraId="44C6D747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obrazovanja odraslih, glavni ciljevi su: pripadnici odraslih osoba koje nisu strukovne obrazovne organizacije, treneri, osoblje i učenici u neprofesionalnom obrazovanju odraslih;</w:t>
      </w:r>
    </w:p>
    <w:p w14:paraId="1B3D93C4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mladih glavni ciljevi su: mladi od 13 do 308 godina, omladinski radnici, osoblje i članovi organizacija aktivnih na polju mladih;</w:t>
      </w:r>
    </w:p>
    <w:p w14:paraId="245A78EE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sporta glavni ciljevi su: profesionalci i volonteri u području sporta, sportaši i treneri.</w:t>
      </w:r>
    </w:p>
    <w:p w14:paraId="3DDE1B2D" w14:textId="77777777" w:rsidR="005A4759" w:rsidRPr="005A4759" w:rsidRDefault="005A4759" w:rsidP="005A4759">
      <w:pPr>
        <w:jc w:val="both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5. Trajanje projekta</w:t>
      </w:r>
    </w:p>
    <w:p w14:paraId="0CC56996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>Podnositelj zahtjeva mora odabrati trajanje u fazi prijave na temelju razmjera projekta, te o vrsti aktivnosti planiranih tijekom vremena</w:t>
      </w:r>
      <w:r w:rsidRPr="005A4759">
        <w:rPr>
          <w:rFonts w:ascii="Arial" w:hAnsi="Arial" w:cs="Arial"/>
          <w:b/>
          <w:sz w:val="28"/>
          <w:szCs w:val="28"/>
        </w:rPr>
        <w:t xml:space="preserve">. </w:t>
      </w:r>
    </w:p>
    <w:p w14:paraId="0C7069F9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Mobilnost između programskih zemalja: </w:t>
      </w:r>
      <w:r w:rsidRPr="005A4759">
        <w:rPr>
          <w:rFonts w:ascii="Arial" w:hAnsi="Arial" w:cs="Arial"/>
          <w:sz w:val="28"/>
          <w:szCs w:val="28"/>
        </w:rPr>
        <w:t>16 ili 24 mjeseca.</w:t>
      </w:r>
      <w:r w:rsidRPr="005A4759">
        <w:rPr>
          <w:rFonts w:ascii="Arial" w:hAnsi="Arial" w:cs="Arial"/>
          <w:b/>
          <w:sz w:val="28"/>
          <w:szCs w:val="28"/>
        </w:rPr>
        <w:t xml:space="preserve"> </w:t>
      </w:r>
    </w:p>
    <w:p w14:paraId="4F9E3E10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Mobilnost između zemalja programa i zemalja partnera: </w:t>
      </w:r>
      <w:r w:rsidRPr="005A4759">
        <w:rPr>
          <w:rFonts w:ascii="Arial" w:hAnsi="Arial" w:cs="Arial"/>
          <w:sz w:val="28"/>
          <w:szCs w:val="28"/>
        </w:rPr>
        <w:t>24 ili 36 mjeseci.</w:t>
      </w:r>
      <w:r w:rsidRPr="005A4759">
        <w:rPr>
          <w:rFonts w:ascii="Arial" w:hAnsi="Arial" w:cs="Arial"/>
          <w:b/>
          <w:sz w:val="28"/>
          <w:szCs w:val="28"/>
        </w:rPr>
        <w:t xml:space="preserve"> </w:t>
      </w:r>
    </w:p>
    <w:p w14:paraId="04BFC608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Razdoblja studija: </w:t>
      </w:r>
      <w:r w:rsidRPr="005A4759">
        <w:rPr>
          <w:rFonts w:ascii="Arial" w:hAnsi="Arial" w:cs="Arial"/>
          <w:sz w:val="28"/>
          <w:szCs w:val="28"/>
        </w:rPr>
        <w:t>od 326 do 12 mjeseci (uključujući i dopunsko pripravničko razdoblje, ako planirani).</w:t>
      </w:r>
    </w:p>
    <w:p w14:paraId="4C1CC8B1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Pripravnički staž: </w:t>
      </w:r>
      <w:r w:rsidRPr="005A4759">
        <w:rPr>
          <w:rFonts w:ascii="Arial" w:hAnsi="Arial" w:cs="Arial"/>
          <w:sz w:val="28"/>
          <w:szCs w:val="28"/>
        </w:rPr>
        <w:t>od 2 do 12 mjeseci.</w:t>
      </w:r>
    </w:p>
    <w:p w14:paraId="074C1974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Isti student može sudjelovati u razdobljima mobilnosti koja ukupno traju najviše 12 mjeseci, 27 svaki ciklus studija, 28 neovisno o broju i vrsti aktivnosti mobilnosti. Sudjelovanje s nultom potporom iz EU fondova računa se i prema ovom maksimalnom trajanju:</w:t>
      </w:r>
    </w:p>
    <w:p w14:paraId="0D7920E1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tijekom prvog ciklusa studija (prvostupnik ili ekvivalent), uključujući kratki ciklus (razine EQF 5 i 6);</w:t>
      </w:r>
    </w:p>
    <w:p w14:paraId="7AEF11E1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tijekom drugog ciklusa studija (master ili ekvivalent - EQF razina 7);</w:t>
      </w:r>
    </w:p>
    <w:p w14:paraId="408DE325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lastRenderedPageBreak/>
        <w:t>• i tijekom trećeg ciklusa kao doktorski kandidat (doktorska razina ili EQF razina 8).</w:t>
      </w:r>
    </w:p>
    <w:p w14:paraId="1E4FC667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Trajanje pripravničkog staža nedavno diplomiranih studenata </w:t>
      </w:r>
      <w:r w:rsidRPr="005A4759">
        <w:rPr>
          <w:rFonts w:ascii="Arial" w:hAnsi="Arial" w:cs="Arial"/>
          <w:sz w:val="28"/>
          <w:szCs w:val="28"/>
        </w:rPr>
        <w:t>broji se do maksimalno 12 mjeseci, ciklus tijekom kojeg se prijavljuju za pripravnički staž.</w:t>
      </w:r>
    </w:p>
    <w:p w14:paraId="757B2D97" w14:textId="77777777" w:rsidR="005A4759" w:rsidRPr="005A4759" w:rsidRDefault="005A4759" w:rsidP="005A4759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6. Geografski opsezi</w:t>
      </w:r>
    </w:p>
    <w:p w14:paraId="1190E156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>Sljedeće zemlje mogu u potpunosti sudjelovati u svim akcijama programa Erasmus +:</w:t>
      </w:r>
    </w:p>
    <w:p w14:paraId="7E214DDF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>Zemlje EU:</w:t>
      </w:r>
    </w:p>
    <w:p w14:paraId="5EB5559A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Belgija, Bugarska, Češka Republika, Danska,Njemačka, Estonija, Irska, Grčka, Španjolska, Francuska, Hrvatska, Italija, Kipar, Latvija, Litva, Luksemburg, Mađarska, Malta, Nizozemska, Austrija, Poljska, Portugal, Rumunjska, Slovenija, Slovačka, Finska, Švedska, Ujedinjeno Kraljevstvo.</w:t>
      </w:r>
    </w:p>
    <w:p w14:paraId="6DA1DCDE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>Zemlje izvan EU</w:t>
      </w:r>
    </w:p>
    <w:p w14:paraId="75A32E60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Republika Sjeverna Makedonija Island, Lihtenštajn, Norveška, Srbija</w:t>
      </w:r>
    </w:p>
    <w:p w14:paraId="1037114A" w14:textId="77777777" w:rsidR="005A4759" w:rsidRPr="005A4759" w:rsidRDefault="005A4759" w:rsidP="005A4759">
      <w:pPr>
        <w:jc w:val="both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7. Vrste aktivnosti sa kojima se može aplicirati za projekat</w:t>
      </w:r>
    </w:p>
    <w:p w14:paraId="2B9EF377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>Sljedeći odjeljci "Ključna radnja 1", "Ključna radnja 2" i "Ključna radnja 3" predstavljaju konkretne radnje kojima su namijenjene postići ciljeve Programa u području obrazovanja I osposobljavanja. Među tim Akcijama, uglavnom one - ali ne isključivo - povezani sa područjem obrazovanja i osposobljavanja su:</w:t>
      </w:r>
    </w:p>
    <w:p w14:paraId="0BEEDCD2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Projects Projekti mobilnosti za učenike i osoblje u visokom obrazovanju i strukovnom obrazovanju i osposobljavanju (VET);</w:t>
      </w:r>
    </w:p>
    <w:p w14:paraId="659A2DCB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Projects Projekti mobilnosti za zaposlenike u školskom obrazovanju i obrazovanju odraslih;</w:t>
      </w:r>
    </w:p>
    <w:p w14:paraId="66DBA5DA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Joint Erasmus Mundus zajednički magistarski studiji;</w:t>
      </w:r>
    </w:p>
    <w:p w14:paraId="1376859F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Master Erasmus + Master zajmovi;</w:t>
      </w:r>
    </w:p>
    <w:p w14:paraId="44F0EE0B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t>➢</w:t>
      </w:r>
      <w:r w:rsidRPr="005A4759">
        <w:rPr>
          <w:rFonts w:ascii="Arial" w:hAnsi="Arial" w:cs="Arial"/>
          <w:sz w:val="28"/>
          <w:szCs w:val="28"/>
        </w:rPr>
        <w:t xml:space="preserve"> Strateška partnerstva;</w:t>
      </w:r>
    </w:p>
    <w:p w14:paraId="69E8E832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t>➢</w:t>
      </w:r>
      <w:r w:rsidRPr="005A4759">
        <w:rPr>
          <w:rFonts w:ascii="Arial" w:hAnsi="Arial" w:cs="Arial"/>
          <w:sz w:val="28"/>
          <w:szCs w:val="28"/>
        </w:rPr>
        <w:t xml:space="preserve"> Savezi znanja-Europska sveučilišta;</w:t>
      </w:r>
    </w:p>
    <w:p w14:paraId="2720BBF4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lastRenderedPageBreak/>
        <w:t>➢</w:t>
      </w:r>
      <w:r w:rsidRPr="005A4759">
        <w:rPr>
          <w:rFonts w:ascii="Arial" w:hAnsi="Arial" w:cs="Arial"/>
          <w:sz w:val="28"/>
          <w:szCs w:val="28"/>
        </w:rPr>
        <w:t xml:space="preserve"> Savezi sektorskih vještina;</w:t>
      </w:r>
    </w:p>
    <w:p w14:paraId="2DD747CC" w14:textId="77777777" w:rsidR="005A4759" w:rsidRPr="005A4759" w:rsidRDefault="005A4759" w:rsidP="00B36F15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t>➢</w:t>
      </w:r>
      <w:r w:rsidRPr="005A4759">
        <w:rPr>
          <w:rFonts w:ascii="Arial" w:hAnsi="Arial" w:cs="Arial"/>
          <w:sz w:val="28"/>
          <w:szCs w:val="28"/>
        </w:rPr>
        <w:t xml:space="preserve"> Building Izgradnja kapaciteta u području visokog obrazovanja.</w:t>
      </w:r>
      <w:r w:rsidR="00B36F15">
        <w:rPr>
          <w:rFonts w:ascii="Arial" w:hAnsi="Arial" w:cs="Arial"/>
          <w:sz w:val="28"/>
          <w:szCs w:val="28"/>
        </w:rPr>
        <w:t xml:space="preserve">                                </w:t>
      </w:r>
    </w:p>
    <w:sectPr w:rsidR="005A4759" w:rsidRPr="005A4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EC0"/>
    <w:multiLevelType w:val="multilevel"/>
    <w:tmpl w:val="2494977C"/>
    <w:lvl w:ilvl="0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18724C"/>
    <w:multiLevelType w:val="hybridMultilevel"/>
    <w:tmpl w:val="CACA2574"/>
    <w:lvl w:ilvl="0" w:tplc="27B238A4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b/>
        <w:bCs/>
        <w:sz w:val="36"/>
        <w:szCs w:val="36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D5DE6"/>
    <w:multiLevelType w:val="hybridMultilevel"/>
    <w:tmpl w:val="74FEA4E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128CB"/>
    <w:multiLevelType w:val="hybridMultilevel"/>
    <w:tmpl w:val="5016AC1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032882">
    <w:abstractNumId w:val="2"/>
  </w:num>
  <w:num w:numId="2" w16cid:durableId="350645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3003596">
    <w:abstractNumId w:val="1"/>
  </w:num>
  <w:num w:numId="4" w16cid:durableId="144319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B4"/>
    <w:rsid w:val="002E19B4"/>
    <w:rsid w:val="00370E8D"/>
    <w:rsid w:val="00473D6F"/>
    <w:rsid w:val="004C2DC7"/>
    <w:rsid w:val="00501E83"/>
    <w:rsid w:val="005A4759"/>
    <w:rsid w:val="006D60AE"/>
    <w:rsid w:val="00743490"/>
    <w:rsid w:val="009800E8"/>
    <w:rsid w:val="00AA1670"/>
    <w:rsid w:val="00B36F15"/>
    <w:rsid w:val="00B80B56"/>
    <w:rsid w:val="00E15F97"/>
    <w:rsid w:val="00FE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FF40"/>
  <w15:chartTrackingRefBased/>
  <w15:docId w15:val="{849E47F0-53E5-4FFD-A0EF-89460D6C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6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8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E8F3-6D32-4FE0-BDC7-84838BFD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omer.sadikovic2001@gmail.com</dc:creator>
  <cp:keywords/>
  <dc:description/>
  <cp:lastModifiedBy>ertanmuslic323@gmail.com</cp:lastModifiedBy>
  <cp:revision>6</cp:revision>
  <dcterms:created xsi:type="dcterms:W3CDTF">2023-05-10T08:47:00Z</dcterms:created>
  <dcterms:modified xsi:type="dcterms:W3CDTF">2023-05-16T09:52:00Z</dcterms:modified>
</cp:coreProperties>
</file>