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3600">
      <w:pPr>
        <w:jc w:val="center"/>
      </w:pPr>
      <w:r>
        <w:rPr>
          <w:b/>
          <w:bCs/>
        </w:rPr>
        <w:t xml:space="preserve">Тестовый перевод </w:t>
      </w:r>
    </w:p>
    <w:p w:rsidR="00000000" w:rsidRDefault="00B53600"/>
    <w:p w:rsidR="00000000" w:rsidRDefault="00B53600">
      <w:pPr>
        <w:pStyle w:val="ListParagraph"/>
        <w:numPr>
          <w:ilvl w:val="0"/>
          <w:numId w:val="2"/>
        </w:numPr>
        <w:tabs>
          <w:tab w:val="left" w:pos="1440"/>
        </w:tabs>
        <w:ind w:left="1440"/>
        <w:rPr>
          <w:b/>
          <w:bCs/>
        </w:rPr>
      </w:pPr>
      <w:r>
        <w:rPr>
          <w:b/>
          <w:bCs/>
          <w:i/>
          <w:iCs/>
          <w:sz w:val="24"/>
        </w:rPr>
        <w:t>С английского на русский  язык:</w:t>
      </w:r>
    </w:p>
    <w:tbl>
      <w:tblPr>
        <w:tblW w:w="10439" w:type="dxa"/>
        <w:tblInd w:w="-252" w:type="dxa"/>
        <w:tblLayout w:type="fixed"/>
        <w:tblLook w:val="0000"/>
      </w:tblPr>
      <w:tblGrid>
        <w:gridCol w:w="5396"/>
        <w:gridCol w:w="5043"/>
      </w:tblGrid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Общая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>
              <w:rPr>
                <w:b/>
                <w:bCs/>
              </w:rPr>
              <w:t xml:space="preserve">Перевод </w:t>
            </w:r>
          </w:p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corporate brand is the company vision and mission manifested in a comprehensible way. As such, there should be no distinction between the business and the corporate brand. The role of </w:t>
            </w:r>
            <w:r>
              <w:rPr>
                <w:lang w:val="en-GB"/>
              </w:rPr>
              <w:t>the corporate brand articulates the company’s vision and values, clearly and openly to all stakeholders.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 w:rsidRPr="00564AD3">
              <w:t>Корпоративный бренд является видением и миссией компании, проявленными в исчерпывающем виде. Таким образом, не должно быть никакого различия между бизн</w:t>
            </w:r>
            <w:r w:rsidRPr="00564AD3">
              <w:t>есом и корпоративным брендом. Роль корпоративного бренда излагает видение и ценности компании, четко и открыто, для всех заинтересованных сторон.</w:t>
            </w:r>
          </w:p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Экономическая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>
              <w:rPr>
                <w:b/>
                <w:bCs/>
              </w:rPr>
              <w:t xml:space="preserve">Перевод </w:t>
            </w:r>
          </w:p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For instance, the bond markets in 1994 were so volatile that virtually any system co</w:t>
            </w:r>
            <w:r>
              <w:rPr>
                <w:lang w:val="en-GB"/>
              </w:rPr>
              <w:t>uld be successfully applied to garner significant profits in the March, June and September Bu</w:t>
            </w:r>
            <w:bookmarkStart w:id="0" w:name="_GoBack"/>
            <w:bookmarkEnd w:id="0"/>
            <w:r>
              <w:rPr>
                <w:lang w:val="en-GB"/>
              </w:rPr>
              <w:t>nd contracts. In other words, even a system back tested on a vast number of intraday bars is quite probably a long way from robustness.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 w:rsidRPr="00564AD3">
              <w:t>Например, рынки облигаций в</w:t>
            </w:r>
            <w:r w:rsidRPr="00564AD3">
              <w:t xml:space="preserve"> 1994 году были столь неустойчивыми, что практически любая система могла быть успешно применена, чтобы мобилизовать значительные прибыли в мартовских, июньских и сентябрьских Бунд контрактах. Другими словами, даже системы, обратно протестированные на огром</w:t>
            </w:r>
            <w:r w:rsidRPr="00564AD3">
              <w:t>ном количестве суточных баров, вполне вероятно далеки от надежности.</w:t>
            </w:r>
          </w:p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>
              <w:rPr>
                <w:b/>
                <w:bCs/>
              </w:rPr>
              <w:t xml:space="preserve">Юридическая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/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Any or all of the copyright owner's </w:t>
            </w:r>
            <w:r>
              <w:rPr>
                <w:b/>
                <w:bCs/>
                <w:i/>
                <w:iCs/>
                <w:lang w:val="en-US"/>
              </w:rPr>
              <w:t>exclusive</w:t>
            </w:r>
            <w:r>
              <w:rPr>
                <w:lang w:val="en-GB"/>
              </w:rPr>
              <w:t xml:space="preserve"> rights or any subdivision of those rights may be transferred, but the transfer of exclusive rights is not valid unless that t</w:t>
            </w:r>
            <w:r>
              <w:rPr>
                <w:lang w:val="en-GB"/>
              </w:rPr>
              <w:t>ransfer is in writing and signed by the owner of the rights conveyed or such owner's duly authorized agent. Transfer of a right on a nonexclusive basis does not require a written agreement.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 w:rsidRPr="00564AD3">
              <w:t>Любое или все из исключительных прав правообладателя или любое под</w:t>
            </w:r>
            <w:r w:rsidRPr="00564AD3">
              <w:t xml:space="preserve">разделение этих прав может быть передано. Но передача исключительных прав не действительна, если эта передача не осуществлена в письменной форме и не закреплена подписью владельца передаваемых прав, либо уполномоченным агентом такого владельца. </w:t>
            </w:r>
            <w:proofErr w:type="spellStart"/>
            <w:r>
              <w:rPr>
                <w:lang w:val="en-GB"/>
              </w:rPr>
              <w:t>Передача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пр</w:t>
            </w:r>
            <w:r>
              <w:rPr>
                <w:lang w:val="en-GB"/>
              </w:rPr>
              <w:t>ава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на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неэксклюзивной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основе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не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требует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письменного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соглашения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>
              <w:rPr>
                <w:b/>
                <w:bCs/>
              </w:rPr>
              <w:t xml:space="preserve">Медицинская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/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Hem-o-</w:t>
            </w:r>
            <w:proofErr w:type="spellStart"/>
            <w:r>
              <w:rPr>
                <w:lang w:val="en-GB"/>
              </w:rPr>
              <w:t>lok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Ligating</w:t>
            </w:r>
            <w:proofErr w:type="spellEnd"/>
            <w:r>
              <w:rPr>
                <w:lang w:val="en-GB"/>
              </w:rPr>
              <w:t xml:space="preserve"> Clips are single-</w:t>
            </w:r>
            <w:proofErr w:type="gramStart"/>
            <w:r>
              <w:rPr>
                <w:lang w:val="en-GB"/>
              </w:rPr>
              <w:t>use,</w:t>
            </w:r>
            <w:proofErr w:type="gramEnd"/>
            <w:r>
              <w:rPr>
                <w:lang w:val="en-GB"/>
              </w:rPr>
              <w:t xml:space="preserve"> non-absorbable, non-active implantable devices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designed for use in general surgical procedures that require vessel or tissue ligation. </w:t>
            </w:r>
            <w:r>
              <w:rPr>
                <w:lang w:val="en-GB"/>
              </w:rPr>
              <w:t>Clips are available in a range of sizes including Medium, Medium-Large, Large and Extra-Large,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providing the ability to </w:t>
            </w:r>
            <w:proofErr w:type="spellStart"/>
            <w:r>
              <w:rPr>
                <w:lang w:val="en-GB"/>
              </w:rPr>
              <w:t>ligate</w:t>
            </w:r>
            <w:proofErr w:type="spellEnd"/>
            <w:r>
              <w:rPr>
                <w:lang w:val="en-GB"/>
              </w:rPr>
              <w:t xml:space="preserve"> a wide range of vessel or tissue sizes.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 w:rsidRPr="00564AD3">
              <w:t xml:space="preserve">Лигатурные клипсы </w:t>
            </w:r>
            <w:r>
              <w:rPr>
                <w:lang w:val="en-GB"/>
              </w:rPr>
              <w:t>Hem</w:t>
            </w:r>
            <w:r w:rsidRPr="00564AD3">
              <w:t>-</w:t>
            </w:r>
            <w:r>
              <w:rPr>
                <w:lang w:val="en-GB"/>
              </w:rPr>
              <w:t>o</w:t>
            </w:r>
            <w:r w:rsidRPr="00564AD3">
              <w:t>-</w:t>
            </w:r>
            <w:proofErr w:type="spellStart"/>
            <w:r>
              <w:rPr>
                <w:lang w:val="en-GB"/>
              </w:rPr>
              <w:t>lok</w:t>
            </w:r>
            <w:proofErr w:type="spellEnd"/>
            <w:r w:rsidRPr="00564AD3">
              <w:t xml:space="preserve"> - это одноразового использования, не рассасывающиеся, не акт</w:t>
            </w:r>
            <w:r w:rsidRPr="00564AD3">
              <w:t xml:space="preserve">ивные имплантируемые устройства, предназначенные для использования в общих хирургических процедурах, при которых требуются перевязки сосудов или тканей. </w:t>
            </w:r>
            <w:r>
              <w:t xml:space="preserve">Клипсы доступны различных размеров, включая средний, </w:t>
            </w:r>
            <w:proofErr w:type="spellStart"/>
            <w:r>
              <w:t>средне-большой</w:t>
            </w:r>
            <w:proofErr w:type="spellEnd"/>
            <w:r>
              <w:t>, большой и очень большой, предостав</w:t>
            </w:r>
            <w:r>
              <w:t>ляя возможность перевязать широкий спектр размеров сосудов или тканей.</w:t>
            </w:r>
          </w:p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>
              <w:rPr>
                <w:b/>
                <w:bCs/>
              </w:rPr>
              <w:t>Техническая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/>
        </w:tc>
      </w:tr>
      <w:tr w:rsidR="00000000" w:rsidT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How to read a </w:t>
            </w:r>
            <w:proofErr w:type="spellStart"/>
            <w:r>
              <w:rPr>
                <w:lang w:val="en-GB"/>
              </w:rPr>
              <w:t>Wilden</w:t>
            </w:r>
            <w:proofErr w:type="spellEnd"/>
            <w:r>
              <w:rPr>
                <w:lang w:val="en-GB"/>
              </w:rPr>
              <w:t xml:space="preserve"> performance curve</w:t>
            </w:r>
          </w:p>
          <w:p w:rsidR="00000000" w:rsidRDefault="00B5360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Determine the flow rate your application requires and calculate the Total Discharge Head. Plot the intersection of the discharge he</w:t>
            </w:r>
            <w:r>
              <w:rPr>
                <w:lang w:val="en-GB"/>
              </w:rPr>
              <w:t xml:space="preserve">ad on the vertical axis to the flow rate on the horizontal axis. Now the air supply pressure and air supply volume can be extracted from the curve.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564AD3" w:rsidRDefault="00B53600">
            <w:r w:rsidRPr="00564AD3">
              <w:t xml:space="preserve">Как читать кривую производительности  </w:t>
            </w:r>
            <w:proofErr w:type="spellStart"/>
            <w:r w:rsidR="00564AD3">
              <w:rPr>
                <w:lang w:val="en-GB"/>
              </w:rPr>
              <w:t>Wilden</w:t>
            </w:r>
            <w:proofErr w:type="spellEnd"/>
          </w:p>
          <w:p w:rsidR="00000000" w:rsidRDefault="00B53600">
            <w:r w:rsidRPr="00564AD3">
              <w:t>Определите скорость потока, которая требуется вашему приложе</w:t>
            </w:r>
            <w:r w:rsidRPr="00564AD3">
              <w:t xml:space="preserve">нию, и рассчитайте общий напор (высоту нагнетания насоса). </w:t>
            </w:r>
            <w:r>
              <w:t xml:space="preserve">Составьте график высоты нагнетания (напора) по вертикальной оси к скорости потока по горизонтальной оси. </w:t>
            </w:r>
            <w:r w:rsidRPr="00564AD3">
              <w:t xml:space="preserve">Теперь давление подачи </w:t>
            </w:r>
            <w:r w:rsidRPr="00564AD3">
              <w:lastRenderedPageBreak/>
              <w:t>воздуха и объем подачи воздуха могут быть извлечены из кривой.</w:t>
            </w:r>
          </w:p>
        </w:tc>
      </w:tr>
    </w:tbl>
    <w:p w:rsidR="00000000" w:rsidRDefault="00B53600"/>
    <w:p w:rsidR="00000000" w:rsidRDefault="00B53600">
      <w:pPr>
        <w:pStyle w:val="ListParagraph"/>
        <w:numPr>
          <w:ilvl w:val="0"/>
          <w:numId w:val="2"/>
        </w:numPr>
        <w:tabs>
          <w:tab w:val="left" w:pos="1440"/>
        </w:tabs>
        <w:ind w:left="1440"/>
        <w:rPr>
          <w:b/>
          <w:bCs/>
        </w:rPr>
      </w:pPr>
      <w:r>
        <w:rPr>
          <w:b/>
          <w:bCs/>
          <w:i/>
          <w:iCs/>
          <w:sz w:val="24"/>
        </w:rPr>
        <w:t>С русского на английский  язык:</w:t>
      </w:r>
    </w:p>
    <w:tbl>
      <w:tblPr>
        <w:tblW w:w="0" w:type="auto"/>
        <w:tblInd w:w="-252" w:type="dxa"/>
        <w:tblLayout w:type="fixed"/>
        <w:tblLook w:val="0000"/>
      </w:tblPr>
      <w:tblGrid>
        <w:gridCol w:w="5396"/>
        <w:gridCol w:w="5043"/>
      </w:tblGrid>
      <w:tr w:rsidR="00000000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Общая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>
              <w:rPr>
                <w:b/>
                <w:bCs/>
              </w:rPr>
              <w:t xml:space="preserve">Перевод </w:t>
            </w:r>
          </w:p>
        </w:tc>
      </w:tr>
      <w:tr w:rsidR="00000000" w:rsidRP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>
              <w:t xml:space="preserve">Основанная в 1999 году, компания NASL начала работу как авторизованный дилер CGR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в России и за 3 года добилась значительного роста. Сегодня компания обладает целым комплексом современ</w:t>
            </w:r>
            <w:r>
              <w:t>ных инструментов, позволяющих оптимизировать финансово-хозяйственную деятельность предприятия. NASL работает с лучшими фирмами-производителями систем.  Мы помогаем выбрать и внедрить оптимальное решение из многих, представленных на рынке.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564AD3" w:rsidRDefault="00B53600">
            <w:pPr>
              <w:jc w:val="both"/>
              <w:rPr>
                <w:lang w:val="en-US"/>
              </w:rPr>
            </w:pPr>
            <w:r w:rsidRPr="00564AD3">
              <w:rPr>
                <w:lang w:val="en-US"/>
              </w:rPr>
              <w:t>Founded in the ye</w:t>
            </w:r>
            <w:r w:rsidRPr="00564AD3">
              <w:rPr>
                <w:lang w:val="en-US"/>
              </w:rPr>
              <w:t xml:space="preserve">ar 1999, the NASL company began </w:t>
            </w:r>
            <w:r w:rsidR="00564AD3">
              <w:rPr>
                <w:lang w:val="en-US"/>
              </w:rPr>
              <w:t xml:space="preserve">to work as an </w:t>
            </w:r>
            <w:r w:rsidRPr="00564AD3">
              <w:rPr>
                <w:lang w:val="en-US"/>
              </w:rPr>
              <w:t>authorized dealer of</w:t>
            </w:r>
            <w:r w:rsidR="00564AD3">
              <w:rPr>
                <w:lang w:val="en-US"/>
              </w:rPr>
              <w:t xml:space="preserve"> the</w:t>
            </w:r>
            <w:r w:rsidRPr="00564AD3">
              <w:rPr>
                <w:lang w:val="en-US"/>
              </w:rPr>
              <w:t xml:space="preserve"> CGR Business Solutions in Russia, and for 3 years has achieved significant growth. Today the company has a whole set of modern tools to optimize financial and economic activity of the enterp</w:t>
            </w:r>
            <w:r w:rsidRPr="00564AD3">
              <w:rPr>
                <w:lang w:val="en-US"/>
              </w:rPr>
              <w:t>rise. NASL works with the best manufacturers of systems.  We help you choose and implement the optimal solution from many on the market.</w:t>
            </w:r>
          </w:p>
        </w:tc>
      </w:tr>
      <w:tr w:rsidR="00000000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Экономическая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>
              <w:rPr>
                <w:b/>
                <w:bCs/>
              </w:rPr>
              <w:t xml:space="preserve">Перевод </w:t>
            </w:r>
          </w:p>
        </w:tc>
      </w:tr>
      <w:tr w:rsidR="00000000" w:rsidRP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>
              <w:t>Интерес к финансовому рынку страны понятен и закономерен. Приватизация сделала возможной поку</w:t>
            </w:r>
            <w:r>
              <w:t>пку акций и облигаций. Крупные национальные фирмы выходят на западные рынки со своими ценными бумагами. В 1997 году фонды, которые специализировались на рынке страны, выросли в цене примерно в полтора-два раза. Хотя к концу года в связи с внешними событиям</w:t>
            </w:r>
            <w:r>
              <w:t>и рынок страны «упал» процентов на 30, такая высокая доходность не может не привлечь внимания.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564AD3" w:rsidRDefault="00B53600">
            <w:pPr>
              <w:jc w:val="both"/>
              <w:rPr>
                <w:lang w:val="en-US"/>
              </w:rPr>
            </w:pPr>
            <w:r w:rsidRPr="00564AD3">
              <w:rPr>
                <w:lang w:val="en-US"/>
              </w:rPr>
              <w:t>Interest in the financial market of the country is clear and understandable. Privatization has made possible the purchase of shares and bonds. Large national fir</w:t>
            </w:r>
            <w:r w:rsidRPr="00564AD3">
              <w:rPr>
                <w:lang w:val="en-US"/>
              </w:rPr>
              <w:t>ms overlook the Western markets wit</w:t>
            </w:r>
            <w:r w:rsidR="00564AD3">
              <w:rPr>
                <w:lang w:val="en-US"/>
              </w:rPr>
              <w:t>h their securities. In 1997,</w:t>
            </w:r>
            <w:r w:rsidRPr="00564AD3">
              <w:rPr>
                <w:lang w:val="en-US"/>
              </w:rPr>
              <w:t xml:space="preserve"> funds that spe</w:t>
            </w:r>
            <w:r w:rsidR="00564AD3">
              <w:rPr>
                <w:lang w:val="en-US"/>
              </w:rPr>
              <w:t>cialized in the domestic market</w:t>
            </w:r>
            <w:r w:rsidRPr="00564AD3">
              <w:rPr>
                <w:lang w:val="en-US"/>
              </w:rPr>
              <w:t xml:space="preserve"> rose in price in about 1.5-2 times. Although by the end of the year</w:t>
            </w:r>
            <w:r w:rsidR="00564AD3">
              <w:rPr>
                <w:lang w:val="en-US"/>
              </w:rPr>
              <w:t>,</w:t>
            </w:r>
            <w:r w:rsidRPr="00564AD3">
              <w:rPr>
                <w:lang w:val="en-US"/>
              </w:rPr>
              <w:t xml:space="preserve"> due to external events</w:t>
            </w:r>
            <w:r w:rsidR="00564AD3">
              <w:rPr>
                <w:lang w:val="en-US"/>
              </w:rPr>
              <w:t>,</w:t>
            </w:r>
            <w:r w:rsidRPr="00564AD3">
              <w:rPr>
                <w:lang w:val="en-US"/>
              </w:rPr>
              <w:t xml:space="preserve"> market dropped 30 percent on</w:t>
            </w:r>
            <w:r w:rsidR="00564AD3">
              <w:rPr>
                <w:lang w:val="en-US"/>
              </w:rPr>
              <w:t>,</w:t>
            </w:r>
            <w:r w:rsidRPr="00564AD3">
              <w:rPr>
                <w:lang w:val="en-US"/>
              </w:rPr>
              <w:t xml:space="preserve"> such high yield canno</w:t>
            </w:r>
            <w:r w:rsidRPr="00564AD3">
              <w:rPr>
                <w:lang w:val="en-US"/>
              </w:rPr>
              <w:t>t fail to attract attention.</w:t>
            </w:r>
          </w:p>
        </w:tc>
      </w:tr>
      <w:tr w:rsidR="00000000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Юридическая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r>
              <w:rPr>
                <w:b/>
                <w:bCs/>
              </w:rPr>
              <w:t xml:space="preserve">Перевод </w:t>
            </w:r>
          </w:p>
        </w:tc>
      </w:tr>
      <w:tr w:rsidR="00000000" w:rsidRPr="00564AD3">
        <w:tc>
          <w:tcPr>
            <w:tcW w:w="5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53600">
            <w:pPr>
              <w:jc w:val="both"/>
            </w:pPr>
            <w:r>
              <w:t xml:space="preserve">Несмотря на </w:t>
            </w:r>
            <w:proofErr w:type="gramStart"/>
            <w:r>
              <w:t>то</w:t>
            </w:r>
            <w:proofErr w:type="gramEnd"/>
            <w:r>
              <w:t xml:space="preserve"> что судебные акты по данной категории дел вступают в силу немедленно, они могут быть пересмотрены в апелляционном порядке. Любой из участников дела может обжаловать такой акт в десятидневн</w:t>
            </w:r>
            <w:r>
              <w:t xml:space="preserve">ый срок. В то же время, хотя судебный акт всегда влечет правовые последствия, апелляционная инстанция не может его приостановить. </w:t>
            </w:r>
          </w:p>
        </w:tc>
        <w:tc>
          <w:tcPr>
            <w:tcW w:w="50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564AD3" w:rsidRDefault="00B53600">
            <w:pPr>
              <w:jc w:val="both"/>
              <w:rPr>
                <w:lang w:val="en-US"/>
              </w:rPr>
            </w:pPr>
            <w:r w:rsidRPr="00564AD3">
              <w:rPr>
                <w:lang w:val="en-US"/>
              </w:rPr>
              <w:t>In spite of the fact that judicial acts on this category of cases take effect immediately, they may be reviewed on appeal. An</w:t>
            </w:r>
            <w:r w:rsidRPr="00564AD3">
              <w:rPr>
                <w:lang w:val="en-US"/>
              </w:rPr>
              <w:t xml:space="preserve">y of the parties to the proceedings may appeal against such an act within ten days. At the same time, while the legal consequences necessarily Act, the appeals body cannot pause. </w:t>
            </w:r>
          </w:p>
        </w:tc>
      </w:tr>
    </w:tbl>
    <w:p w:rsidR="00B53600" w:rsidRPr="00564AD3" w:rsidRDefault="00B53600">
      <w:pPr>
        <w:rPr>
          <w:lang w:val="en-US"/>
        </w:rPr>
      </w:pPr>
    </w:p>
    <w:sectPr w:rsidR="00B53600" w:rsidRPr="00564AD3">
      <w:pgSz w:w="11906" w:h="16838"/>
      <w:pgMar w:top="663" w:right="851" w:bottom="663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304">
    <w:altName w:val="MS PMincho"/>
    <w:charset w:val="8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64AD3"/>
    <w:rsid w:val="00564AD3"/>
    <w:rsid w:val="00A75270"/>
    <w:rsid w:val="00B5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jc w:val="both"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DefaultParagraphFont">
    <w:name w:val="Default Paragraph Font"/>
  </w:style>
  <w:style w:type="character" w:customStyle="1" w:styleId="2">
    <w:name w:val="Основной текст 2 Знак"/>
    <w:basedOn w:val="DefaultParagraphFont"/>
    <w:rPr>
      <w:rFonts w:ascii="Arial" w:eastAsia="Arial" w:hAnsi="Arial" w:cs="Times New Roman"/>
      <w:sz w:val="20"/>
    </w:rPr>
  </w:style>
  <w:style w:type="character" w:customStyle="1" w:styleId="10">
    <w:name w:val="Заголовок 1 Знак"/>
    <w:basedOn w:val="DefaultParagraphFont"/>
    <w:rPr>
      <w:rFonts w:ascii="Times New Roman" w:eastAsia="Times New Roman" w:hAnsi="Times New Roman" w:cs="Times New Roman"/>
      <w:b/>
      <w:bCs/>
      <w:sz w:val="24"/>
    </w:rPr>
  </w:style>
  <w:style w:type="character" w:customStyle="1" w:styleId="a4">
    <w:name w:val="Âûäåëåíèå"/>
    <w:rPr>
      <w:i w:val="0"/>
      <w:iCs w:val="0"/>
    </w:rPr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Arial" w:eastAsia="Mangal" w:hAnsi="Arial" w:cs="Microsoft YaHei"/>
      <w:sz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eastAsia="Mangal"/>
    </w:rPr>
  </w:style>
  <w:style w:type="paragraph" w:customStyle="1" w:styleId="11">
    <w:name w:val="Название1"/>
    <w:basedOn w:val="a"/>
    <w:pPr>
      <w:spacing w:before="120" w:after="120"/>
    </w:pPr>
    <w:rPr>
      <w:rFonts w:eastAsia="Mangal"/>
      <w:i/>
      <w:iCs/>
    </w:rPr>
  </w:style>
  <w:style w:type="paragraph" w:customStyle="1" w:styleId="12">
    <w:name w:val="Указатель1"/>
    <w:basedOn w:val="a"/>
    <w:rPr>
      <w:rFonts w:eastAsia="Mangal"/>
    </w:rPr>
  </w:style>
  <w:style w:type="paragraph" w:customStyle="1" w:styleId="ListParagraph">
    <w:name w:val="List Paragraph"/>
    <w:basedOn w:val="a"/>
    <w:pPr>
      <w:spacing w:after="200" w:line="276" w:lineRule="auto"/>
      <w:ind w:left="720"/>
    </w:pPr>
    <w:rPr>
      <w:rFonts w:ascii="Calibri" w:eastAsia="font304" w:hAnsi="Calibri"/>
      <w:sz w:val="22"/>
    </w:rPr>
  </w:style>
  <w:style w:type="paragraph" w:customStyle="1" w:styleId="BodyText2">
    <w:name w:val="Body Text 2"/>
    <w:basedOn w:val="a"/>
    <w:rPr>
      <w:rFonts w:ascii="Arial" w:eastAsia="Arial" w:hAnsi="Arial"/>
      <w:sz w:val="20"/>
    </w:rPr>
  </w:style>
  <w:style w:type="paragraph" w:customStyle="1" w:styleId="13">
    <w:name w:val="Обычный1"/>
    <w:pPr>
      <w:widowControl w:val="0"/>
      <w:suppressAutoHyphens/>
      <w:autoSpaceDE w:val="0"/>
      <w:spacing w:before="100" w:after="100" w:line="100" w:lineRule="atLeast"/>
    </w:pPr>
    <w:rPr>
      <w:sz w:val="24"/>
      <w:szCs w:val="24"/>
      <w:lang w:eastAsia="hi-IN" w:bidi="hi-IN"/>
    </w:rPr>
  </w:style>
  <w:style w:type="paragraph" w:customStyle="1" w:styleId="20">
    <w:name w:val="Обычный2"/>
    <w:pPr>
      <w:widowControl w:val="0"/>
      <w:suppressAutoHyphens/>
      <w:autoSpaceDE w:val="0"/>
      <w:spacing w:before="100" w:after="100" w:line="100" w:lineRule="atLeast"/>
    </w:pPr>
    <w:rPr>
      <w:sz w:val="24"/>
      <w:szCs w:val="24"/>
      <w:lang w:eastAsia="hi-IN" w:bidi="hi-IN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Âèòàëèé</dc:creator>
  <cp:lastModifiedBy>Виталий</cp:lastModifiedBy>
  <cp:revision>2</cp:revision>
  <cp:lastPrinted>1601-01-01T00:00:00Z</cp:lastPrinted>
  <dcterms:created xsi:type="dcterms:W3CDTF">2017-03-02T18:49:00Z</dcterms:created>
  <dcterms:modified xsi:type="dcterms:W3CDTF">2017-03-02T18:49:00Z</dcterms:modified>
</cp:coreProperties>
</file>