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24E6" w14:textId="3A87C420" w:rsidR="00D22E6C" w:rsidRPr="006C55AB" w:rsidRDefault="00D22E6C" w:rsidP="00480EB7">
      <w:pPr>
        <w:rPr>
          <w:b/>
          <w:bCs/>
          <w:sz w:val="32"/>
          <w:szCs w:val="32"/>
        </w:rPr>
      </w:pPr>
      <w:r w:rsidRPr="006C55AB">
        <w:rPr>
          <w:b/>
          <w:bCs/>
          <w:sz w:val="32"/>
          <w:szCs w:val="32"/>
        </w:rPr>
        <w:t xml:space="preserve">Minnesota </w:t>
      </w:r>
      <w:r w:rsidR="007502FC" w:rsidRPr="006C55AB">
        <w:rPr>
          <w:b/>
          <w:bCs/>
          <w:sz w:val="32"/>
          <w:szCs w:val="32"/>
        </w:rPr>
        <w:t>Energy Policy Simulator (EPS)</w:t>
      </w:r>
      <w:r w:rsidRPr="006C55AB">
        <w:rPr>
          <w:b/>
          <w:bCs/>
          <w:sz w:val="32"/>
          <w:szCs w:val="32"/>
        </w:rPr>
        <w:t xml:space="preserve"> </w:t>
      </w:r>
      <w:r w:rsidR="00DD5391">
        <w:rPr>
          <w:b/>
          <w:bCs/>
          <w:sz w:val="32"/>
          <w:szCs w:val="32"/>
        </w:rPr>
        <w:t>Summary Documentation</w:t>
      </w:r>
    </w:p>
    <w:p w14:paraId="723D51B5" w14:textId="0B6C22D5" w:rsidR="00D22E6C" w:rsidRPr="005A694D" w:rsidRDefault="00D22E6C" w:rsidP="003D1C5E">
      <w:pPr>
        <w:pStyle w:val="Heading1"/>
        <w:rPr>
          <w:rFonts w:asciiTheme="minorHAnsi" w:hAnsiTheme="minorHAnsi"/>
          <w:sz w:val="28"/>
        </w:rPr>
      </w:pPr>
      <w:r w:rsidRPr="005A694D">
        <w:rPr>
          <w:rFonts w:asciiTheme="minorHAnsi" w:hAnsiTheme="minorHAnsi"/>
          <w:sz w:val="28"/>
        </w:rPr>
        <w:t xml:space="preserve">Estimating </w:t>
      </w:r>
      <w:r w:rsidR="005F42D8" w:rsidRPr="005A694D">
        <w:rPr>
          <w:rFonts w:asciiTheme="minorHAnsi" w:hAnsiTheme="minorHAnsi"/>
          <w:sz w:val="28"/>
        </w:rPr>
        <w:t>E</w:t>
      </w:r>
      <w:r w:rsidRPr="005A694D">
        <w:rPr>
          <w:rFonts w:asciiTheme="minorHAnsi" w:hAnsiTheme="minorHAnsi"/>
          <w:sz w:val="28"/>
        </w:rPr>
        <w:t xml:space="preserve">conomywide </w:t>
      </w:r>
      <w:r w:rsidR="005F42D8" w:rsidRPr="005A694D">
        <w:rPr>
          <w:rFonts w:asciiTheme="minorHAnsi" w:hAnsiTheme="minorHAnsi"/>
          <w:sz w:val="28"/>
        </w:rPr>
        <w:t>E</w:t>
      </w:r>
      <w:r w:rsidRPr="005A694D">
        <w:rPr>
          <w:rFonts w:asciiTheme="minorHAnsi" w:hAnsiTheme="minorHAnsi"/>
          <w:sz w:val="28"/>
        </w:rPr>
        <w:t>missions for Minnesota</w:t>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p>
    <w:p w14:paraId="3C83A3A8" w14:textId="295C28E1" w:rsidR="008C6F1E" w:rsidRDefault="007502FC" w:rsidP="003D1C5E">
      <w:r>
        <w:t xml:space="preserve">The </w:t>
      </w:r>
      <w:r w:rsidR="008C6F1E">
        <w:t>Minnesota</w:t>
      </w:r>
      <w:r w:rsidRPr="006C55AB">
        <w:t xml:space="preserve"> Energy Policy Simulator (EPS) accounts for emissions produced in the following sectors: electricity generation, building energy consumption, industrial energy consumption, industrial process </w:t>
      </w:r>
      <w:r w:rsidR="00E13000" w:rsidRPr="006C55AB">
        <w:t>emissions</w:t>
      </w:r>
      <w:r w:rsidRPr="006C55AB">
        <w:t xml:space="preserve">, agriculture process emissions, land use change, and transportation. </w:t>
      </w:r>
    </w:p>
    <w:p w14:paraId="56EA75E1" w14:textId="5AFBA667" w:rsidR="003D1C5E" w:rsidRPr="006C55AB" w:rsidRDefault="007165D8" w:rsidP="003D1C5E">
      <w:r w:rsidRPr="006C55AB">
        <w:t xml:space="preserve">Our </w:t>
      </w:r>
      <w:r w:rsidR="00DE0857" w:rsidRPr="006C55AB">
        <w:t xml:space="preserve">primary sources are federal data sets from the Environmental Protection Agency (EPA), Energy Information Association (EIA), and the National Renewable Energy Lab (NREL). We supplemented </w:t>
      </w:r>
      <w:r w:rsidR="00643E76" w:rsidRPr="006C55AB">
        <w:t>national data</w:t>
      </w:r>
      <w:r w:rsidR="00DE0857" w:rsidRPr="006C55AB">
        <w:t xml:space="preserve"> with state-specific estimates of agricultural emissions and </w:t>
      </w:r>
      <w:r w:rsidR="00643E76" w:rsidRPr="006C55AB">
        <w:t xml:space="preserve">emissions associated with land use change. </w:t>
      </w:r>
      <w:r w:rsidR="006F13AB" w:rsidRPr="006C55AB">
        <w:t>The table below summarizes our data sources and methodology.</w:t>
      </w:r>
    </w:p>
    <w:p w14:paraId="3D0C503B" w14:textId="6C85E1E9" w:rsidR="00FD749E" w:rsidRPr="00D06332" w:rsidRDefault="00D22E6C" w:rsidP="00480EB7">
      <w:pPr>
        <w:pStyle w:val="Heading2"/>
        <w:rPr>
          <w:rStyle w:val="Heading2Char"/>
          <w:rFonts w:asciiTheme="minorHAnsi" w:hAnsiTheme="minorHAnsi"/>
          <w:b/>
          <w:caps/>
        </w:rPr>
      </w:pPr>
      <w:r w:rsidRPr="00D06332">
        <w:rPr>
          <w:rFonts w:asciiTheme="minorHAnsi" w:hAnsiTheme="minorHAnsi"/>
        </w:rPr>
        <w:t>Data Sources</w:t>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Style w:val="Heading2Char"/>
          <w:rFonts w:asciiTheme="minorHAnsi" w:hAnsiTheme="minorHAnsi"/>
          <w:b/>
          <w:caps/>
        </w:rPr>
        <w:tab/>
      </w:r>
      <w:r w:rsidRPr="00D06332">
        <w:rPr>
          <w:rStyle w:val="Heading2Char"/>
          <w:rFonts w:asciiTheme="minorHAnsi" w:hAnsiTheme="minorHAnsi"/>
          <w:b/>
          <w:caps/>
        </w:rPr>
        <w:tab/>
      </w:r>
    </w:p>
    <w:tbl>
      <w:tblPr>
        <w:tblW w:w="14390" w:type="dxa"/>
        <w:tblCellMar>
          <w:top w:w="15" w:type="dxa"/>
          <w:left w:w="15" w:type="dxa"/>
          <w:bottom w:w="15" w:type="dxa"/>
          <w:right w:w="15" w:type="dxa"/>
        </w:tblCellMar>
        <w:tblLook w:val="04A0" w:firstRow="1" w:lastRow="0" w:firstColumn="1" w:lastColumn="0" w:noHBand="0" w:noVBand="1"/>
      </w:tblPr>
      <w:tblGrid>
        <w:gridCol w:w="1710"/>
        <w:gridCol w:w="2455"/>
        <w:gridCol w:w="2741"/>
        <w:gridCol w:w="3723"/>
        <w:gridCol w:w="3761"/>
      </w:tblGrid>
      <w:tr w:rsidR="00FD749E" w:rsidRPr="00F110A6" w14:paraId="110793C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1C6EBE34"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F83916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56E055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8CED9A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3280C4B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Benchmarking Sources for Comparisons</w:t>
            </w:r>
          </w:p>
        </w:tc>
      </w:tr>
      <w:tr w:rsidR="00FD749E" w:rsidRPr="00F110A6" w14:paraId="4DF4314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6ABDC17D"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C41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3425"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For capacity and generation: EIA’s </w:t>
            </w:r>
            <w:hyperlink r:id="rId11" w:history="1">
              <w:r w:rsidRPr="00F110A6">
                <w:rPr>
                  <w:rStyle w:val="Hyperlink"/>
                  <w:rFonts w:asciiTheme="minorHAnsi" w:hAnsiTheme="minorHAnsi" w:cstheme="minorHAnsi"/>
                  <w:color w:val="1155CC"/>
                  <w:sz w:val="20"/>
                  <w:szCs w:val="20"/>
                </w:rPr>
                <w:t>Form 923</w:t>
              </w:r>
            </w:hyperlink>
            <w:r w:rsidRPr="00F110A6">
              <w:rPr>
                <w:rFonts w:asciiTheme="minorHAnsi" w:hAnsiTheme="minorHAnsi" w:cstheme="minorHAnsi"/>
                <w:color w:val="000000"/>
                <w:sz w:val="20"/>
                <w:szCs w:val="20"/>
              </w:rPr>
              <w:t xml:space="preserve"> and EIA’s </w:t>
            </w:r>
            <w:hyperlink r:id="rId12" w:history="1">
              <w:r w:rsidRPr="00F110A6">
                <w:rPr>
                  <w:rStyle w:val="Hyperlink"/>
                  <w:rFonts w:asciiTheme="minorHAnsi" w:hAnsiTheme="minorHAnsi" w:cstheme="minorHAnsi"/>
                  <w:color w:val="1155CC"/>
                  <w:sz w:val="20"/>
                  <w:szCs w:val="20"/>
                </w:rPr>
                <w:t>Form 860</w:t>
              </w:r>
            </w:hyperlink>
          </w:p>
          <w:p w14:paraId="7A843319" w14:textId="77777777" w:rsidR="00FD749E" w:rsidRPr="00F110A6" w:rsidRDefault="00FD749E" w:rsidP="009F491D">
            <w:pPr>
              <w:spacing w:after="0"/>
              <w:rPr>
                <w:rFonts w:cstheme="minorHAnsi"/>
                <w:sz w:val="20"/>
                <w:szCs w:val="20"/>
              </w:rPr>
            </w:pPr>
          </w:p>
          <w:p w14:paraId="3CA9471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For imports/exports: EIA’s State Electricity Profiles </w:t>
            </w:r>
            <w:hyperlink r:id="rId13" w:history="1">
              <w:r w:rsidRPr="00F110A6">
                <w:rPr>
                  <w:rStyle w:val="Hyperlink"/>
                  <w:rFonts w:asciiTheme="minorHAnsi" w:hAnsiTheme="minorHAnsi" w:cstheme="minorHAnsi"/>
                  <w:color w:val="1155CC"/>
                  <w:sz w:val="20"/>
                  <w:szCs w:val="20"/>
                </w:rPr>
                <w:t>Table 10. </w:t>
              </w:r>
            </w:hyperlink>
          </w:p>
          <w:p w14:paraId="4519CEEB" w14:textId="77777777" w:rsidR="00FD749E" w:rsidRPr="00F110A6" w:rsidRDefault="00FD749E" w:rsidP="009F491D">
            <w:pPr>
              <w:spacing w:after="0"/>
              <w:rPr>
                <w:rFonts w:cstheme="minorHAnsi"/>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EDB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E90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14"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56EFF0C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15"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4E58A185"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C13FCE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66D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C9F5" w14:textId="77777777" w:rsidR="00FD749E" w:rsidRPr="00F110A6" w:rsidRDefault="008C6005" w:rsidP="009F491D">
            <w:pPr>
              <w:pStyle w:val="NormalWeb"/>
              <w:spacing w:before="0" w:beforeAutospacing="0" w:after="0" w:afterAutospacing="0"/>
              <w:rPr>
                <w:rFonts w:asciiTheme="minorHAnsi" w:hAnsiTheme="minorHAnsi" w:cstheme="minorHAnsi"/>
                <w:sz w:val="20"/>
                <w:szCs w:val="20"/>
              </w:rPr>
            </w:pPr>
            <w:hyperlink r:id="rId16" w:history="1">
              <w:r w:rsidR="00FD749E" w:rsidRPr="00F110A6">
                <w:rPr>
                  <w:rStyle w:val="Hyperlink"/>
                  <w:rFonts w:asciiTheme="minorHAnsi" w:hAnsiTheme="minorHAnsi" w:cstheme="min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2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D5C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Energy Use - </w:t>
            </w:r>
            <w:r w:rsidRPr="00F110A6">
              <w:rPr>
                <w:rFonts w:asciiTheme="minorHAnsi" w:hAnsiTheme="minorHAnsi" w:cstheme="minorHAnsi"/>
                <w:color w:val="000000"/>
                <w:sz w:val="20"/>
                <w:szCs w:val="20"/>
              </w:rPr>
              <w:t>EIA’s “</w:t>
            </w:r>
            <w:hyperlink r:id="rId17" w:history="1">
              <w:r w:rsidRPr="00F110A6">
                <w:rPr>
                  <w:rStyle w:val="Hyperlink"/>
                  <w:rFonts w:asciiTheme="minorHAnsi" w:hAnsiTheme="minorHAnsi" w:cstheme="minorHAnsi"/>
                  <w:color w:val="1155CC"/>
                  <w:sz w:val="20"/>
                  <w:szCs w:val="20"/>
                </w:rPr>
                <w:t>State Energy Data Systems</w:t>
              </w:r>
            </w:hyperlink>
            <w:r w:rsidRPr="00F110A6">
              <w:rPr>
                <w:rFonts w:asciiTheme="minorHAnsi" w:hAnsiTheme="minorHAnsi" w:cstheme="minorHAnsi"/>
                <w:color w:val="000000"/>
                <w:sz w:val="20"/>
                <w:szCs w:val="20"/>
              </w:rPr>
              <w:t>” 2018</w:t>
            </w:r>
          </w:p>
          <w:p w14:paraId="0072C76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CO2 Emissions - </w:t>
            </w:r>
            <w:r w:rsidRPr="00F110A6">
              <w:rPr>
                <w:rFonts w:asciiTheme="minorHAnsi" w:hAnsiTheme="minorHAnsi" w:cstheme="minorHAnsi"/>
                <w:color w:val="000000"/>
                <w:sz w:val="20"/>
                <w:szCs w:val="20"/>
              </w:rPr>
              <w:t>AEO “</w:t>
            </w:r>
            <w:hyperlink r:id="rId18"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733A8987"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93942C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F0CE"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CF0FE" w14:textId="77777777" w:rsidR="00FD749E" w:rsidRPr="00F110A6" w:rsidRDefault="008C6005" w:rsidP="009F491D">
            <w:pPr>
              <w:pStyle w:val="NormalWeb"/>
              <w:spacing w:before="0" w:beforeAutospacing="0" w:after="0" w:afterAutospacing="0"/>
              <w:rPr>
                <w:rFonts w:asciiTheme="minorHAnsi" w:hAnsiTheme="minorHAnsi" w:cstheme="minorHAnsi"/>
                <w:sz w:val="20"/>
                <w:szCs w:val="20"/>
              </w:rPr>
            </w:pPr>
            <w:hyperlink r:id="rId19" w:history="1">
              <w:r w:rsidR="00FD749E" w:rsidRPr="00F110A6">
                <w:rPr>
                  <w:rStyle w:val="Hyperlink"/>
                  <w:rFonts w:asciiTheme="minorHAnsi" w:hAnsiTheme="minorHAnsi" w:cstheme="minorHAnsi"/>
                  <w:color w:val="1155CC"/>
                  <w:sz w:val="20"/>
                  <w:szCs w:val="20"/>
                </w:rPr>
                <w:t>Energy Information Association’s Annual Energy Outlook tables on Industrial Energy Use</w:t>
              </w:r>
            </w:hyperlink>
            <w:r w:rsidR="00FD749E" w:rsidRPr="00F110A6">
              <w:rPr>
                <w:rFonts w:asciiTheme="minorHAnsi" w:hAnsiTheme="minorHAnsi" w:cstheme="minorHAnsi"/>
                <w:color w:val="000000"/>
                <w:sz w:val="20"/>
                <w:szCs w:val="20"/>
              </w:rPr>
              <w:t xml:space="preserve"> &amp;</w:t>
            </w:r>
          </w:p>
          <w:p w14:paraId="10D6182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EIA’s “</w:t>
            </w:r>
            <w:hyperlink r:id="rId20" w:history="1">
              <w:r w:rsidRPr="00F110A6">
                <w:rPr>
                  <w:rStyle w:val="Hyperlink"/>
                  <w:rFonts w:asciiTheme="minorHAnsi" w:hAnsiTheme="minorHAnsi" w:cstheme="minorHAnsi"/>
                  <w:color w:val="1155CC"/>
                  <w:sz w:val="20"/>
                  <w:szCs w:val="20"/>
                </w:rPr>
                <w:t>State Energy Data Systems</w:t>
              </w:r>
            </w:hyperlink>
            <w:r w:rsidRPr="00F110A6">
              <w:rPr>
                <w:rFonts w:asciiTheme="minorHAnsi" w:hAnsiTheme="minorHAnsi" w:cstheme="minorHAnsi"/>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DF9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Scaled down by Census Data (</w:t>
            </w:r>
            <w:hyperlink r:id="rId21" w:history="1">
              <w:r w:rsidRPr="00F110A6">
                <w:rPr>
                  <w:rStyle w:val="Hyperlink"/>
                  <w:rFonts w:asciiTheme="minorHAnsi" w:hAnsiTheme="minorHAnsi" w:cstheme="minorHAnsi"/>
                  <w:color w:val="1155CC"/>
                  <w:sz w:val="20"/>
                  <w:szCs w:val="20"/>
                </w:rPr>
                <w:t>County Business Patterns</w:t>
              </w:r>
            </w:hyperlink>
            <w:r w:rsidRPr="00F110A6">
              <w:rPr>
                <w:rFonts w:asciiTheme="minorHAnsi" w:hAnsiTheme="minorHAnsi" w:cstheme="minorHAnsi"/>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B57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Energy Use - </w:t>
            </w:r>
            <w:r w:rsidRPr="00F110A6">
              <w:rPr>
                <w:rFonts w:asciiTheme="minorHAnsi" w:hAnsiTheme="minorHAnsi" w:cstheme="minorHAnsi"/>
                <w:color w:val="000000"/>
                <w:sz w:val="20"/>
                <w:szCs w:val="20"/>
              </w:rPr>
              <w:t>NREL Electrification Futures and SEDS</w:t>
            </w:r>
          </w:p>
          <w:p w14:paraId="7AE940E5"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22"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616B7A2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23"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7F3A9FA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7BAEBF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59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28F8" w14:textId="77777777" w:rsidR="00FD749E" w:rsidRPr="00F110A6" w:rsidRDefault="008C6005" w:rsidP="009F491D">
            <w:pPr>
              <w:pStyle w:val="NormalWeb"/>
              <w:spacing w:before="0" w:beforeAutospacing="0" w:after="0" w:afterAutospacing="0"/>
              <w:rPr>
                <w:rFonts w:asciiTheme="minorHAnsi" w:hAnsiTheme="minorHAnsi" w:cstheme="minorHAnsi"/>
                <w:sz w:val="20"/>
                <w:szCs w:val="20"/>
              </w:rPr>
            </w:pPr>
            <w:hyperlink r:id="rId24" w:history="1">
              <w:r w:rsidR="00FD749E" w:rsidRPr="00F110A6">
                <w:rPr>
                  <w:rStyle w:val="Hyperlink"/>
                  <w:rFonts w:asciiTheme="minorHAnsi" w:hAnsiTheme="minorHAnsi" w:cstheme="minorHAnsi"/>
                  <w:color w:val="1155CC"/>
                  <w:sz w:val="20"/>
                  <w:szCs w:val="20"/>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8DE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Scaled down US data to state data using a variety of sources, including data from EPA’s </w:t>
            </w:r>
            <w:hyperlink r:id="rId25" w:history="1">
              <w:r w:rsidRPr="00F110A6">
                <w:rPr>
                  <w:rStyle w:val="Hyperlink"/>
                  <w:rFonts w:asciiTheme="minorHAnsi" w:hAnsiTheme="minorHAnsi" w:cstheme="minorHAnsi"/>
                  <w:color w:val="1155CC"/>
                  <w:sz w:val="20"/>
                  <w:szCs w:val="20"/>
                </w:rPr>
                <w:t xml:space="preserve">FLIGHT </w:t>
              </w:r>
            </w:hyperlink>
            <w:r w:rsidRPr="00F110A6">
              <w:rPr>
                <w:rFonts w:asciiTheme="minorHAnsi" w:hAnsiTheme="minorHAnsi" w:cstheme="minorHAnsi"/>
                <w:color w:val="000000"/>
                <w:sz w:val="20"/>
                <w:szCs w:val="20"/>
              </w:rPr>
              <w:t xml:space="preserve">tool and </w:t>
            </w:r>
            <w:hyperlink r:id="rId26" w:history="1">
              <w:r w:rsidRPr="00F110A6">
                <w:rPr>
                  <w:rStyle w:val="Hyperlink"/>
                  <w:rFonts w:asciiTheme="minorHAnsi" w:hAnsiTheme="minorHAnsi" w:cstheme="minorHAnsi"/>
                  <w:color w:val="1155CC"/>
                  <w:sz w:val="20"/>
                  <w:szCs w:val="20"/>
                </w:rPr>
                <w:t xml:space="preserve">EPA’s State Inventory Tool Output </w:t>
              </w:r>
              <w:proofErr w:type="spellStart"/>
              <w:r w:rsidRPr="00F110A6">
                <w:rPr>
                  <w:rStyle w:val="Hyperlink"/>
                  <w:rFonts w:asciiTheme="minorHAnsi" w:hAnsiTheme="minorHAnsi" w:cstheme="minorHAnsi"/>
                  <w:color w:val="1155CC"/>
                  <w:sz w:val="20"/>
                  <w:szCs w:val="20"/>
                </w:rPr>
                <w:t>Dataframe</w:t>
              </w:r>
              <w:proofErr w:type="spellEnd"/>
              <w:r w:rsidRPr="00F110A6">
                <w:rPr>
                  <w:rStyle w:val="Hyperlink"/>
                  <w:rFonts w:asciiTheme="minorHAnsi" w:hAnsiTheme="minorHAnsi" w:cstheme="minorHAnsi"/>
                  <w:color w:val="1155CC"/>
                  <w:sz w:val="20"/>
                  <w:szCs w:val="20"/>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DE2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 and </w:t>
            </w:r>
            <w:hyperlink r:id="rId27" w:history="1">
              <w:r w:rsidRPr="00F110A6">
                <w:rPr>
                  <w:rStyle w:val="Hyperlink"/>
                  <w:rFonts w:asciiTheme="minorHAnsi" w:hAnsiTheme="minorHAnsi" w:cstheme="minorHAnsi"/>
                  <w:color w:val="1155CC"/>
                  <w:sz w:val="20"/>
                  <w:szCs w:val="20"/>
                </w:rPr>
                <w:t>E3’s Pathways Report</w:t>
              </w:r>
            </w:hyperlink>
          </w:p>
        </w:tc>
      </w:tr>
      <w:tr w:rsidR="00FD749E" w:rsidRPr="00F110A6" w14:paraId="73057336"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070CD48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lastRenderedPageBreak/>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959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09094" w14:textId="77777777" w:rsidR="00FD749E" w:rsidRPr="00F110A6" w:rsidRDefault="008C6005" w:rsidP="009F491D">
            <w:pPr>
              <w:pStyle w:val="NormalWeb"/>
              <w:spacing w:before="0" w:beforeAutospacing="0" w:after="0" w:afterAutospacing="0"/>
              <w:rPr>
                <w:rFonts w:asciiTheme="minorHAnsi" w:hAnsiTheme="minorHAnsi" w:cstheme="minorHAnsi"/>
                <w:sz w:val="20"/>
                <w:szCs w:val="20"/>
              </w:rPr>
            </w:pPr>
            <w:hyperlink r:id="rId28" w:history="1">
              <w:r w:rsidR="00FD749E" w:rsidRPr="00F110A6">
                <w:rPr>
                  <w:rStyle w:val="Hyperlink"/>
                  <w:rFonts w:asciiTheme="minorHAnsi" w:hAnsiTheme="minorHAnsi" w:cstheme="min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3A6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96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 and </w:t>
            </w:r>
            <w:hyperlink r:id="rId29" w:history="1">
              <w:r w:rsidRPr="00F110A6">
                <w:rPr>
                  <w:rStyle w:val="Hyperlink"/>
                  <w:rFonts w:asciiTheme="minorHAnsi" w:hAnsiTheme="minorHAnsi" w:cstheme="minorHAnsi"/>
                  <w:color w:val="1155CC"/>
                  <w:sz w:val="20"/>
                  <w:szCs w:val="20"/>
                </w:rPr>
                <w:t>E3’s Pathways Report</w:t>
              </w:r>
            </w:hyperlink>
            <w:r w:rsidRPr="00F110A6">
              <w:rPr>
                <w:rFonts w:asciiTheme="minorHAnsi" w:hAnsiTheme="minorHAnsi" w:cstheme="minorHAnsi"/>
                <w:color w:val="000000"/>
                <w:sz w:val="20"/>
                <w:szCs w:val="20"/>
              </w:rPr>
              <w:t> </w:t>
            </w:r>
          </w:p>
        </w:tc>
      </w:tr>
      <w:tr w:rsidR="00FD749E" w:rsidRPr="00F110A6" w14:paraId="46923E7D"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321DA8D"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177C" w14:textId="77777777" w:rsidR="00FD749E" w:rsidRPr="00F110A6" w:rsidRDefault="00FD749E" w:rsidP="009F491D">
            <w:pPr>
              <w:spacing w:after="0"/>
              <w:rPr>
                <w:rFonts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B5BB" w14:textId="77777777" w:rsidR="00FD749E" w:rsidRPr="00F110A6" w:rsidRDefault="008C6005" w:rsidP="009F491D">
            <w:pPr>
              <w:pStyle w:val="NormalWeb"/>
              <w:spacing w:before="0" w:beforeAutospacing="0" w:after="0" w:afterAutospacing="0"/>
              <w:rPr>
                <w:rFonts w:asciiTheme="minorHAnsi" w:hAnsiTheme="minorHAnsi" w:cstheme="minorHAnsi"/>
                <w:sz w:val="20"/>
                <w:szCs w:val="20"/>
              </w:rPr>
            </w:pPr>
            <w:hyperlink r:id="rId30" w:history="1">
              <w:r w:rsidR="00FD749E" w:rsidRPr="00F110A6">
                <w:rPr>
                  <w:rStyle w:val="Hyperlink"/>
                  <w:rFonts w:asciiTheme="minorHAnsi" w:hAnsiTheme="minorHAnsi" w:cstheme="min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9DE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A628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w:t>
            </w:r>
          </w:p>
        </w:tc>
      </w:tr>
      <w:tr w:rsidR="00FD749E" w:rsidRPr="00F110A6" w14:paraId="43705A0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737427D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223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AFE8" w14:textId="77777777" w:rsidR="00FD749E" w:rsidRPr="00F110A6" w:rsidRDefault="008C6005" w:rsidP="009F491D">
            <w:pPr>
              <w:pStyle w:val="NormalWeb"/>
              <w:spacing w:before="0" w:beforeAutospacing="0" w:after="0" w:afterAutospacing="0"/>
              <w:rPr>
                <w:rFonts w:asciiTheme="minorHAnsi" w:hAnsiTheme="minorHAnsi" w:cstheme="minorHAnsi"/>
                <w:sz w:val="20"/>
                <w:szCs w:val="20"/>
              </w:rPr>
            </w:pPr>
            <w:hyperlink r:id="rId31" w:history="1">
              <w:r w:rsidR="00FD749E" w:rsidRPr="00F110A6">
                <w:rPr>
                  <w:rStyle w:val="Hyperlink"/>
                  <w:rFonts w:asciiTheme="minorHAnsi" w:hAnsiTheme="minorHAnsi" w:cstheme="min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25A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77B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32"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5310B804"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33"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bl>
    <w:p w14:paraId="4357FAEE" w14:textId="77777777" w:rsidR="00D22E6C" w:rsidRPr="00BD4EC8" w:rsidRDefault="00D22E6C" w:rsidP="00D22E6C">
      <w:pPr>
        <w:rPr>
          <w:rFonts w:asciiTheme="majorHAnsi" w:hAnsiTheme="majorHAnsi" w:cstheme="majorHAnsi"/>
          <w:sz w:val="20"/>
          <w:szCs w:val="20"/>
        </w:rPr>
      </w:pPr>
    </w:p>
    <w:p w14:paraId="75297820" w14:textId="76594C1C" w:rsidR="005F42D8" w:rsidRPr="00DD7280" w:rsidRDefault="008C6F1E" w:rsidP="005F42D8">
      <w:pPr>
        <w:pStyle w:val="Heading1"/>
        <w:rPr>
          <w:rFonts w:asciiTheme="minorHAnsi" w:hAnsiTheme="minorHAnsi"/>
          <w:sz w:val="28"/>
        </w:rPr>
      </w:pPr>
      <w:r>
        <w:rPr>
          <w:sz w:val="28"/>
          <w:szCs w:val="28"/>
        </w:rPr>
        <w:t>Understanding</w:t>
      </w:r>
      <w:r w:rsidR="005F42D8" w:rsidRPr="00D06332">
        <w:rPr>
          <w:sz w:val="28"/>
        </w:rPr>
        <w:t xml:space="preserve"> the </w:t>
      </w:r>
      <w:r w:rsidR="005F42D8" w:rsidRPr="00D8395A">
        <w:rPr>
          <w:rFonts w:asciiTheme="minorHAnsi" w:hAnsiTheme="minorHAnsi"/>
          <w:sz w:val="28"/>
        </w:rPr>
        <w:t>Business-as-Usual</w:t>
      </w:r>
      <w:r>
        <w:rPr>
          <w:sz w:val="28"/>
          <w:szCs w:val="28"/>
        </w:rPr>
        <w:t xml:space="preserve"> and</w:t>
      </w:r>
      <w:r w:rsidR="009A35C8" w:rsidRPr="00D8395A">
        <w:rPr>
          <w:sz w:val="28"/>
        </w:rPr>
        <w:t xml:space="preserve"> </w:t>
      </w:r>
      <w:r w:rsidR="004E442A">
        <w:rPr>
          <w:rFonts w:asciiTheme="minorHAnsi" w:hAnsiTheme="minorHAnsi"/>
          <w:sz w:val="28"/>
        </w:rPr>
        <w:t>Current Trajectory</w:t>
      </w:r>
      <w:r>
        <w:rPr>
          <w:sz w:val="28"/>
          <w:szCs w:val="28"/>
        </w:rPr>
        <w:t xml:space="preserve"> </w:t>
      </w:r>
      <w:r w:rsidR="00D06332">
        <w:rPr>
          <w:sz w:val="28"/>
          <w:szCs w:val="28"/>
        </w:rPr>
        <w:t>P</w:t>
      </w:r>
      <w:r>
        <w:rPr>
          <w:sz w:val="28"/>
          <w:szCs w:val="28"/>
        </w:rPr>
        <w:t>rojections</w:t>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p>
    <w:p w14:paraId="095A1592" w14:textId="22A6F79B" w:rsidR="008C6F1E" w:rsidRDefault="008C6F1E" w:rsidP="0034200D">
      <w:r w:rsidRPr="008C6F1E">
        <w:rPr>
          <w:b/>
          <w:bCs/>
        </w:rPr>
        <w:t>Business-as-Usual:</w:t>
      </w:r>
      <w:r>
        <w:t xml:space="preserve"> Energy Innovation and RMI built a forecast of Minnesota’s economywide greenhouse gas emissions through 2050 using </w:t>
      </w:r>
      <w:r w:rsidR="0064271E">
        <w:t>publicly available</w:t>
      </w:r>
      <w:r>
        <w:t>, national models of energy consumption (EIA’s Annual Energy Outlook, NREL’s Electrification Future Study) and direct emissions data from Minnesota Pollution Control Agency’s Greenhouse Gas Inventory.</w:t>
      </w:r>
      <w:r>
        <w:rPr>
          <w:rStyle w:val="FootnoteReference"/>
        </w:rPr>
        <w:footnoteReference w:id="2"/>
      </w:r>
      <w:r>
        <w:t xml:space="preserve">  The BAU Scenario is the model’s foundation, capturing projected changes based on economic growth, technology and cost changes, and existing policy commitments.  </w:t>
      </w:r>
    </w:p>
    <w:p w14:paraId="1BDB64D7" w14:textId="4E79B1CE" w:rsidR="008C6F1E" w:rsidRDefault="008C6F1E" w:rsidP="0034200D">
      <w:pPr>
        <w:rPr>
          <w:color w:val="ED7D31" w:themeColor="accent2"/>
        </w:rPr>
      </w:pPr>
      <w:r w:rsidRPr="008C6F1E">
        <w:rPr>
          <w:b/>
          <w:bCs/>
        </w:rPr>
        <w:t>Current Trajectory:</w:t>
      </w:r>
      <w:r>
        <w:t xml:space="preserve"> The Current Trajectory scenario provides an additional baseline reflecting very recently passed or imminent</w:t>
      </w:r>
      <w:r w:rsidR="00DB58DC">
        <w:t>ly planned</w:t>
      </w:r>
      <w:r>
        <w:t xml:space="preserve"> policies. Current Trajectory policies have been reviewed with in-state partners. In Minnesota, the primary source of additional policies was the Xcel’s draft Integrated Resource Plan.</w:t>
      </w:r>
      <w:r w:rsidR="00CE3BA3">
        <w:rPr>
          <w:rStyle w:val="FootnoteReference"/>
        </w:rPr>
        <w:footnoteReference w:id="3"/>
      </w:r>
      <w:r>
        <w:t xml:space="preserve"> </w:t>
      </w:r>
    </w:p>
    <w:p w14:paraId="2D5C9711" w14:textId="6F8E2408" w:rsidR="00FD749E" w:rsidRDefault="00FD749E" w:rsidP="00FD749E">
      <w:r w:rsidRPr="006C55AB">
        <w:t xml:space="preserve">The Minnesota EPS model includes three built-in policy scenarios. The first is a </w:t>
      </w:r>
      <w:r w:rsidRPr="006C55AB">
        <w:rPr>
          <w:b/>
          <w:bCs/>
        </w:rPr>
        <w:t>business-as-usual</w:t>
      </w:r>
      <w:r w:rsidR="00EE245D">
        <w:rPr>
          <w:b/>
          <w:bCs/>
        </w:rPr>
        <w:t xml:space="preserve"> (BAU)</w:t>
      </w:r>
      <w:r w:rsidRPr="006C55AB">
        <w:rPr>
          <w:b/>
          <w:bCs/>
        </w:rPr>
        <w:t xml:space="preserve"> scenario</w:t>
      </w:r>
      <w:r w:rsidRPr="006C55AB">
        <w:t xml:space="preserve">, which represents all policy that is currently </w:t>
      </w:r>
      <w:r w:rsidR="008008BF" w:rsidRPr="006C55AB">
        <w:t xml:space="preserve">enacted in Minnesota. </w:t>
      </w:r>
      <w:r w:rsidR="002E5BA3">
        <w:t>The</w:t>
      </w:r>
      <w:r w:rsidR="008008BF" w:rsidRPr="006C55AB">
        <w:t xml:space="preserve"> </w:t>
      </w:r>
      <w:r w:rsidR="004E442A">
        <w:rPr>
          <w:b/>
          <w:bCs/>
        </w:rPr>
        <w:t>Current Traje</w:t>
      </w:r>
      <w:r w:rsidR="00EE245D">
        <w:rPr>
          <w:b/>
          <w:bCs/>
        </w:rPr>
        <w:t>c</w:t>
      </w:r>
      <w:r w:rsidR="004E442A">
        <w:rPr>
          <w:b/>
          <w:bCs/>
        </w:rPr>
        <w:t>tory</w:t>
      </w:r>
      <w:r w:rsidR="008008BF" w:rsidRPr="006C55AB">
        <w:t xml:space="preserve"> </w:t>
      </w:r>
      <w:r w:rsidR="008008BF" w:rsidRPr="006C55AB">
        <w:rPr>
          <w:b/>
          <w:bCs/>
        </w:rPr>
        <w:t>scenario</w:t>
      </w:r>
      <w:r w:rsidR="008008BF" w:rsidRPr="006C55AB">
        <w:t xml:space="preserve"> includes planned policy and utility IRPs that are not yet implemented but are in progress. </w:t>
      </w:r>
      <w:r w:rsidR="00C464B8" w:rsidRPr="006C55AB">
        <w:t xml:space="preserve">Once these policies are implemented, they will become part of the </w:t>
      </w:r>
      <w:r w:rsidR="00C464B8" w:rsidRPr="006C55AB">
        <w:rPr>
          <w:b/>
          <w:bCs/>
        </w:rPr>
        <w:t>BAU</w:t>
      </w:r>
      <w:r w:rsidR="00C464B8" w:rsidRPr="006C55AB">
        <w:t xml:space="preserve"> </w:t>
      </w:r>
      <w:r w:rsidR="00C464B8" w:rsidRPr="006C55AB">
        <w:rPr>
          <w:b/>
          <w:bCs/>
        </w:rPr>
        <w:t>scenario</w:t>
      </w:r>
      <w:r w:rsidR="00C464B8" w:rsidRPr="006C55AB">
        <w:t xml:space="preserve">. </w:t>
      </w:r>
      <w:r w:rsidR="0061267F" w:rsidRPr="006C55AB">
        <w:t>The table below summarizes the policies included in the BAU</w:t>
      </w:r>
      <w:r w:rsidR="00071A93">
        <w:t xml:space="preserve"> and</w:t>
      </w:r>
      <w:r w:rsidR="0061267F" w:rsidRPr="006C55AB">
        <w:t xml:space="preserve"> </w:t>
      </w:r>
      <w:r w:rsidR="00071A93">
        <w:t>Current Trajectory</w:t>
      </w:r>
      <w:r w:rsidR="0061267F" w:rsidRPr="006C55AB">
        <w:t xml:space="preserve"> scenarios. </w:t>
      </w:r>
    </w:p>
    <w:p w14:paraId="3B09343A" w14:textId="6B256F82" w:rsidR="00BC7DF8" w:rsidRDefault="00BC7DF8" w:rsidP="00FD749E"/>
    <w:p w14:paraId="1633B149" w14:textId="77777777" w:rsidR="00BC7DF8" w:rsidRPr="006C55AB" w:rsidRDefault="00BC7DF8" w:rsidP="00FD749E"/>
    <w:p w14:paraId="7ED0DE85" w14:textId="3A4B18E6" w:rsidR="00D22E6C" w:rsidRPr="004E442A" w:rsidRDefault="00480EB7" w:rsidP="00480EB7">
      <w:pPr>
        <w:pStyle w:val="Heading2"/>
        <w:rPr>
          <w:rFonts w:asciiTheme="minorHAnsi" w:hAnsiTheme="minorHAnsi"/>
        </w:rPr>
      </w:pPr>
      <w:r w:rsidRPr="006C55AB">
        <w:rPr>
          <w:rFonts w:asciiTheme="minorHAnsi" w:hAnsiTheme="minorHAnsi"/>
        </w:rPr>
        <w:lastRenderedPageBreak/>
        <w:t>Summary of Policy Assumptions</w:t>
      </w:r>
    </w:p>
    <w:tbl>
      <w:tblPr>
        <w:tblStyle w:val="TableGrid"/>
        <w:tblW w:w="14125" w:type="dxa"/>
        <w:tblLook w:val="04A0" w:firstRow="1" w:lastRow="0" w:firstColumn="1" w:lastColumn="0" w:noHBand="0" w:noVBand="1"/>
      </w:tblPr>
      <w:tblGrid>
        <w:gridCol w:w="2155"/>
        <w:gridCol w:w="6300"/>
        <w:gridCol w:w="5670"/>
      </w:tblGrid>
      <w:tr w:rsidR="0091657F" w:rsidRPr="00EE245D" w14:paraId="02CA80AF" w14:textId="77777777" w:rsidTr="004D6D89">
        <w:trPr>
          <w:trHeight w:val="368"/>
        </w:trPr>
        <w:tc>
          <w:tcPr>
            <w:tcW w:w="2155" w:type="dxa"/>
            <w:shd w:val="clear" w:color="auto" w:fill="A8D08D" w:themeFill="accent6" w:themeFillTint="99"/>
            <w:vAlign w:val="center"/>
          </w:tcPr>
          <w:p w14:paraId="53012D5D" w14:textId="77777777" w:rsidR="0091657F" w:rsidRPr="00EE245D" w:rsidRDefault="0091657F" w:rsidP="004D6D89">
            <w:pPr>
              <w:pStyle w:val="NoSpacing"/>
              <w:jc w:val="center"/>
              <w:rPr>
                <w:rFonts w:cstheme="minorHAnsi"/>
                <w:b/>
                <w:bCs/>
                <w:sz w:val="20"/>
                <w:szCs w:val="20"/>
              </w:rPr>
            </w:pPr>
            <w:r w:rsidRPr="00EE245D">
              <w:rPr>
                <w:rFonts w:cstheme="minorHAnsi"/>
                <w:b/>
                <w:bCs/>
                <w:sz w:val="20"/>
                <w:szCs w:val="20"/>
              </w:rPr>
              <w:t>Sector</w:t>
            </w:r>
          </w:p>
        </w:tc>
        <w:tc>
          <w:tcPr>
            <w:tcW w:w="6300" w:type="dxa"/>
            <w:shd w:val="clear" w:color="auto" w:fill="A8D08D" w:themeFill="accent6" w:themeFillTint="99"/>
            <w:vAlign w:val="center"/>
          </w:tcPr>
          <w:p w14:paraId="6F3618F5" w14:textId="77777777" w:rsidR="0091657F" w:rsidRPr="00EE245D" w:rsidRDefault="0091657F" w:rsidP="004D6D89">
            <w:pPr>
              <w:jc w:val="center"/>
              <w:rPr>
                <w:rFonts w:cstheme="minorHAnsi"/>
                <w:b/>
                <w:bCs/>
                <w:sz w:val="20"/>
                <w:szCs w:val="20"/>
              </w:rPr>
            </w:pPr>
            <w:r w:rsidRPr="00EE245D">
              <w:rPr>
                <w:rFonts w:cstheme="minorHAnsi"/>
                <w:b/>
                <w:bCs/>
                <w:sz w:val="20"/>
                <w:szCs w:val="20"/>
              </w:rPr>
              <w:t>BAU Scenario</w:t>
            </w:r>
          </w:p>
        </w:tc>
        <w:tc>
          <w:tcPr>
            <w:tcW w:w="5670" w:type="dxa"/>
            <w:shd w:val="clear" w:color="auto" w:fill="A8D08D" w:themeFill="accent6" w:themeFillTint="99"/>
            <w:vAlign w:val="center"/>
          </w:tcPr>
          <w:p w14:paraId="0968567C" w14:textId="77777777" w:rsidR="0091657F" w:rsidRPr="00EE245D" w:rsidRDefault="0091657F" w:rsidP="004D6D89">
            <w:pPr>
              <w:jc w:val="center"/>
              <w:rPr>
                <w:rFonts w:cstheme="minorHAnsi"/>
                <w:b/>
                <w:bCs/>
                <w:sz w:val="20"/>
                <w:szCs w:val="20"/>
              </w:rPr>
            </w:pPr>
            <w:r w:rsidRPr="00EE245D">
              <w:rPr>
                <w:rFonts w:cstheme="minorHAnsi"/>
                <w:b/>
                <w:bCs/>
                <w:sz w:val="20"/>
                <w:szCs w:val="20"/>
              </w:rPr>
              <w:t>Reference Scenario</w:t>
            </w:r>
          </w:p>
        </w:tc>
      </w:tr>
      <w:tr w:rsidR="0091657F" w:rsidRPr="00EE245D" w14:paraId="6A74D0D3" w14:textId="77777777" w:rsidTr="004D6D89">
        <w:trPr>
          <w:trHeight w:val="845"/>
        </w:trPr>
        <w:tc>
          <w:tcPr>
            <w:tcW w:w="2155" w:type="dxa"/>
            <w:vAlign w:val="center"/>
          </w:tcPr>
          <w:p w14:paraId="2DB75E71" w14:textId="77777777" w:rsidR="0091657F" w:rsidRPr="00EE245D" w:rsidRDefault="0091657F" w:rsidP="004D6D89">
            <w:pPr>
              <w:jc w:val="center"/>
              <w:rPr>
                <w:rFonts w:cstheme="minorHAnsi"/>
                <w:sz w:val="20"/>
                <w:szCs w:val="20"/>
              </w:rPr>
            </w:pPr>
            <w:r w:rsidRPr="00EE245D">
              <w:rPr>
                <w:rFonts w:cstheme="minorHAnsi"/>
                <w:sz w:val="20"/>
                <w:szCs w:val="20"/>
              </w:rPr>
              <w:t>Electricity</w:t>
            </w:r>
          </w:p>
        </w:tc>
        <w:tc>
          <w:tcPr>
            <w:tcW w:w="6300" w:type="dxa"/>
            <w:vAlign w:val="center"/>
          </w:tcPr>
          <w:p w14:paraId="6EAED69D"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46C3368" w14:textId="5894BF1C"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Includes Minnesota’s </w:t>
            </w:r>
            <w:hyperlink r:id="rId34" w:history="1">
              <w:r w:rsidRPr="00EE245D">
                <w:rPr>
                  <w:rStyle w:val="Hyperlink"/>
                  <w:rFonts w:cstheme="minorHAnsi"/>
                  <w:sz w:val="20"/>
                  <w:szCs w:val="20"/>
                </w:rPr>
                <w:t>Renewables Portfolio Standard</w:t>
              </w:r>
            </w:hyperlink>
          </w:p>
          <w:p w14:paraId="05FCE5B1" w14:textId="6CDFA921"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Assumes all currently planned retirements are completed on time (incl. </w:t>
            </w:r>
            <w:proofErr w:type="spellStart"/>
            <w:r w:rsidRPr="00EE245D">
              <w:rPr>
                <w:rFonts w:cstheme="minorHAnsi"/>
                <w:sz w:val="20"/>
                <w:szCs w:val="20"/>
              </w:rPr>
              <w:t>Sherco</w:t>
            </w:r>
            <w:proofErr w:type="spellEnd"/>
            <w:r w:rsidRPr="00EE245D">
              <w:rPr>
                <w:rFonts w:cstheme="minorHAnsi"/>
                <w:sz w:val="20"/>
                <w:szCs w:val="20"/>
              </w:rPr>
              <w:t xml:space="preserve"> 1 by </w:t>
            </w:r>
            <w:r w:rsidR="007D42CF">
              <w:rPr>
                <w:rFonts w:cstheme="minorHAnsi"/>
                <w:sz w:val="20"/>
                <w:szCs w:val="20"/>
              </w:rPr>
              <w:t>2025</w:t>
            </w:r>
            <w:r w:rsidRPr="00EE245D">
              <w:rPr>
                <w:rFonts w:cstheme="minorHAnsi"/>
                <w:sz w:val="20"/>
                <w:szCs w:val="20"/>
              </w:rPr>
              <w:t xml:space="preserve">, </w:t>
            </w:r>
            <w:proofErr w:type="spellStart"/>
            <w:r w:rsidRPr="00EE245D">
              <w:rPr>
                <w:rFonts w:cstheme="minorHAnsi"/>
                <w:sz w:val="20"/>
                <w:szCs w:val="20"/>
              </w:rPr>
              <w:t>Sherco</w:t>
            </w:r>
            <w:proofErr w:type="spellEnd"/>
            <w:r w:rsidRPr="00EE245D">
              <w:rPr>
                <w:rFonts w:cstheme="minorHAnsi"/>
                <w:sz w:val="20"/>
                <w:szCs w:val="20"/>
              </w:rPr>
              <w:t xml:space="preserve"> 2 by </w:t>
            </w:r>
            <w:r w:rsidR="007D42CF">
              <w:rPr>
                <w:rFonts w:cstheme="minorHAnsi"/>
                <w:sz w:val="20"/>
                <w:szCs w:val="20"/>
              </w:rPr>
              <w:t>2022</w:t>
            </w:r>
            <w:r w:rsidRPr="00EE245D">
              <w:rPr>
                <w:rFonts w:cstheme="minorHAnsi"/>
                <w:sz w:val="20"/>
                <w:szCs w:val="20"/>
              </w:rPr>
              <w:t xml:space="preserve">, </w:t>
            </w:r>
            <w:proofErr w:type="spellStart"/>
            <w:r w:rsidRPr="00EE245D">
              <w:rPr>
                <w:rFonts w:cstheme="minorHAnsi"/>
                <w:sz w:val="20"/>
                <w:szCs w:val="20"/>
              </w:rPr>
              <w:t>Sherco</w:t>
            </w:r>
            <w:proofErr w:type="spellEnd"/>
            <w:r w:rsidRPr="00EE245D">
              <w:rPr>
                <w:rFonts w:cstheme="minorHAnsi"/>
                <w:sz w:val="20"/>
                <w:szCs w:val="20"/>
              </w:rPr>
              <w:t xml:space="preserve"> 3 by 2034)</w:t>
            </w:r>
          </w:p>
          <w:p w14:paraId="0CFD176D" w14:textId="1D427FBF" w:rsidR="0091657F" w:rsidRPr="004D6D89" w:rsidRDefault="0091657F" w:rsidP="004D6D89">
            <w:pPr>
              <w:pStyle w:val="ListParagraph"/>
              <w:numPr>
                <w:ilvl w:val="0"/>
                <w:numId w:val="16"/>
              </w:numPr>
              <w:rPr>
                <w:rFonts w:cstheme="minorHAnsi"/>
                <w:sz w:val="20"/>
                <w:szCs w:val="20"/>
              </w:rPr>
            </w:pPr>
            <w:r w:rsidRPr="00EE245D">
              <w:rPr>
                <w:rFonts w:cstheme="minorHAnsi"/>
                <w:sz w:val="20"/>
                <w:szCs w:val="20"/>
              </w:rPr>
              <w:t>Assume existing nuclear power plants are retired at the time their current permits expire (Monticello 2030 and Prairie Island 2033/34)</w:t>
            </w:r>
            <w:r w:rsidR="004D6D89">
              <w:rPr>
                <w:rStyle w:val="FootnoteReference"/>
                <w:rFonts w:cstheme="minorHAnsi"/>
                <w:sz w:val="20"/>
                <w:szCs w:val="20"/>
              </w:rPr>
              <w:footnoteReference w:id="4"/>
            </w:r>
          </w:p>
        </w:tc>
        <w:tc>
          <w:tcPr>
            <w:tcW w:w="5670" w:type="dxa"/>
            <w:vAlign w:val="center"/>
          </w:tcPr>
          <w:p w14:paraId="647876E1" w14:textId="4B2FB5A7" w:rsidR="0091657F" w:rsidRPr="00EE245D" w:rsidRDefault="0091657F" w:rsidP="004D6D89">
            <w:pPr>
              <w:pStyle w:val="ListParagraph"/>
              <w:numPr>
                <w:ilvl w:val="0"/>
                <w:numId w:val="16"/>
              </w:numPr>
              <w:rPr>
                <w:rFonts w:eastAsia="Times New Roman" w:cstheme="minorHAnsi"/>
                <w:sz w:val="20"/>
                <w:szCs w:val="20"/>
              </w:rPr>
            </w:pPr>
            <w:r w:rsidRPr="00EE245D">
              <w:rPr>
                <w:rFonts w:eastAsia="Times New Roman" w:cstheme="minorHAnsi"/>
                <w:sz w:val="20"/>
                <w:szCs w:val="20"/>
              </w:rPr>
              <w:t xml:space="preserve">Nuclear power plants extended </w:t>
            </w:r>
            <w:proofErr w:type="spellStart"/>
            <w:r w:rsidRPr="00EE245D">
              <w:rPr>
                <w:rFonts w:eastAsia="Times New Roman" w:cstheme="minorHAnsi"/>
                <w:sz w:val="20"/>
                <w:szCs w:val="20"/>
              </w:rPr>
              <w:t>add’l</w:t>
            </w:r>
            <w:proofErr w:type="spellEnd"/>
            <w:r w:rsidRPr="00EE245D">
              <w:rPr>
                <w:rFonts w:eastAsia="Times New Roman" w:cstheme="minorHAnsi"/>
                <w:sz w:val="20"/>
                <w:szCs w:val="20"/>
              </w:rPr>
              <w:t xml:space="preserve"> 10 years: Monticello through 2040, Prairie Island through 2033 (Unit 1) and 2034 (Unit 2)</w:t>
            </w:r>
            <w:r w:rsidR="00316AFF">
              <w:rPr>
                <w:rStyle w:val="FootnoteReference"/>
                <w:rFonts w:eastAsia="Times New Roman" w:cstheme="minorHAnsi"/>
                <w:sz w:val="20"/>
                <w:szCs w:val="20"/>
              </w:rPr>
              <w:footnoteReference w:id="5"/>
            </w:r>
          </w:p>
          <w:p w14:paraId="7C757E1C" w14:textId="4C420EE7"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 xml:space="preserve">Retire 2 coal units early: King in 2028, </w:t>
            </w:r>
            <w:proofErr w:type="spellStart"/>
            <w:r w:rsidRPr="00EE245D">
              <w:rPr>
                <w:rFonts w:eastAsia="Times New Roman" w:cstheme="minorHAnsi"/>
                <w:sz w:val="20"/>
                <w:szCs w:val="20"/>
              </w:rPr>
              <w:t>Sherco</w:t>
            </w:r>
            <w:proofErr w:type="spellEnd"/>
            <w:r w:rsidRPr="00EE245D">
              <w:rPr>
                <w:rFonts w:eastAsia="Times New Roman" w:cstheme="minorHAnsi"/>
                <w:sz w:val="20"/>
                <w:szCs w:val="20"/>
              </w:rPr>
              <w:t xml:space="preserve"> 3 in 2030</w:t>
            </w:r>
          </w:p>
          <w:p w14:paraId="4273F959" w14:textId="77777777"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Assume 1500 MW demand response by 2034 above the BAU case</w:t>
            </w:r>
          </w:p>
          <w:p w14:paraId="7631AADD" w14:textId="5B228C26"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Clean energy standard adds 1200 MW wind by 2034, 4000 MW of solar by 2034</w:t>
            </w:r>
          </w:p>
        </w:tc>
      </w:tr>
      <w:tr w:rsidR="0091657F" w:rsidRPr="00EE245D" w14:paraId="5FB22923" w14:textId="77777777" w:rsidTr="004D6D89">
        <w:trPr>
          <w:trHeight w:val="710"/>
        </w:trPr>
        <w:tc>
          <w:tcPr>
            <w:tcW w:w="2155" w:type="dxa"/>
            <w:vAlign w:val="center"/>
          </w:tcPr>
          <w:p w14:paraId="1E7C2843" w14:textId="77777777" w:rsidR="0091657F" w:rsidRPr="00EE245D" w:rsidRDefault="0091657F" w:rsidP="004D6D89">
            <w:pPr>
              <w:jc w:val="center"/>
              <w:rPr>
                <w:rFonts w:cstheme="minorHAnsi"/>
                <w:sz w:val="20"/>
                <w:szCs w:val="20"/>
              </w:rPr>
            </w:pPr>
            <w:r w:rsidRPr="00EE245D">
              <w:rPr>
                <w:rFonts w:cstheme="minorHAnsi"/>
                <w:sz w:val="20"/>
                <w:szCs w:val="20"/>
              </w:rPr>
              <w:t>Buildings</w:t>
            </w:r>
          </w:p>
        </w:tc>
        <w:tc>
          <w:tcPr>
            <w:tcW w:w="6300" w:type="dxa"/>
            <w:vAlign w:val="center"/>
          </w:tcPr>
          <w:p w14:paraId="1C21649D"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81D9F72" w14:textId="46A1F8EC" w:rsidR="0091657F" w:rsidRPr="00EE245D" w:rsidRDefault="008C6005" w:rsidP="004D6D89">
            <w:pPr>
              <w:pStyle w:val="ListParagraph"/>
              <w:numPr>
                <w:ilvl w:val="0"/>
                <w:numId w:val="16"/>
              </w:numPr>
              <w:rPr>
                <w:rStyle w:val="normaltextrun"/>
                <w:rFonts w:cstheme="minorHAnsi"/>
                <w:sz w:val="20"/>
                <w:szCs w:val="20"/>
              </w:rPr>
            </w:pPr>
            <w:hyperlink r:id="rId35" w:history="1">
              <w:r w:rsidR="0091657F" w:rsidRPr="00EE245D">
                <w:rPr>
                  <w:rStyle w:val="Hyperlink"/>
                  <w:rFonts w:cstheme="minorHAnsi"/>
                  <w:sz w:val="20"/>
                  <w:szCs w:val="20"/>
                </w:rPr>
                <w:t>Assumes some equipment performance improvements over time</w:t>
              </w:r>
            </w:hyperlink>
            <w:r w:rsidR="0091657F" w:rsidRPr="00EE245D">
              <w:rPr>
                <w:rFonts w:cstheme="minorHAnsi"/>
                <w:sz w:val="20"/>
                <w:szCs w:val="20"/>
              </w:rPr>
              <w:t xml:space="preserve">, based on market data (described </w:t>
            </w:r>
            <w:hyperlink r:id="rId36" w:history="1">
              <w:r w:rsidR="0091657F" w:rsidRPr="00EE245D">
                <w:rPr>
                  <w:rStyle w:val="Hyperlink"/>
                  <w:rFonts w:cstheme="minorHAnsi"/>
                  <w:sz w:val="20"/>
                  <w:szCs w:val="20"/>
                </w:rPr>
                <w:t>here</w:t>
              </w:r>
            </w:hyperlink>
            <w:r w:rsidR="0091657F" w:rsidRPr="00EE245D">
              <w:rPr>
                <w:rFonts w:cstheme="minorHAnsi"/>
                <w:sz w:val="20"/>
                <w:szCs w:val="20"/>
              </w:rPr>
              <w:t>)</w:t>
            </w:r>
            <w:r w:rsidR="00C05CAB">
              <w:rPr>
                <w:rStyle w:val="FootnoteReference"/>
                <w:rFonts w:cstheme="minorHAnsi"/>
                <w:sz w:val="20"/>
                <w:szCs w:val="20"/>
              </w:rPr>
              <w:footnoteReference w:id="6"/>
            </w:r>
          </w:p>
        </w:tc>
        <w:tc>
          <w:tcPr>
            <w:tcW w:w="5670" w:type="dxa"/>
            <w:vAlign w:val="center"/>
          </w:tcPr>
          <w:p w14:paraId="18AA7E0B" w14:textId="71086077" w:rsidR="0091657F" w:rsidRPr="00495794" w:rsidRDefault="0091657F" w:rsidP="004D6D89">
            <w:pPr>
              <w:pStyle w:val="ListParagraph"/>
              <w:numPr>
                <w:ilvl w:val="0"/>
                <w:numId w:val="16"/>
              </w:numPr>
              <w:rPr>
                <w:rFonts w:cstheme="minorHAnsi"/>
                <w:sz w:val="20"/>
                <w:szCs w:val="20"/>
              </w:rPr>
            </w:pPr>
            <w:r w:rsidRPr="00EE245D">
              <w:rPr>
                <w:rFonts w:cstheme="minorHAnsi"/>
                <w:sz w:val="20"/>
                <w:szCs w:val="20"/>
              </w:rPr>
              <w:t>Energy efficiency savings included in Xcel’s IRP</w:t>
            </w:r>
          </w:p>
        </w:tc>
      </w:tr>
      <w:tr w:rsidR="0091657F" w:rsidRPr="00EE245D" w14:paraId="467F7371" w14:textId="77777777" w:rsidTr="004D6D89">
        <w:trPr>
          <w:trHeight w:val="1088"/>
        </w:trPr>
        <w:tc>
          <w:tcPr>
            <w:tcW w:w="2155" w:type="dxa"/>
            <w:vAlign w:val="center"/>
          </w:tcPr>
          <w:p w14:paraId="50E105F2" w14:textId="77777777" w:rsidR="0091657F" w:rsidRPr="00EE245D" w:rsidRDefault="0091657F" w:rsidP="004D6D89">
            <w:pPr>
              <w:jc w:val="center"/>
              <w:rPr>
                <w:rFonts w:cstheme="minorHAnsi"/>
                <w:sz w:val="20"/>
                <w:szCs w:val="20"/>
              </w:rPr>
            </w:pPr>
            <w:r w:rsidRPr="00EE245D">
              <w:rPr>
                <w:rFonts w:cstheme="minorHAnsi"/>
                <w:sz w:val="20"/>
                <w:szCs w:val="20"/>
              </w:rPr>
              <w:t>On-Road Transportation</w:t>
            </w:r>
          </w:p>
        </w:tc>
        <w:tc>
          <w:tcPr>
            <w:tcW w:w="6300" w:type="dxa"/>
            <w:vAlign w:val="center"/>
          </w:tcPr>
          <w:p w14:paraId="63ADF3C5"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236DCB1F"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Includes 2012 Federal Corporate Average Fuel Economy Standards (CAFE) standards (</w:t>
            </w:r>
            <w:hyperlink r:id="rId37" w:history="1">
              <w:r w:rsidRPr="00EE245D">
                <w:rPr>
                  <w:rStyle w:val="Hyperlink"/>
                  <w:rFonts w:cstheme="minorHAnsi"/>
                  <w:sz w:val="20"/>
                  <w:szCs w:val="20"/>
                </w:rPr>
                <w:t>full text via AEO</w:t>
              </w:r>
            </w:hyperlink>
            <w:r w:rsidRPr="00EE245D">
              <w:rPr>
                <w:rFonts w:cstheme="minorHAnsi"/>
                <w:sz w:val="20"/>
                <w:szCs w:val="20"/>
              </w:rPr>
              <w:t>)</w:t>
            </w:r>
          </w:p>
          <w:p w14:paraId="46163615"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Federal EV subsidies</w:t>
            </w:r>
          </w:p>
          <w:p w14:paraId="5D25AAF4" w14:textId="711203AD"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Economic adoption of EVs</w:t>
            </w:r>
            <w:r w:rsidR="00FB163D">
              <w:rPr>
                <w:rStyle w:val="FootnoteReference"/>
                <w:rFonts w:cstheme="minorHAnsi"/>
                <w:sz w:val="20"/>
                <w:szCs w:val="20"/>
              </w:rPr>
              <w:footnoteReference w:id="7"/>
            </w:r>
          </w:p>
        </w:tc>
        <w:tc>
          <w:tcPr>
            <w:tcW w:w="5670" w:type="dxa"/>
            <w:vAlign w:val="center"/>
          </w:tcPr>
          <w:p w14:paraId="1BA93C6A" w14:textId="7D189A3F" w:rsidR="0091657F" w:rsidRPr="0040074F" w:rsidRDefault="0091657F" w:rsidP="0040074F">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4BAF3DD8" w14:textId="77777777" w:rsidTr="004D6D89">
        <w:trPr>
          <w:trHeight w:val="1088"/>
        </w:trPr>
        <w:tc>
          <w:tcPr>
            <w:tcW w:w="2155" w:type="dxa"/>
            <w:vAlign w:val="center"/>
          </w:tcPr>
          <w:p w14:paraId="227C9417" w14:textId="77777777" w:rsidR="0091657F" w:rsidRPr="00EE245D" w:rsidRDefault="0091657F" w:rsidP="004D6D89">
            <w:pPr>
              <w:jc w:val="center"/>
              <w:rPr>
                <w:rFonts w:cstheme="minorHAnsi"/>
                <w:sz w:val="20"/>
                <w:szCs w:val="20"/>
              </w:rPr>
            </w:pPr>
            <w:r w:rsidRPr="00EE245D">
              <w:rPr>
                <w:rFonts w:cstheme="minorHAnsi"/>
                <w:sz w:val="20"/>
                <w:szCs w:val="20"/>
              </w:rPr>
              <w:t>Industry</w:t>
            </w:r>
          </w:p>
        </w:tc>
        <w:tc>
          <w:tcPr>
            <w:tcW w:w="6300" w:type="dxa"/>
            <w:vAlign w:val="center"/>
          </w:tcPr>
          <w:p w14:paraId="2049E843"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E6004C4" w14:textId="29A6B21C"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Assumes equipment performance improvements over time (described </w:t>
            </w:r>
            <w:hyperlink r:id="rId38" w:history="1">
              <w:r w:rsidRPr="00EE245D">
                <w:rPr>
                  <w:rStyle w:val="Hyperlink"/>
                  <w:rFonts w:cstheme="minorHAnsi"/>
                  <w:sz w:val="20"/>
                  <w:szCs w:val="20"/>
                </w:rPr>
                <w:t>here</w:t>
              </w:r>
            </w:hyperlink>
            <w:r w:rsidRPr="00EE245D">
              <w:rPr>
                <w:rFonts w:cstheme="minorHAnsi"/>
                <w:sz w:val="20"/>
                <w:szCs w:val="20"/>
              </w:rPr>
              <w:t>)</w:t>
            </w:r>
          </w:p>
          <w:p w14:paraId="54A3B668"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Does not include implementation of Kigali Amendment to the Montreal Protocol.</w:t>
            </w:r>
          </w:p>
        </w:tc>
        <w:tc>
          <w:tcPr>
            <w:tcW w:w="5670" w:type="dxa"/>
            <w:vAlign w:val="center"/>
          </w:tcPr>
          <w:p w14:paraId="2799A081" w14:textId="77777777" w:rsidR="0091657F" w:rsidRPr="00EE245D" w:rsidRDefault="0091657F" w:rsidP="004D6D89">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3040B1B4" w14:textId="77777777" w:rsidTr="004D6D89">
        <w:trPr>
          <w:trHeight w:val="800"/>
        </w:trPr>
        <w:tc>
          <w:tcPr>
            <w:tcW w:w="2155" w:type="dxa"/>
            <w:vAlign w:val="center"/>
          </w:tcPr>
          <w:p w14:paraId="1CE45E2A" w14:textId="77777777" w:rsidR="0091657F" w:rsidRPr="00EE245D" w:rsidRDefault="0091657F" w:rsidP="004D6D89">
            <w:pPr>
              <w:jc w:val="center"/>
              <w:rPr>
                <w:rFonts w:cstheme="minorHAnsi"/>
                <w:sz w:val="20"/>
                <w:szCs w:val="20"/>
              </w:rPr>
            </w:pPr>
            <w:r w:rsidRPr="00EE245D">
              <w:rPr>
                <w:rFonts w:cstheme="minorHAnsi"/>
                <w:sz w:val="20"/>
                <w:szCs w:val="20"/>
              </w:rPr>
              <w:t>Land use/Agriculture</w:t>
            </w:r>
          </w:p>
        </w:tc>
        <w:tc>
          <w:tcPr>
            <w:tcW w:w="6300" w:type="dxa"/>
            <w:vAlign w:val="center"/>
          </w:tcPr>
          <w:p w14:paraId="7FFD2ACD"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Agriculture, biomass, and forestry projections</w:t>
            </w:r>
          </w:p>
        </w:tc>
        <w:tc>
          <w:tcPr>
            <w:tcW w:w="5670" w:type="dxa"/>
            <w:vAlign w:val="center"/>
          </w:tcPr>
          <w:p w14:paraId="2E5FE77F" w14:textId="77777777" w:rsidR="0091657F" w:rsidRPr="00EE245D" w:rsidRDefault="0091657F" w:rsidP="004D6D89">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3742027C" w14:textId="77777777" w:rsidTr="004D6D89">
        <w:trPr>
          <w:trHeight w:val="440"/>
        </w:trPr>
        <w:tc>
          <w:tcPr>
            <w:tcW w:w="2155" w:type="dxa"/>
            <w:vAlign w:val="center"/>
          </w:tcPr>
          <w:p w14:paraId="3CEE1391" w14:textId="77777777" w:rsidR="0091657F" w:rsidRPr="00EE245D" w:rsidRDefault="0091657F" w:rsidP="004D6D89">
            <w:pPr>
              <w:jc w:val="center"/>
              <w:rPr>
                <w:rFonts w:cstheme="minorHAnsi"/>
                <w:sz w:val="20"/>
                <w:szCs w:val="20"/>
              </w:rPr>
            </w:pPr>
            <w:r w:rsidRPr="00EE245D">
              <w:rPr>
                <w:rFonts w:cstheme="minorHAnsi"/>
                <w:sz w:val="20"/>
                <w:szCs w:val="20"/>
              </w:rPr>
              <w:t>Imports/Exports</w:t>
            </w:r>
          </w:p>
        </w:tc>
        <w:tc>
          <w:tcPr>
            <w:tcW w:w="6300" w:type="dxa"/>
            <w:vAlign w:val="center"/>
          </w:tcPr>
          <w:p w14:paraId="14717EF7" w14:textId="59B043C4"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Imported electricity emissions held constant</w:t>
            </w:r>
          </w:p>
        </w:tc>
        <w:tc>
          <w:tcPr>
            <w:tcW w:w="5670" w:type="dxa"/>
            <w:vAlign w:val="center"/>
          </w:tcPr>
          <w:p w14:paraId="4B9F1AAA" w14:textId="211556B4" w:rsidR="000E5926" w:rsidRPr="000E5926" w:rsidRDefault="000E5926" w:rsidP="004D6D89">
            <w:pPr>
              <w:pStyle w:val="ListParagraph"/>
              <w:numPr>
                <w:ilvl w:val="0"/>
                <w:numId w:val="16"/>
              </w:numPr>
              <w:rPr>
                <w:rFonts w:cstheme="minorHAnsi"/>
                <w:sz w:val="20"/>
                <w:szCs w:val="20"/>
                <w:highlight w:val="yellow"/>
              </w:rPr>
            </w:pPr>
            <w:r w:rsidRPr="000E5926">
              <w:rPr>
                <w:rFonts w:cstheme="minorHAnsi"/>
                <w:sz w:val="20"/>
                <w:szCs w:val="20"/>
                <w:highlight w:val="yellow"/>
              </w:rPr>
              <w:t>Imported natural gas and coal electricity emissions decrease by 50% by 2030</w:t>
            </w:r>
          </w:p>
          <w:p w14:paraId="612082AD" w14:textId="5A24AA1E"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Assume no reductions in production, reductions in state consumption increase exports</w:t>
            </w:r>
          </w:p>
        </w:tc>
      </w:tr>
    </w:tbl>
    <w:p w14:paraId="6609A475" w14:textId="1AF7088E" w:rsidR="002478D7" w:rsidRDefault="002478D7" w:rsidP="002478D7"/>
    <w:p w14:paraId="120FE038" w14:textId="06197367" w:rsidR="002478D7" w:rsidRDefault="002478D7" w:rsidP="002478D7"/>
    <w:p w14:paraId="196CEC98" w14:textId="77777777" w:rsidR="002478D7" w:rsidRDefault="002478D7" w:rsidP="002478D7"/>
    <w:p w14:paraId="1B552CFC" w14:textId="276197CF" w:rsidR="0034200D" w:rsidRPr="00DD5391" w:rsidRDefault="0034200D" w:rsidP="00457BD3">
      <w:pPr>
        <w:pStyle w:val="Heading1"/>
        <w:rPr>
          <w:rFonts w:asciiTheme="minorHAnsi" w:hAnsiTheme="minorHAnsi"/>
        </w:rPr>
      </w:pPr>
      <w:r w:rsidRPr="00DD5391">
        <w:rPr>
          <w:rFonts w:asciiTheme="minorHAnsi" w:hAnsiTheme="minorHAnsi"/>
        </w:rPr>
        <w:t xml:space="preserve">Defining Targets shown in the tool </w:t>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p>
    <w:p w14:paraId="367DA565" w14:textId="1C3F2147" w:rsidR="00646EFA" w:rsidRPr="00A00A53" w:rsidRDefault="00646EFA" w:rsidP="00646EFA">
      <w:pPr>
        <w:pStyle w:val="NoSpacing"/>
        <w:rPr>
          <w:rFonts w:cstheme="minorHAnsi"/>
          <w:sz w:val="20"/>
          <w:szCs w:val="20"/>
        </w:rPr>
      </w:pPr>
      <w:r w:rsidRPr="00A00A53">
        <w:rPr>
          <w:rFonts w:cstheme="minorHAnsi"/>
          <w:sz w:val="20"/>
          <w:szCs w:val="20"/>
        </w:rPr>
        <w:t>The</w:t>
      </w:r>
      <w:r w:rsidR="002E5BA3" w:rsidRPr="00A00A53">
        <w:rPr>
          <w:rFonts w:cstheme="minorHAnsi"/>
          <w:sz w:val="20"/>
          <w:szCs w:val="20"/>
        </w:rPr>
        <w:t xml:space="preserve"> EPS model</w:t>
      </w:r>
      <w:r w:rsidRPr="00A00A53">
        <w:rPr>
          <w:rFonts w:cstheme="minorHAnsi"/>
          <w:sz w:val="20"/>
          <w:szCs w:val="20"/>
        </w:rPr>
        <w:t xml:space="preserve"> shows two greenhouse gas reduction targets. </w:t>
      </w:r>
    </w:p>
    <w:p w14:paraId="5F903B32" w14:textId="57CC760B" w:rsidR="0034200D" w:rsidRPr="00A00A53" w:rsidRDefault="003F7A99" w:rsidP="00DD5391">
      <w:pPr>
        <w:rPr>
          <w:rFonts w:cstheme="minorHAnsi"/>
          <w:sz w:val="20"/>
          <w:szCs w:val="20"/>
        </w:rPr>
      </w:pPr>
      <w:r w:rsidRPr="00A00A53">
        <w:rPr>
          <w:rFonts w:cstheme="minorHAnsi"/>
          <w:b/>
          <w:bCs/>
          <w:sz w:val="20"/>
          <w:szCs w:val="20"/>
        </w:rPr>
        <w:t>Minnesota’s targets:</w:t>
      </w:r>
      <w:r w:rsidRPr="00A00A53">
        <w:rPr>
          <w:rFonts w:cstheme="minorHAnsi"/>
          <w:sz w:val="20"/>
          <w:szCs w:val="20"/>
        </w:rPr>
        <w:t xml:space="preserve"> </w:t>
      </w:r>
      <w:r w:rsidR="00E26018" w:rsidRPr="00A00A53">
        <w:rPr>
          <w:rFonts w:cstheme="minorHAnsi"/>
          <w:sz w:val="20"/>
          <w:szCs w:val="20"/>
        </w:rPr>
        <w:t xml:space="preserve">Minnesota’s Next Generation Energy Act </w:t>
      </w:r>
      <w:r w:rsidR="008C6F1E" w:rsidRPr="00A00A53">
        <w:rPr>
          <w:rFonts w:cstheme="minorHAnsi"/>
          <w:sz w:val="20"/>
          <w:szCs w:val="20"/>
        </w:rPr>
        <w:t xml:space="preserve">(NEGA) </w:t>
      </w:r>
      <w:r w:rsidR="00A00A53" w:rsidRPr="00A00A53">
        <w:rPr>
          <w:rFonts w:cstheme="minorHAnsi"/>
          <w:sz w:val="20"/>
          <w:szCs w:val="20"/>
        </w:rPr>
        <w:t xml:space="preserve">set </w:t>
      </w:r>
      <w:r w:rsidR="006C55AB" w:rsidRPr="00A00A53">
        <w:rPr>
          <w:rFonts w:cstheme="minorHAnsi"/>
          <w:sz w:val="20"/>
          <w:szCs w:val="20"/>
        </w:rPr>
        <w:t>economy-wide</w:t>
      </w:r>
      <w:r w:rsidR="00E26018" w:rsidRPr="00A00A53">
        <w:rPr>
          <w:rFonts w:cstheme="minorHAnsi"/>
          <w:sz w:val="20"/>
          <w:szCs w:val="20"/>
        </w:rPr>
        <w:t xml:space="preserve"> greenhouse gas reduction targets</w:t>
      </w:r>
      <w:r w:rsidR="006C55AB" w:rsidRPr="00A00A53">
        <w:rPr>
          <w:rFonts w:cstheme="minorHAnsi"/>
          <w:sz w:val="20"/>
          <w:szCs w:val="20"/>
        </w:rPr>
        <w:t xml:space="preserve">. The act requires the state to reduce greenhouse gas emissions </w:t>
      </w:r>
      <w:r w:rsidR="00A00A53">
        <w:rPr>
          <w:rFonts w:cstheme="minorHAnsi"/>
          <w:sz w:val="20"/>
          <w:szCs w:val="20"/>
        </w:rPr>
        <w:t>3</w:t>
      </w:r>
      <w:r w:rsidR="006C55AB" w:rsidRPr="00A00A53">
        <w:rPr>
          <w:rFonts w:cstheme="minorHAnsi"/>
          <w:sz w:val="20"/>
          <w:szCs w:val="20"/>
        </w:rPr>
        <w:t xml:space="preserve">0% below </w:t>
      </w:r>
      <w:r w:rsidR="008C6F1E" w:rsidRPr="00A00A53">
        <w:rPr>
          <w:rFonts w:cstheme="minorHAnsi"/>
          <w:sz w:val="20"/>
          <w:szCs w:val="20"/>
        </w:rPr>
        <w:t xml:space="preserve">a </w:t>
      </w:r>
      <w:r w:rsidR="006C55AB" w:rsidRPr="00A00A53">
        <w:rPr>
          <w:rFonts w:cstheme="minorHAnsi"/>
          <w:sz w:val="20"/>
          <w:szCs w:val="20"/>
        </w:rPr>
        <w:t xml:space="preserve">2005 </w:t>
      </w:r>
      <w:r w:rsidR="00A00A53">
        <w:rPr>
          <w:rFonts w:cstheme="minorHAnsi"/>
          <w:sz w:val="20"/>
          <w:szCs w:val="20"/>
        </w:rPr>
        <w:t xml:space="preserve">baseline (not shown) </w:t>
      </w:r>
      <w:r w:rsidR="006C55AB" w:rsidRPr="00A00A53">
        <w:rPr>
          <w:rFonts w:cstheme="minorHAnsi"/>
          <w:sz w:val="20"/>
          <w:szCs w:val="20"/>
        </w:rPr>
        <w:t xml:space="preserve">and 80% by 2050. </w:t>
      </w:r>
      <w:r w:rsidR="008C6F1E" w:rsidRPr="00A00A53">
        <w:rPr>
          <w:rFonts w:cstheme="minorHAnsi"/>
          <w:sz w:val="20"/>
          <w:szCs w:val="20"/>
        </w:rPr>
        <w:t xml:space="preserve"> </w:t>
      </w:r>
    </w:p>
    <w:p w14:paraId="0928C8CE" w14:textId="211469FD" w:rsidR="008C6F1E" w:rsidRPr="00A00A53" w:rsidRDefault="008C6F1E">
      <w:pPr>
        <w:rPr>
          <w:rFonts w:cstheme="minorHAnsi"/>
          <w:sz w:val="20"/>
          <w:szCs w:val="20"/>
        </w:rPr>
      </w:pPr>
      <w:r w:rsidRPr="00A00A53">
        <w:rPr>
          <w:rFonts w:cstheme="minorHAnsi"/>
          <w:sz w:val="20"/>
          <w:szCs w:val="20"/>
        </w:rPr>
        <w:t xml:space="preserve">RMI has also conducted a literature review of global </w:t>
      </w:r>
      <w:r w:rsidR="00886FEC">
        <w:rPr>
          <w:rFonts w:cstheme="minorHAnsi"/>
          <w:sz w:val="20"/>
          <w:szCs w:val="20"/>
        </w:rPr>
        <w:t>1.5 degrees C guidance</w:t>
      </w:r>
      <w:r w:rsidR="00886FEC">
        <w:rPr>
          <w:rStyle w:val="FootnoteReference"/>
          <w:rFonts w:cstheme="minorHAnsi"/>
          <w:sz w:val="20"/>
          <w:szCs w:val="20"/>
        </w:rPr>
        <w:footnoteReference w:id="8"/>
      </w:r>
      <w:r w:rsidR="00886FEC">
        <w:rPr>
          <w:rFonts w:cstheme="minorHAnsi"/>
          <w:sz w:val="20"/>
          <w:szCs w:val="20"/>
        </w:rPr>
        <w:t xml:space="preserve"> </w:t>
      </w:r>
      <w:r w:rsidRPr="00A00A53">
        <w:rPr>
          <w:rFonts w:cstheme="minorHAnsi"/>
          <w:sz w:val="20"/>
          <w:szCs w:val="20"/>
        </w:rPr>
        <w:t>and national pathways analys</w:t>
      </w:r>
      <w:r w:rsidR="00A00A53">
        <w:rPr>
          <w:rFonts w:cstheme="minorHAnsi"/>
          <w:sz w:val="20"/>
          <w:szCs w:val="20"/>
        </w:rPr>
        <w:t>e</w:t>
      </w:r>
      <w:r w:rsidRPr="00A00A53">
        <w:rPr>
          <w:rFonts w:cstheme="minorHAnsi"/>
          <w:sz w:val="20"/>
          <w:szCs w:val="20"/>
        </w:rPr>
        <w:t>s for limiting warming to 1.5</w:t>
      </w:r>
      <w:r w:rsidR="00886FEC">
        <w:rPr>
          <w:rFonts w:cstheme="minorHAnsi"/>
          <w:sz w:val="20"/>
          <w:szCs w:val="20"/>
        </w:rPr>
        <w:t xml:space="preserve"> </w:t>
      </w:r>
      <w:r w:rsidRPr="00A00A53">
        <w:rPr>
          <w:rFonts w:cstheme="minorHAnsi"/>
          <w:sz w:val="20"/>
          <w:szCs w:val="20"/>
        </w:rPr>
        <w:t xml:space="preserve">degrees, with a focus on required action by 2030.  These targets have been translated to sectoral </w:t>
      </w:r>
      <w:r w:rsidR="00E538B8">
        <w:rPr>
          <w:rFonts w:cstheme="minorHAnsi"/>
          <w:sz w:val="20"/>
          <w:szCs w:val="20"/>
        </w:rPr>
        <w:t xml:space="preserve">percentage reduction </w:t>
      </w:r>
      <w:r w:rsidRPr="00A00A53">
        <w:rPr>
          <w:rFonts w:cstheme="minorHAnsi"/>
          <w:sz w:val="20"/>
          <w:szCs w:val="20"/>
        </w:rPr>
        <w:t>targets</w:t>
      </w:r>
      <w:r w:rsidR="00E538B8">
        <w:rPr>
          <w:rFonts w:cstheme="minorHAnsi"/>
          <w:sz w:val="20"/>
          <w:szCs w:val="20"/>
        </w:rPr>
        <w:t xml:space="preserve"> relative to 2005,</w:t>
      </w:r>
      <w:r w:rsidRPr="00A00A53">
        <w:rPr>
          <w:rFonts w:cstheme="minorHAnsi"/>
          <w:sz w:val="20"/>
          <w:szCs w:val="20"/>
        </w:rPr>
        <w:t xml:space="preserve"> and</w:t>
      </w:r>
      <w:r w:rsidR="00E538B8">
        <w:rPr>
          <w:rFonts w:cstheme="minorHAnsi"/>
          <w:sz w:val="20"/>
          <w:szCs w:val="20"/>
        </w:rPr>
        <w:t xml:space="preserve"> these have been</w:t>
      </w:r>
      <w:r w:rsidRPr="00A00A53">
        <w:rPr>
          <w:rFonts w:cstheme="minorHAnsi"/>
          <w:sz w:val="20"/>
          <w:szCs w:val="20"/>
        </w:rPr>
        <w:t xml:space="preserve"> applied </w:t>
      </w:r>
      <w:r w:rsidR="00E538B8">
        <w:rPr>
          <w:rFonts w:cstheme="minorHAnsi"/>
          <w:sz w:val="20"/>
          <w:szCs w:val="20"/>
        </w:rPr>
        <w:t>to</w:t>
      </w:r>
      <w:r w:rsidRPr="00A00A53">
        <w:rPr>
          <w:rFonts w:cstheme="minorHAnsi"/>
          <w:sz w:val="20"/>
          <w:szCs w:val="20"/>
        </w:rPr>
        <w:t xml:space="preserve"> state level to provide a benchmark for policy evaluation and discussion.</w:t>
      </w:r>
      <w:r w:rsidR="00E538B8">
        <w:rPr>
          <w:rFonts w:cstheme="minorHAnsi"/>
          <w:sz w:val="20"/>
          <w:szCs w:val="20"/>
        </w:rPr>
        <w:t xml:space="preserve">  Note that these targets are approximate, and should not be considered equivalent to a comprehensive state decarbonization assessment, which may well find that some sectors can </w:t>
      </w:r>
      <w:r w:rsidR="003E6383">
        <w:rPr>
          <w:rFonts w:cstheme="minorHAnsi"/>
          <w:sz w:val="20"/>
          <w:szCs w:val="20"/>
        </w:rPr>
        <w:t>feasibly reduce emissions more quickly, or that some states as a whole may feasibly reduce emissions more quickly than the US average due to their local economic conditions.</w:t>
      </w:r>
    </w:p>
    <w:p w14:paraId="7900614E" w14:textId="5D5FBF8B" w:rsidR="008C6F1E" w:rsidRPr="00A00A53" w:rsidRDefault="008C6F1E">
      <w:pPr>
        <w:rPr>
          <w:rFonts w:cstheme="minorHAnsi"/>
          <w:sz w:val="20"/>
          <w:szCs w:val="20"/>
        </w:rPr>
      </w:pPr>
      <w:commentRangeStart w:id="0"/>
      <w:r w:rsidRPr="00A00A53">
        <w:rPr>
          <w:rFonts w:cstheme="minorHAnsi"/>
          <w:sz w:val="20"/>
          <w:szCs w:val="20"/>
        </w:rPr>
        <w:t>We have also provided an illustrative policy scenario.  This policy bundle is illustrative only, meant to support conversations about economy wide decarbonization over the coming decade.</w:t>
      </w:r>
      <w:r w:rsidR="00071A93" w:rsidRPr="00A00A53">
        <w:rPr>
          <w:rFonts w:cstheme="minorHAnsi"/>
          <w:sz w:val="20"/>
          <w:szCs w:val="20"/>
        </w:rPr>
        <w:t xml:space="preserve"> The </w:t>
      </w:r>
      <w:r w:rsidR="00071A93" w:rsidRPr="00A00A53">
        <w:rPr>
          <w:rFonts w:cstheme="minorHAnsi"/>
          <w:b/>
          <w:bCs/>
          <w:sz w:val="20"/>
          <w:szCs w:val="20"/>
        </w:rPr>
        <w:t>2030</w:t>
      </w:r>
      <w:r w:rsidR="00071A93" w:rsidRPr="00A00A53">
        <w:rPr>
          <w:rFonts w:cstheme="minorHAnsi"/>
          <w:sz w:val="20"/>
          <w:szCs w:val="20"/>
        </w:rPr>
        <w:t xml:space="preserve"> </w:t>
      </w:r>
      <w:r w:rsidR="00071A93" w:rsidRPr="00A00A53">
        <w:rPr>
          <w:rFonts w:cstheme="minorHAnsi"/>
          <w:b/>
          <w:bCs/>
          <w:sz w:val="20"/>
          <w:szCs w:val="20"/>
        </w:rPr>
        <w:t>1.5C Targets scenario</w:t>
      </w:r>
      <w:r w:rsidR="00071A93" w:rsidRPr="00A00A53">
        <w:rPr>
          <w:rFonts w:cstheme="minorHAnsi"/>
          <w:sz w:val="20"/>
          <w:szCs w:val="20"/>
        </w:rPr>
        <w:t xml:space="preserve"> is an example of policies that would enable Minnesota to meet 2030 greenhouse gas reduction targets consistent with limiting emissions to 1.5C.</w:t>
      </w:r>
    </w:p>
    <w:p w14:paraId="1E606C6B" w14:textId="01D3E1E8" w:rsidR="0034200D" w:rsidRPr="00DD5391" w:rsidRDefault="002B2DE6" w:rsidP="00DD5391">
      <w:pPr>
        <w:pStyle w:val="ListParagraph"/>
        <w:numPr>
          <w:ilvl w:val="0"/>
          <w:numId w:val="13"/>
        </w:numPr>
        <w:rPr>
          <w:sz w:val="20"/>
        </w:rPr>
      </w:pPr>
      <w:r>
        <w:rPr>
          <w:rFonts w:cstheme="majorHAnsi"/>
          <w:b/>
          <w:bCs/>
          <w:sz w:val="20"/>
          <w:szCs w:val="20"/>
        </w:rPr>
        <w:t xml:space="preserve">2030 </w:t>
      </w:r>
      <w:r w:rsidR="003F7A99">
        <w:rPr>
          <w:rFonts w:cstheme="majorHAnsi"/>
          <w:b/>
          <w:bCs/>
          <w:sz w:val="20"/>
          <w:szCs w:val="20"/>
        </w:rPr>
        <w:t>1.5</w:t>
      </w:r>
      <w:r>
        <w:rPr>
          <w:rFonts w:cstheme="majorHAnsi"/>
          <w:b/>
          <w:bCs/>
          <w:sz w:val="20"/>
          <w:szCs w:val="20"/>
        </w:rPr>
        <w:t>C</w:t>
      </w:r>
      <w:r w:rsidR="003F7A99">
        <w:rPr>
          <w:rFonts w:cstheme="majorHAnsi"/>
          <w:b/>
          <w:bCs/>
          <w:sz w:val="20"/>
          <w:szCs w:val="20"/>
        </w:rPr>
        <w:t xml:space="preserve"> </w:t>
      </w:r>
      <w:r>
        <w:rPr>
          <w:rFonts w:cstheme="majorHAnsi"/>
          <w:b/>
          <w:bCs/>
          <w:sz w:val="20"/>
          <w:szCs w:val="20"/>
        </w:rPr>
        <w:t>Targets</w:t>
      </w:r>
      <w:r w:rsidR="003F7A99">
        <w:rPr>
          <w:rFonts w:cstheme="majorHAnsi"/>
          <w:b/>
          <w:bCs/>
          <w:sz w:val="20"/>
          <w:szCs w:val="20"/>
        </w:rPr>
        <w:t xml:space="preserve">: </w:t>
      </w:r>
      <w:r w:rsidR="003F7A99">
        <w:rPr>
          <w:rFonts w:cstheme="majorHAnsi"/>
          <w:sz w:val="20"/>
          <w:szCs w:val="20"/>
        </w:rPr>
        <w:t xml:space="preserve">Minnesota needs to reduce economy-wide greenhouse gas emissions by 60% by 2030. </w:t>
      </w:r>
      <w:r w:rsidR="002060F8">
        <w:rPr>
          <w:rFonts w:cstheme="majorHAnsi"/>
          <w:sz w:val="20"/>
          <w:szCs w:val="20"/>
        </w:rPr>
        <w:t>The following table summarizes the assumptions embedded in the 2030 1.5</w:t>
      </w:r>
      <w:r w:rsidR="00BB250B">
        <w:rPr>
          <w:rFonts w:cstheme="majorHAnsi"/>
          <w:sz w:val="20"/>
          <w:szCs w:val="20"/>
        </w:rPr>
        <w:t>C targets scenario</w:t>
      </w:r>
      <w:r w:rsidR="002060F8">
        <w:rPr>
          <w:rFonts w:cstheme="majorHAnsi"/>
          <w:sz w:val="20"/>
          <w:szCs w:val="20"/>
        </w:rPr>
        <w:t xml:space="preserve">. </w:t>
      </w:r>
    </w:p>
    <w:tbl>
      <w:tblPr>
        <w:tblStyle w:val="TableGrid"/>
        <w:tblW w:w="7642" w:type="dxa"/>
        <w:jc w:val="center"/>
        <w:tblLook w:val="04A0" w:firstRow="1" w:lastRow="0" w:firstColumn="1" w:lastColumn="0" w:noHBand="0" w:noVBand="1"/>
      </w:tblPr>
      <w:tblGrid>
        <w:gridCol w:w="2288"/>
        <w:gridCol w:w="5354"/>
      </w:tblGrid>
      <w:tr w:rsidR="0034200D" w:rsidRPr="006C55AB" w14:paraId="78BA27E7" w14:textId="77777777" w:rsidTr="00480EB7">
        <w:trPr>
          <w:trHeight w:val="235"/>
          <w:jc w:val="center"/>
        </w:trPr>
        <w:tc>
          <w:tcPr>
            <w:tcW w:w="2288" w:type="dxa"/>
            <w:shd w:val="clear" w:color="auto" w:fill="A8D08D" w:themeFill="accent6" w:themeFillTint="99"/>
            <w:vAlign w:val="center"/>
          </w:tcPr>
          <w:p w14:paraId="6D379345" w14:textId="77777777" w:rsidR="0034200D" w:rsidRPr="006C55AB" w:rsidRDefault="0034200D" w:rsidP="00480EB7">
            <w:pPr>
              <w:pStyle w:val="NoSpacing"/>
              <w:jc w:val="center"/>
              <w:rPr>
                <w:b/>
                <w:bCs/>
                <w:sz w:val="20"/>
                <w:szCs w:val="20"/>
              </w:rPr>
            </w:pPr>
            <w:r w:rsidRPr="006C55AB">
              <w:rPr>
                <w:b/>
                <w:bCs/>
                <w:sz w:val="20"/>
                <w:szCs w:val="20"/>
              </w:rPr>
              <w:t>Sector</w:t>
            </w:r>
          </w:p>
        </w:tc>
        <w:tc>
          <w:tcPr>
            <w:tcW w:w="5354" w:type="dxa"/>
            <w:shd w:val="clear" w:color="auto" w:fill="A8D08D" w:themeFill="accent6" w:themeFillTint="99"/>
            <w:vAlign w:val="center"/>
          </w:tcPr>
          <w:p w14:paraId="0BDEADB1" w14:textId="77777777" w:rsidR="0034200D" w:rsidRPr="00DD5391" w:rsidRDefault="0034200D" w:rsidP="00287108">
            <w:pPr>
              <w:jc w:val="center"/>
              <w:rPr>
                <w:b/>
                <w:sz w:val="20"/>
              </w:rPr>
            </w:pPr>
            <w:r w:rsidRPr="00DD5391">
              <w:rPr>
                <w:b/>
                <w:sz w:val="20"/>
              </w:rPr>
              <w:t>2030 1.5C Targets Scenario (2030 metrics)</w:t>
            </w:r>
          </w:p>
        </w:tc>
      </w:tr>
      <w:tr w:rsidR="0034200D" w:rsidRPr="006C55AB" w14:paraId="3981E7D6" w14:textId="77777777" w:rsidTr="00DD5391">
        <w:trPr>
          <w:trHeight w:val="380"/>
          <w:jc w:val="center"/>
        </w:trPr>
        <w:tc>
          <w:tcPr>
            <w:tcW w:w="2288" w:type="dxa"/>
            <w:shd w:val="clear" w:color="auto" w:fill="E2EFD9" w:themeFill="accent6" w:themeFillTint="33"/>
            <w:vAlign w:val="center"/>
          </w:tcPr>
          <w:p w14:paraId="1899C97F" w14:textId="77777777" w:rsidR="0034200D" w:rsidRPr="00DD5391" w:rsidRDefault="0034200D" w:rsidP="00287108">
            <w:pPr>
              <w:jc w:val="center"/>
              <w:rPr>
                <w:sz w:val="20"/>
              </w:rPr>
            </w:pPr>
            <w:r w:rsidRPr="00DD5391">
              <w:rPr>
                <w:sz w:val="20"/>
              </w:rPr>
              <w:t>Industry</w:t>
            </w:r>
          </w:p>
        </w:tc>
        <w:tc>
          <w:tcPr>
            <w:tcW w:w="5354" w:type="dxa"/>
            <w:shd w:val="clear" w:color="auto" w:fill="auto"/>
            <w:vAlign w:val="center"/>
          </w:tcPr>
          <w:p w14:paraId="3F58F238" w14:textId="77777777" w:rsidR="0034200D" w:rsidRPr="00DD5391" w:rsidRDefault="0034200D" w:rsidP="00DD5391">
            <w:pPr>
              <w:pStyle w:val="ListParagraph"/>
              <w:numPr>
                <w:ilvl w:val="0"/>
                <w:numId w:val="17"/>
              </w:numPr>
              <w:rPr>
                <w:sz w:val="20"/>
              </w:rPr>
            </w:pPr>
            <w:r w:rsidRPr="00DD5391">
              <w:rPr>
                <w:sz w:val="20"/>
              </w:rPr>
              <w:t>8% efficiency gains in all industries (by 2035)</w:t>
            </w:r>
          </w:p>
          <w:p w14:paraId="52512EDA" w14:textId="77777777" w:rsidR="0034200D" w:rsidRPr="00DD5391" w:rsidRDefault="0034200D" w:rsidP="00DD5391">
            <w:pPr>
              <w:pStyle w:val="ListParagraph"/>
              <w:numPr>
                <w:ilvl w:val="0"/>
                <w:numId w:val="17"/>
              </w:numPr>
              <w:rPr>
                <w:sz w:val="20"/>
              </w:rPr>
            </w:pPr>
            <w:r w:rsidRPr="00DD5391">
              <w:rPr>
                <w:sz w:val="20"/>
              </w:rPr>
              <w:t>100$/ton carbon tax</w:t>
            </w:r>
          </w:p>
          <w:p w14:paraId="0F7F44B4" w14:textId="77777777" w:rsidR="0034200D" w:rsidRPr="00BB250B" w:rsidRDefault="0034200D" w:rsidP="00DD5391">
            <w:pPr>
              <w:pStyle w:val="ListParagraph"/>
              <w:numPr>
                <w:ilvl w:val="0"/>
                <w:numId w:val="17"/>
              </w:numPr>
              <w:rPr>
                <w:sz w:val="20"/>
                <w:highlight w:val="yellow"/>
              </w:rPr>
            </w:pPr>
            <w:r w:rsidRPr="00BB250B">
              <w:rPr>
                <w:sz w:val="20"/>
                <w:highlight w:val="yellow"/>
              </w:rPr>
              <w:t>70% reduction of methane leakage</w:t>
            </w:r>
          </w:p>
          <w:p w14:paraId="207B6943" w14:textId="77777777" w:rsidR="0034200D" w:rsidRPr="00DD5391" w:rsidRDefault="0034200D" w:rsidP="00DD5391">
            <w:pPr>
              <w:pStyle w:val="ListParagraph"/>
              <w:numPr>
                <w:ilvl w:val="0"/>
                <w:numId w:val="17"/>
              </w:numPr>
              <w:rPr>
                <w:sz w:val="20"/>
              </w:rPr>
            </w:pPr>
            <w:r w:rsidRPr="00DD5391">
              <w:rPr>
                <w:sz w:val="20"/>
              </w:rPr>
              <w:t>77% reduction of F-gas emissions by 2050</w:t>
            </w:r>
          </w:p>
        </w:tc>
      </w:tr>
      <w:tr w:rsidR="0034200D" w:rsidRPr="006C55AB" w14:paraId="2BC400C9" w14:textId="77777777" w:rsidTr="00DD5391">
        <w:trPr>
          <w:trHeight w:val="541"/>
          <w:jc w:val="center"/>
        </w:trPr>
        <w:tc>
          <w:tcPr>
            <w:tcW w:w="2288" w:type="dxa"/>
            <w:shd w:val="clear" w:color="auto" w:fill="E2EFD9" w:themeFill="accent6" w:themeFillTint="33"/>
            <w:vAlign w:val="center"/>
          </w:tcPr>
          <w:p w14:paraId="47A7D4EF" w14:textId="77777777" w:rsidR="0034200D" w:rsidRPr="00DD5391" w:rsidRDefault="0034200D" w:rsidP="00287108">
            <w:pPr>
              <w:jc w:val="center"/>
              <w:rPr>
                <w:sz w:val="20"/>
              </w:rPr>
            </w:pPr>
            <w:r w:rsidRPr="00DD5391">
              <w:rPr>
                <w:sz w:val="20"/>
              </w:rPr>
              <w:t>Electricity</w:t>
            </w:r>
          </w:p>
        </w:tc>
        <w:tc>
          <w:tcPr>
            <w:tcW w:w="5354" w:type="dxa"/>
            <w:shd w:val="clear" w:color="auto" w:fill="auto"/>
            <w:vAlign w:val="center"/>
          </w:tcPr>
          <w:p w14:paraId="2AFDEF3A" w14:textId="77777777" w:rsidR="0034200D" w:rsidRPr="00DD5391" w:rsidRDefault="0034200D" w:rsidP="00DD5391">
            <w:pPr>
              <w:pStyle w:val="ListParagraph"/>
              <w:numPr>
                <w:ilvl w:val="0"/>
                <w:numId w:val="17"/>
              </w:numPr>
              <w:rPr>
                <w:sz w:val="20"/>
              </w:rPr>
            </w:pPr>
            <w:r w:rsidRPr="00DD5391">
              <w:rPr>
                <w:sz w:val="20"/>
              </w:rPr>
              <w:t>90% Clean Energy Standard</w:t>
            </w:r>
          </w:p>
          <w:p w14:paraId="6ACF4914" w14:textId="77777777" w:rsidR="0034200D" w:rsidRPr="00DD5391" w:rsidRDefault="0034200D" w:rsidP="00DD5391">
            <w:pPr>
              <w:pStyle w:val="ListParagraph"/>
              <w:numPr>
                <w:ilvl w:val="0"/>
                <w:numId w:val="17"/>
              </w:numPr>
              <w:rPr>
                <w:sz w:val="20"/>
              </w:rPr>
            </w:pPr>
            <w:r w:rsidRPr="00DD5391">
              <w:rPr>
                <w:sz w:val="20"/>
              </w:rPr>
              <w:t>$100/ton carbon tax</w:t>
            </w:r>
          </w:p>
          <w:p w14:paraId="2D336945" w14:textId="77777777" w:rsidR="0034200D" w:rsidRPr="00DD5391" w:rsidRDefault="0034200D" w:rsidP="00DD5391">
            <w:pPr>
              <w:pStyle w:val="ListParagraph"/>
              <w:numPr>
                <w:ilvl w:val="0"/>
                <w:numId w:val="17"/>
              </w:numPr>
              <w:rPr>
                <w:sz w:val="20"/>
              </w:rPr>
            </w:pPr>
            <w:r w:rsidRPr="00DD5391">
              <w:rPr>
                <w:sz w:val="20"/>
              </w:rPr>
              <w:t>Increase demand response and transmission</w:t>
            </w:r>
          </w:p>
          <w:p w14:paraId="285A5036" w14:textId="77777777" w:rsidR="0034200D" w:rsidRPr="00DD5391" w:rsidRDefault="0034200D" w:rsidP="00DD5391">
            <w:pPr>
              <w:pStyle w:val="ListParagraph"/>
              <w:numPr>
                <w:ilvl w:val="0"/>
                <w:numId w:val="17"/>
              </w:numPr>
              <w:rPr>
                <w:sz w:val="20"/>
              </w:rPr>
            </w:pPr>
            <w:r w:rsidRPr="00DD5391">
              <w:rPr>
                <w:sz w:val="20"/>
              </w:rPr>
              <w:t>No new natural gas plants after 2030</w:t>
            </w:r>
          </w:p>
        </w:tc>
      </w:tr>
      <w:tr w:rsidR="0034200D" w:rsidRPr="006C55AB" w14:paraId="5D347B48" w14:textId="77777777" w:rsidTr="00DD5391">
        <w:trPr>
          <w:trHeight w:val="455"/>
          <w:jc w:val="center"/>
        </w:trPr>
        <w:tc>
          <w:tcPr>
            <w:tcW w:w="2288" w:type="dxa"/>
            <w:shd w:val="clear" w:color="auto" w:fill="E2EFD9" w:themeFill="accent6" w:themeFillTint="33"/>
            <w:vAlign w:val="center"/>
          </w:tcPr>
          <w:p w14:paraId="195ED858" w14:textId="77777777" w:rsidR="0034200D" w:rsidRPr="00DD5391" w:rsidRDefault="0034200D" w:rsidP="00287108">
            <w:pPr>
              <w:jc w:val="center"/>
              <w:rPr>
                <w:sz w:val="20"/>
              </w:rPr>
            </w:pPr>
            <w:r w:rsidRPr="00DD5391">
              <w:rPr>
                <w:sz w:val="20"/>
              </w:rPr>
              <w:t>Buildings</w:t>
            </w:r>
          </w:p>
        </w:tc>
        <w:tc>
          <w:tcPr>
            <w:tcW w:w="5354" w:type="dxa"/>
            <w:shd w:val="clear" w:color="auto" w:fill="auto"/>
            <w:vAlign w:val="center"/>
          </w:tcPr>
          <w:p w14:paraId="5D67FFE5" w14:textId="77777777" w:rsidR="0034200D" w:rsidRPr="00DD5391" w:rsidRDefault="0034200D" w:rsidP="00DD5391">
            <w:pPr>
              <w:pStyle w:val="ListParagraph"/>
              <w:numPr>
                <w:ilvl w:val="0"/>
                <w:numId w:val="17"/>
              </w:numPr>
              <w:rPr>
                <w:sz w:val="20"/>
              </w:rPr>
            </w:pPr>
            <w:r w:rsidRPr="00DD5391">
              <w:rPr>
                <w:sz w:val="20"/>
              </w:rPr>
              <w:t>All new appliance sales are electric</w:t>
            </w:r>
          </w:p>
          <w:p w14:paraId="79D0E029" w14:textId="77777777" w:rsidR="0034200D" w:rsidRPr="00DD5391" w:rsidRDefault="0034200D" w:rsidP="00DD5391">
            <w:pPr>
              <w:pStyle w:val="ListParagraph"/>
              <w:numPr>
                <w:ilvl w:val="0"/>
                <w:numId w:val="17"/>
              </w:numPr>
              <w:rPr>
                <w:sz w:val="20"/>
              </w:rPr>
            </w:pPr>
            <w:r w:rsidRPr="00DD5391">
              <w:rPr>
                <w:sz w:val="20"/>
              </w:rPr>
              <w:t>Retrofit 25% of existing buildings</w:t>
            </w:r>
          </w:p>
        </w:tc>
      </w:tr>
      <w:tr w:rsidR="0034200D" w:rsidRPr="006C55AB" w14:paraId="13B641B3" w14:textId="77777777" w:rsidTr="00DD5391">
        <w:trPr>
          <w:trHeight w:val="696"/>
          <w:jc w:val="center"/>
        </w:trPr>
        <w:tc>
          <w:tcPr>
            <w:tcW w:w="2288" w:type="dxa"/>
            <w:shd w:val="clear" w:color="auto" w:fill="E2EFD9" w:themeFill="accent6" w:themeFillTint="33"/>
            <w:vAlign w:val="center"/>
          </w:tcPr>
          <w:p w14:paraId="416A52B2" w14:textId="77777777" w:rsidR="0034200D" w:rsidRPr="00DD5391" w:rsidRDefault="0034200D" w:rsidP="00287108">
            <w:pPr>
              <w:jc w:val="center"/>
              <w:rPr>
                <w:sz w:val="20"/>
              </w:rPr>
            </w:pPr>
            <w:r w:rsidRPr="00DD5391">
              <w:rPr>
                <w:sz w:val="20"/>
              </w:rPr>
              <w:t>On-Road Transportation</w:t>
            </w:r>
          </w:p>
        </w:tc>
        <w:tc>
          <w:tcPr>
            <w:tcW w:w="5354" w:type="dxa"/>
            <w:shd w:val="clear" w:color="auto" w:fill="auto"/>
            <w:vAlign w:val="center"/>
          </w:tcPr>
          <w:p w14:paraId="08770388" w14:textId="77777777" w:rsidR="0034200D" w:rsidRPr="00DD5391" w:rsidRDefault="0034200D" w:rsidP="00DD5391">
            <w:pPr>
              <w:pStyle w:val="ListParagraph"/>
              <w:numPr>
                <w:ilvl w:val="0"/>
                <w:numId w:val="17"/>
              </w:numPr>
              <w:rPr>
                <w:sz w:val="20"/>
              </w:rPr>
            </w:pPr>
            <w:r w:rsidRPr="00DD5391">
              <w:rPr>
                <w:sz w:val="20"/>
              </w:rPr>
              <w:t>100% new light duty vehicles &amp; buses are electric</w:t>
            </w:r>
          </w:p>
          <w:p w14:paraId="58CF3279" w14:textId="77777777" w:rsidR="0034200D" w:rsidRPr="00DD5391" w:rsidRDefault="0034200D" w:rsidP="00DD5391">
            <w:pPr>
              <w:pStyle w:val="ListParagraph"/>
              <w:numPr>
                <w:ilvl w:val="0"/>
                <w:numId w:val="17"/>
              </w:numPr>
              <w:rPr>
                <w:sz w:val="20"/>
              </w:rPr>
            </w:pPr>
            <w:r w:rsidRPr="00DD5391">
              <w:rPr>
                <w:sz w:val="20"/>
              </w:rPr>
              <w:t>40% of all new freight HDVs electric and 20% hydrogen</w:t>
            </w:r>
          </w:p>
          <w:p w14:paraId="1FD04365" w14:textId="77777777" w:rsidR="0034200D" w:rsidRPr="00DD5391" w:rsidRDefault="0034200D" w:rsidP="00DD5391">
            <w:pPr>
              <w:pStyle w:val="ListParagraph"/>
              <w:numPr>
                <w:ilvl w:val="0"/>
                <w:numId w:val="17"/>
              </w:numPr>
              <w:rPr>
                <w:sz w:val="20"/>
              </w:rPr>
            </w:pPr>
            <w:r w:rsidRPr="00DD5391">
              <w:rPr>
                <w:sz w:val="20"/>
              </w:rPr>
              <w:t xml:space="preserve">13% reduction of vehicles miles traveled </w:t>
            </w:r>
            <w:r w:rsidRPr="00DD5391">
              <w:rPr>
                <w:sz w:val="20"/>
                <w:highlight w:val="yellow"/>
              </w:rPr>
              <w:t>from 2020 levels</w:t>
            </w:r>
          </w:p>
        </w:tc>
      </w:tr>
      <w:tr w:rsidR="0034200D" w:rsidRPr="006C55AB" w14:paraId="5F41FEE8" w14:textId="77777777" w:rsidTr="00DD5391">
        <w:trPr>
          <w:trHeight w:val="512"/>
          <w:jc w:val="center"/>
        </w:trPr>
        <w:tc>
          <w:tcPr>
            <w:tcW w:w="2288" w:type="dxa"/>
            <w:shd w:val="clear" w:color="auto" w:fill="E2EFD9" w:themeFill="accent6" w:themeFillTint="33"/>
            <w:vAlign w:val="center"/>
          </w:tcPr>
          <w:p w14:paraId="520338DB" w14:textId="77777777" w:rsidR="0034200D" w:rsidRPr="00DD5391" w:rsidRDefault="0034200D" w:rsidP="00287108">
            <w:pPr>
              <w:jc w:val="center"/>
              <w:rPr>
                <w:sz w:val="20"/>
              </w:rPr>
            </w:pPr>
            <w:r w:rsidRPr="00DD5391">
              <w:rPr>
                <w:sz w:val="20"/>
              </w:rPr>
              <w:lastRenderedPageBreak/>
              <w:t>Land use/Agriculture</w:t>
            </w:r>
          </w:p>
        </w:tc>
        <w:tc>
          <w:tcPr>
            <w:tcW w:w="5354" w:type="dxa"/>
            <w:shd w:val="clear" w:color="auto" w:fill="auto"/>
            <w:vAlign w:val="center"/>
          </w:tcPr>
          <w:p w14:paraId="52248CFF" w14:textId="43008189" w:rsidR="0034200D" w:rsidRPr="00DD5391" w:rsidRDefault="0034200D" w:rsidP="00DD5391">
            <w:pPr>
              <w:pStyle w:val="ListParagraph"/>
              <w:numPr>
                <w:ilvl w:val="0"/>
                <w:numId w:val="17"/>
              </w:numPr>
              <w:rPr>
                <w:rFonts w:asciiTheme="majorHAnsi" w:hAnsiTheme="majorHAnsi"/>
                <w:i/>
                <w:sz w:val="20"/>
              </w:rPr>
            </w:pPr>
            <w:r w:rsidRPr="00DD5391">
              <w:rPr>
                <w:rFonts w:asciiTheme="majorHAnsi" w:hAnsiTheme="majorHAnsi"/>
                <w:i/>
                <w:sz w:val="20"/>
              </w:rPr>
              <w:t>Same as BAU</w:t>
            </w:r>
          </w:p>
        </w:tc>
      </w:tr>
      <w:tr w:rsidR="0034200D" w:rsidRPr="006C55AB" w14:paraId="41B03D3B" w14:textId="77777777" w:rsidTr="00DD5391">
        <w:trPr>
          <w:trHeight w:val="281"/>
          <w:jc w:val="center"/>
        </w:trPr>
        <w:tc>
          <w:tcPr>
            <w:tcW w:w="2288" w:type="dxa"/>
            <w:shd w:val="clear" w:color="auto" w:fill="E2EFD9" w:themeFill="accent6" w:themeFillTint="33"/>
            <w:vAlign w:val="center"/>
          </w:tcPr>
          <w:p w14:paraId="01DCF62F" w14:textId="77777777" w:rsidR="0034200D" w:rsidRPr="00DD5391" w:rsidRDefault="0034200D" w:rsidP="00287108">
            <w:pPr>
              <w:jc w:val="center"/>
              <w:rPr>
                <w:sz w:val="20"/>
              </w:rPr>
            </w:pPr>
            <w:r w:rsidRPr="00DD5391">
              <w:rPr>
                <w:sz w:val="20"/>
              </w:rPr>
              <w:t>Imports/Exports</w:t>
            </w:r>
          </w:p>
        </w:tc>
        <w:tc>
          <w:tcPr>
            <w:tcW w:w="5354" w:type="dxa"/>
            <w:shd w:val="clear" w:color="auto" w:fill="auto"/>
            <w:vAlign w:val="center"/>
          </w:tcPr>
          <w:p w14:paraId="061A8014" w14:textId="77777777" w:rsidR="0034200D" w:rsidRPr="00DD5391" w:rsidRDefault="0034200D" w:rsidP="00DD5391">
            <w:pPr>
              <w:pStyle w:val="ListParagraph"/>
              <w:numPr>
                <w:ilvl w:val="0"/>
                <w:numId w:val="17"/>
              </w:numPr>
              <w:rPr>
                <w:sz w:val="20"/>
              </w:rPr>
            </w:pPr>
            <w:r w:rsidRPr="00DD5391">
              <w:rPr>
                <w:sz w:val="20"/>
              </w:rPr>
              <w:t>Reduce imports from coal and gas plants</w:t>
            </w:r>
          </w:p>
        </w:tc>
      </w:tr>
    </w:tbl>
    <w:commentRangeEnd w:id="0"/>
    <w:p w14:paraId="664DAA03" w14:textId="2C5979B5" w:rsidR="00555E3F" w:rsidRPr="00D8395A" w:rsidRDefault="00DE7506" w:rsidP="00555E3F">
      <w:pPr>
        <w:pStyle w:val="Heading1"/>
        <w:rPr>
          <w:rFonts w:asciiTheme="minorHAnsi" w:hAnsiTheme="minorHAnsi"/>
        </w:rPr>
      </w:pPr>
      <w:r>
        <w:rPr>
          <w:rStyle w:val="CommentReference"/>
          <w:rFonts w:asciiTheme="minorHAnsi" w:eastAsiaTheme="minorHAnsi" w:hAnsiTheme="minorHAnsi" w:cstheme="minorBidi"/>
          <w:b w:val="0"/>
          <w:bCs w:val="0"/>
          <w:color w:val="auto"/>
          <w:shd w:val="clear" w:color="auto" w:fill="auto"/>
        </w:rPr>
        <w:commentReference w:id="0"/>
      </w:r>
      <w:r w:rsidR="00555E3F" w:rsidRPr="00D8395A">
        <w:rPr>
          <w:rFonts w:asciiTheme="minorHAnsi" w:hAnsiTheme="minorHAnsi"/>
        </w:rPr>
        <w:t>Calculating Policy Impacts</w:t>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p>
    <w:p w14:paraId="1A3841D3" w14:textId="1F3F9BEE" w:rsidR="0034200D" w:rsidRPr="00D8395A" w:rsidRDefault="0034200D" w:rsidP="003544DA">
      <w:pPr>
        <w:pStyle w:val="Heading3"/>
      </w:pPr>
      <w:r w:rsidRPr="00D8395A">
        <w:t>Calculating Impacts of Policies (Emissions, Jobs, Health Impacts)</w:t>
      </w:r>
    </w:p>
    <w:p w14:paraId="2C1F5596" w14:textId="4F65EB9F" w:rsidR="0034200D" w:rsidRPr="00D8395A" w:rsidRDefault="008C6F1E">
      <w:r w:rsidRPr="00D8395A">
        <w:t xml:space="preserve">For addition information on Energy Innovation’s Energy Policy Simulator, please view the tutorial </w:t>
      </w:r>
      <w:hyperlink r:id="rId43" w:history="1">
        <w:r w:rsidR="00DD7280" w:rsidRPr="00D83561">
          <w:rPr>
            <w:rStyle w:val="Hyperlink"/>
          </w:rPr>
          <w:t>here</w:t>
        </w:r>
      </w:hyperlink>
      <w:r w:rsidR="00DD7280">
        <w:t>.</w:t>
      </w:r>
    </w:p>
    <w:p w14:paraId="226FA983" w14:textId="30C6BF03" w:rsidR="004D2FE4" w:rsidRDefault="004D2FE4" w:rsidP="004D2FE4">
      <w:pPr>
        <w:pStyle w:val="Heading3"/>
      </w:pPr>
      <w:r w:rsidRPr="004D2FE4">
        <w:t>About the EPS</w:t>
      </w:r>
    </w:p>
    <w:p w14:paraId="61EEAF5A" w14:textId="5ECE1104" w:rsidR="002060F8" w:rsidRDefault="002060F8" w:rsidP="002060F8">
      <w:r>
        <w:t>The Energy Policy Simulator is a</w:t>
      </w:r>
      <w:r w:rsidRPr="002060F8">
        <w:t xml:space="preserve"> non-partisan, open-source, and peer-reviewed model</w:t>
      </w:r>
      <w:r w:rsidR="00AA1DB7">
        <w:t xml:space="preserve">. The EPS </w:t>
      </w:r>
      <w:r>
        <w:t xml:space="preserve">was developed to evaluate </w:t>
      </w:r>
      <w:r w:rsidRPr="002060F8">
        <w:t>the impacts of climate and energy policies on emissions, costs and savings, and fuel consumption.</w:t>
      </w:r>
      <w:r w:rsidR="001C0F78">
        <w:t xml:space="preserve"> The EPS model is used by policymakers to select and refine climate legislation. For example, the EPS model was used to assess the impact of climate policies for the U.S. House Select Committee on the Climate Crisis.</w:t>
      </w:r>
      <w:r w:rsidR="001C0F78">
        <w:rPr>
          <w:rStyle w:val="FootnoteReference"/>
        </w:rPr>
        <w:footnoteReference w:id="9"/>
      </w:r>
      <w:r w:rsidR="000A3DE2">
        <w:t xml:space="preserve"> </w:t>
      </w:r>
      <w:r>
        <w:t>EPS users input climate policies</w:t>
      </w:r>
      <w:r w:rsidR="001C0F78">
        <w:t xml:space="preserve"> </w:t>
      </w:r>
      <w:r>
        <w:t xml:space="preserve">and the model </w:t>
      </w:r>
      <w:r w:rsidR="001C0F78">
        <w:t xml:space="preserve">then </w:t>
      </w:r>
      <w:r>
        <w:t>analyzes interacting</w:t>
      </w:r>
      <w:r w:rsidR="001C0F78">
        <w:t xml:space="preserve"> policy</w:t>
      </w:r>
      <w:r>
        <w:t xml:space="preserve"> </w:t>
      </w:r>
      <w:r w:rsidR="001C0F78">
        <w:t>impacts</w:t>
      </w:r>
      <w:r>
        <w:t xml:space="preserve"> to forecast environmental and economic outcomes. The model generates a variety of </w:t>
      </w:r>
      <w:r w:rsidR="001C0F78">
        <w:t xml:space="preserve">data </w:t>
      </w:r>
      <w:r>
        <w:t xml:space="preserve">outputs including greenhouse gas emissions, criteria pollutant emissions, capital and operating </w:t>
      </w:r>
      <w:r w:rsidR="00D24EA6">
        <w:t>cash flow changes, and macroeconomic changes to GDP and jobs.</w:t>
      </w:r>
      <w:r w:rsidR="001C0F78">
        <w:t xml:space="preserve"> </w:t>
      </w:r>
      <w:r w:rsidR="00721E69">
        <w:t>RMI and Energy Innovation are currently developing EPS models for 20 U.S. states.</w:t>
      </w:r>
    </w:p>
    <w:p w14:paraId="233E9E6D" w14:textId="180495D7" w:rsidR="001C0F78" w:rsidRDefault="001C0F78" w:rsidP="002060F8">
      <w:r>
        <w:t xml:space="preserve">The EPS model is available for download online </w:t>
      </w:r>
      <w:hyperlink r:id="rId44" w:history="1">
        <w:r w:rsidRPr="001C0F78">
          <w:rPr>
            <w:rStyle w:val="Hyperlink"/>
          </w:rPr>
          <w:t>here</w:t>
        </w:r>
      </w:hyperlink>
      <w:r>
        <w:t>.</w:t>
      </w:r>
      <w:r>
        <w:rPr>
          <w:rStyle w:val="FootnoteReference"/>
        </w:rPr>
        <w:footnoteReference w:id="10"/>
      </w:r>
      <w:r>
        <w:t xml:space="preserve"> And full documentation on methodology and assumptions are available online </w:t>
      </w:r>
      <w:hyperlink r:id="rId45" w:history="1">
        <w:r w:rsidRPr="001C0F78">
          <w:rPr>
            <w:rStyle w:val="Hyperlink"/>
          </w:rPr>
          <w:t>here</w:t>
        </w:r>
      </w:hyperlink>
      <w:r>
        <w:t>.</w:t>
      </w:r>
      <w:r>
        <w:rPr>
          <w:rStyle w:val="FootnoteReference"/>
        </w:rPr>
        <w:footnoteReference w:id="11"/>
      </w:r>
      <w:r>
        <w:t xml:space="preserve"> </w:t>
      </w:r>
    </w:p>
    <w:p w14:paraId="22FF93C4" w14:textId="3FABEF64" w:rsidR="0034200D" w:rsidRPr="00D8395A" w:rsidRDefault="000B551A" w:rsidP="00D8395A">
      <w:pPr>
        <w:pStyle w:val="Heading1"/>
        <w:rPr>
          <w:u w:val="single"/>
        </w:rPr>
      </w:pPr>
      <w:r w:rsidRPr="00D8395A">
        <w:rPr>
          <w:u w:val="single"/>
        </w:rPr>
        <w:t>Contact</w:t>
      </w:r>
      <w:r>
        <w:tab/>
      </w:r>
      <w:r>
        <w:tab/>
      </w:r>
      <w:r>
        <w:tab/>
      </w:r>
      <w:r>
        <w:tab/>
      </w:r>
      <w:r>
        <w:tab/>
      </w:r>
      <w:r>
        <w:tab/>
      </w:r>
      <w:r>
        <w:tab/>
      </w:r>
      <w:r>
        <w:tab/>
      </w:r>
      <w:r>
        <w:tab/>
      </w:r>
      <w:r>
        <w:tab/>
      </w:r>
      <w:r>
        <w:tab/>
      </w:r>
      <w:r>
        <w:tab/>
      </w:r>
      <w:r>
        <w:tab/>
      </w:r>
      <w:r>
        <w:tab/>
      </w:r>
      <w:r>
        <w:tab/>
      </w:r>
      <w:r>
        <w:tab/>
      </w:r>
      <w:r>
        <w:tab/>
      </w:r>
      <w:r>
        <w:tab/>
      </w:r>
      <w:r>
        <w:tab/>
      </w:r>
    </w:p>
    <w:p w14:paraId="35A798DA" w14:textId="31E24B43" w:rsidR="002237FD" w:rsidRDefault="002237FD" w:rsidP="002237FD">
      <w:r>
        <w:t>For further information on the EPS</w:t>
      </w:r>
      <w:r w:rsidR="000B551A">
        <w:t xml:space="preserve">, contact us here </w:t>
      </w:r>
      <w:hyperlink r:id="rId46" w:history="1">
        <w:r w:rsidR="000B551A" w:rsidRPr="007679EE">
          <w:rPr>
            <w:rStyle w:val="Hyperlink"/>
          </w:rPr>
          <w:t>policy@energyinnovation.org</w:t>
        </w:r>
      </w:hyperlink>
      <w:r w:rsidR="000B551A">
        <w:t>.</w:t>
      </w:r>
      <w:r w:rsidR="0084522A">
        <w:t xml:space="preserve"> </w:t>
      </w:r>
      <w:r w:rsidR="00D83561">
        <w:t xml:space="preserve">If you have questions about using the EPS, we recommend first watching our video series, available </w:t>
      </w:r>
      <w:hyperlink r:id="rId47" w:history="1">
        <w:r w:rsidR="00D83561" w:rsidRPr="00D83561">
          <w:rPr>
            <w:rStyle w:val="Hyperlink"/>
          </w:rPr>
          <w:t>here</w:t>
        </w:r>
      </w:hyperlink>
      <w:r w:rsidR="00D83561">
        <w:t>.</w:t>
      </w:r>
      <w:r w:rsidR="00D83561">
        <w:rPr>
          <w:rStyle w:val="FootnoteReference"/>
        </w:rPr>
        <w:footnoteReference w:id="12"/>
      </w:r>
      <w:r w:rsidR="00D83561">
        <w:t xml:space="preserve"> </w:t>
      </w:r>
    </w:p>
    <w:p w14:paraId="5635E1A6" w14:textId="77777777" w:rsidR="00FD749E" w:rsidRPr="00A5369F" w:rsidRDefault="00FD749E">
      <w:pPr>
        <w:rPr>
          <w:rFonts w:asciiTheme="majorHAnsi" w:hAnsiTheme="majorHAnsi"/>
          <w:sz w:val="20"/>
        </w:rPr>
      </w:pPr>
    </w:p>
    <w:sectPr w:rsidR="00FD749E" w:rsidRPr="00A5369F" w:rsidSect="00BD4EC8">
      <w:headerReference w:type="default" r:id="rId48"/>
      <w:footerReference w:type="default" r:id="rId4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ck Subin" w:date="2020-11-11T17:34:00Z" w:initials="ZS">
    <w:p w14:paraId="4ABD9257" w14:textId="160CEA06" w:rsidR="00DE7506" w:rsidRDefault="00DE7506">
      <w:pPr>
        <w:pStyle w:val="CommentText"/>
      </w:pPr>
      <w:r>
        <w:rPr>
          <w:rStyle w:val="CommentReference"/>
        </w:rPr>
        <w:annotationRef/>
      </w:r>
      <w:r>
        <w:t>Recommend removing this section for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BD9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9F2D" w16cex:dateUtc="2020-11-12T0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BD9257" w16cid:durableId="23569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E501B" w14:textId="77777777" w:rsidR="008C6005" w:rsidRDefault="008C6005" w:rsidP="007165D8">
      <w:pPr>
        <w:spacing w:after="0" w:line="240" w:lineRule="auto"/>
      </w:pPr>
      <w:r>
        <w:separator/>
      </w:r>
    </w:p>
  </w:endnote>
  <w:endnote w:type="continuationSeparator" w:id="0">
    <w:p w14:paraId="0C408ED7" w14:textId="77777777" w:rsidR="008C6005" w:rsidRDefault="008C6005" w:rsidP="007165D8">
      <w:pPr>
        <w:spacing w:after="0" w:line="240" w:lineRule="auto"/>
      </w:pPr>
      <w:r>
        <w:continuationSeparator/>
      </w:r>
    </w:p>
  </w:endnote>
  <w:endnote w:type="continuationNotice" w:id="1">
    <w:p w14:paraId="60F86A7C" w14:textId="77777777" w:rsidR="008C6005" w:rsidRDefault="008C60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gre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0646" w14:textId="77777777" w:rsidR="00D32B9C" w:rsidRDefault="00D3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BCBA6" w14:textId="77777777" w:rsidR="008C6005" w:rsidRDefault="008C6005" w:rsidP="007165D8">
      <w:pPr>
        <w:spacing w:after="0" w:line="240" w:lineRule="auto"/>
      </w:pPr>
      <w:r>
        <w:separator/>
      </w:r>
    </w:p>
  </w:footnote>
  <w:footnote w:type="continuationSeparator" w:id="0">
    <w:p w14:paraId="2AF1870D" w14:textId="77777777" w:rsidR="008C6005" w:rsidRDefault="008C6005" w:rsidP="007165D8">
      <w:pPr>
        <w:spacing w:after="0" w:line="240" w:lineRule="auto"/>
      </w:pPr>
      <w:r>
        <w:continuationSeparator/>
      </w:r>
    </w:p>
  </w:footnote>
  <w:footnote w:type="continuationNotice" w:id="1">
    <w:p w14:paraId="5E97D4D8" w14:textId="77777777" w:rsidR="008C6005" w:rsidRDefault="008C6005">
      <w:pPr>
        <w:spacing w:after="0" w:line="240" w:lineRule="auto"/>
      </w:pPr>
    </w:p>
  </w:footnote>
  <w:footnote w:id="2">
    <w:p w14:paraId="66B4A8E2" w14:textId="17ED77B1" w:rsidR="008C6F1E" w:rsidRPr="007165D8" w:rsidRDefault="008C6F1E" w:rsidP="008C6F1E">
      <w:pPr>
        <w:pStyle w:val="FootnoteText"/>
        <w:rPr>
          <w:lang w:val="en-GB"/>
        </w:rPr>
      </w:pPr>
      <w:r>
        <w:rPr>
          <w:rStyle w:val="FootnoteReference"/>
        </w:rPr>
        <w:footnoteRef/>
      </w:r>
      <w:r>
        <w:t xml:space="preserve"> </w:t>
      </w:r>
      <w:r w:rsidRPr="007165D8">
        <w:t>https://www.pca.state.mn.us/air/greenhouse-gas-emissions-data</w:t>
      </w:r>
      <w:r>
        <w:t xml:space="preserve"> </w:t>
      </w:r>
    </w:p>
  </w:footnote>
  <w:footnote w:id="3">
    <w:p w14:paraId="2DA70A19" w14:textId="1A6D444D" w:rsidR="00CE3BA3" w:rsidRPr="00CE3BA3" w:rsidRDefault="00CE3BA3">
      <w:pPr>
        <w:pStyle w:val="FootnoteText"/>
        <w:rPr>
          <w:lang w:val="en-GB"/>
        </w:rPr>
      </w:pPr>
      <w:r>
        <w:rPr>
          <w:rStyle w:val="FootnoteReference"/>
        </w:rPr>
        <w:footnoteRef/>
      </w:r>
      <w:r>
        <w:t xml:space="preserve"> </w:t>
      </w:r>
      <w:r w:rsidRPr="00CE3BA3">
        <w:t>https://www.xcelenergy.com/staticfiles/xe-responsive/Company/Rates%20&amp;%20Regulations/The-Resource-Plan-No-Appendices.pdf</w:t>
      </w:r>
    </w:p>
  </w:footnote>
  <w:footnote w:id="4">
    <w:p w14:paraId="1B2B9556" w14:textId="7915D58F" w:rsidR="004D6D89" w:rsidRPr="00FB163D" w:rsidRDefault="004D6D89" w:rsidP="002478D7">
      <w:pPr>
        <w:spacing w:after="0" w:line="240" w:lineRule="auto"/>
        <w:rPr>
          <w:sz w:val="18"/>
          <w:szCs w:val="18"/>
        </w:rPr>
      </w:pPr>
      <w:r w:rsidRPr="00FB163D">
        <w:rPr>
          <w:rStyle w:val="FootnoteReference"/>
          <w:sz w:val="18"/>
          <w:szCs w:val="18"/>
        </w:rPr>
        <w:footnoteRef/>
      </w:r>
      <w:r w:rsidR="00C05CAB" w:rsidRPr="00FB163D">
        <w:rPr>
          <w:sz w:val="18"/>
          <w:szCs w:val="18"/>
        </w:rPr>
        <w:t xml:space="preserve"> Minnesota EPS reflects </w:t>
      </w:r>
      <w:proofErr w:type="spellStart"/>
      <w:r w:rsidR="00C05CAB" w:rsidRPr="00FB163D">
        <w:rPr>
          <w:sz w:val="18"/>
          <w:szCs w:val="18"/>
        </w:rPr>
        <w:t>Sherco</w:t>
      </w:r>
      <w:proofErr w:type="spellEnd"/>
      <w:r w:rsidR="00C05CAB" w:rsidRPr="00FB163D">
        <w:rPr>
          <w:sz w:val="18"/>
          <w:szCs w:val="18"/>
        </w:rPr>
        <w:t xml:space="preserve"> 3 retirement as of 2034</w:t>
      </w:r>
      <w:r w:rsidRPr="00FB163D">
        <w:rPr>
          <w:sz w:val="18"/>
          <w:szCs w:val="18"/>
        </w:rPr>
        <w:t>.</w:t>
      </w:r>
    </w:p>
  </w:footnote>
  <w:footnote w:id="5">
    <w:p w14:paraId="00589FF0" w14:textId="5BE8B8D3" w:rsidR="00316AFF" w:rsidRPr="00FB163D" w:rsidRDefault="00316AFF" w:rsidP="002478D7">
      <w:pPr>
        <w:pStyle w:val="FootnoteText"/>
        <w:rPr>
          <w:sz w:val="18"/>
          <w:szCs w:val="18"/>
        </w:rPr>
      </w:pPr>
      <w:r w:rsidRPr="00FB163D">
        <w:rPr>
          <w:rStyle w:val="FootnoteReference"/>
          <w:sz w:val="18"/>
          <w:szCs w:val="18"/>
        </w:rPr>
        <w:footnoteRef/>
      </w:r>
      <w:r w:rsidRPr="00FB163D">
        <w:rPr>
          <w:sz w:val="18"/>
          <w:szCs w:val="18"/>
        </w:rPr>
        <w:t xml:space="preserve"> Ibid.</w:t>
      </w:r>
    </w:p>
  </w:footnote>
  <w:footnote w:id="6">
    <w:p w14:paraId="4ED73E90" w14:textId="1F358C0F" w:rsidR="00C05CAB" w:rsidRPr="00FB163D" w:rsidRDefault="00C05CAB" w:rsidP="002478D7">
      <w:pPr>
        <w:spacing w:after="0" w:line="240" w:lineRule="auto"/>
        <w:rPr>
          <w:sz w:val="18"/>
          <w:szCs w:val="18"/>
        </w:rPr>
      </w:pPr>
      <w:r w:rsidRPr="00FB163D">
        <w:rPr>
          <w:rStyle w:val="FootnoteReference"/>
          <w:sz w:val="18"/>
          <w:szCs w:val="18"/>
        </w:rPr>
        <w:footnoteRef/>
      </w:r>
      <w:r w:rsidRPr="00FB163D">
        <w:rPr>
          <w:sz w:val="18"/>
          <w:szCs w:val="18"/>
        </w:rPr>
        <w:t xml:space="preserve"> Efficiency improvements are derived from NREL electrification futures study Reference Case. Energy Efficiency policies – including those in Minnesota such as building rebates-- are not explicitly included in the BAU. </w:t>
      </w:r>
    </w:p>
  </w:footnote>
  <w:footnote w:id="7">
    <w:p w14:paraId="5B23F091" w14:textId="0E6E6C94" w:rsidR="00FB163D" w:rsidRDefault="00FB163D" w:rsidP="002478D7">
      <w:pPr>
        <w:pStyle w:val="FootnoteText"/>
      </w:pPr>
      <w:r w:rsidRPr="00FB163D">
        <w:rPr>
          <w:rStyle w:val="FootnoteReference"/>
          <w:sz w:val="18"/>
          <w:szCs w:val="18"/>
        </w:rPr>
        <w:footnoteRef/>
      </w:r>
      <w:r w:rsidRPr="00FB163D">
        <w:rPr>
          <w:sz w:val="18"/>
          <w:szCs w:val="18"/>
        </w:rPr>
        <w:t xml:space="preserve"> Electric vehicle adoption in the BAU case is based on economic adoption modeled in the EPS, following </w:t>
      </w:r>
      <w:r w:rsidRPr="00FB163D">
        <w:rPr>
          <w:sz w:val="18"/>
          <w:szCs w:val="18"/>
          <w:highlight w:val="yellow"/>
        </w:rPr>
        <w:t>XXX</w:t>
      </w:r>
      <w:r>
        <w:rPr>
          <w:sz w:val="18"/>
          <w:szCs w:val="18"/>
        </w:rPr>
        <w:t>.</w:t>
      </w:r>
    </w:p>
  </w:footnote>
  <w:footnote w:id="8">
    <w:p w14:paraId="35E55A3E" w14:textId="07F4A21E" w:rsidR="00886FEC" w:rsidRDefault="00886FEC">
      <w:pPr>
        <w:pStyle w:val="FootnoteText"/>
      </w:pPr>
      <w:r>
        <w:rPr>
          <w:rStyle w:val="FootnoteReference"/>
        </w:rPr>
        <w:footnoteRef/>
      </w:r>
      <w:r>
        <w:t xml:space="preserve"> </w:t>
      </w:r>
      <w:r w:rsidR="00EC2333">
        <w:t xml:space="preserve">See </w:t>
      </w:r>
      <w:r w:rsidR="00091E8D">
        <w:t xml:space="preserve">IPCC </w:t>
      </w:r>
      <w:hyperlink r:id="rId1" w:history="1">
        <w:r w:rsidR="003D7CA0" w:rsidRPr="00412F47">
          <w:rPr>
            <w:rStyle w:val="Hyperlink"/>
          </w:rPr>
          <w:t>Global Warming of 1.5</w:t>
        </w:r>
        <w:r w:rsidR="00412F47" w:rsidRPr="00412F47">
          <w:rPr>
            <w:rStyle w:val="Hyperlink"/>
            <w:rFonts w:ascii="degree" w:hAnsi="degree"/>
          </w:rPr>
          <w:t>°</w:t>
        </w:r>
        <w:r w:rsidR="003D7CA0" w:rsidRPr="00412F47">
          <w:rPr>
            <w:rStyle w:val="Hyperlink"/>
          </w:rPr>
          <w:t>C</w:t>
        </w:r>
      </w:hyperlink>
      <w:r w:rsidR="00412F47">
        <w:t xml:space="preserve"> and </w:t>
      </w:r>
      <w:hyperlink r:id="rId2" w:history="1">
        <w:r w:rsidR="00091E8D" w:rsidRPr="00091E8D">
          <w:rPr>
            <w:rStyle w:val="Hyperlink"/>
          </w:rPr>
          <w:t>UNEP 2019 Emissions Gap</w:t>
        </w:r>
      </w:hyperlink>
    </w:p>
  </w:footnote>
  <w:footnote w:id="9">
    <w:p w14:paraId="7909ED90" w14:textId="77777777" w:rsidR="001C0F78" w:rsidRPr="001C0F78" w:rsidRDefault="001C0F78" w:rsidP="001C0F78">
      <w:pPr>
        <w:pStyle w:val="FootnoteText"/>
        <w:rPr>
          <w:lang w:val="en-GB"/>
        </w:rPr>
      </w:pPr>
      <w:r>
        <w:rPr>
          <w:rStyle w:val="FootnoteReference"/>
        </w:rPr>
        <w:footnoteRef/>
      </w:r>
      <w:r>
        <w:t xml:space="preserve"> </w:t>
      </w:r>
      <w:r w:rsidRPr="001C0F78">
        <w:t>https://energyinnovation.org/2020/07/28/hal-harveys-insights-and-updates-congressional-climate-plan-is-a-bet-your-country-moment/</w:t>
      </w:r>
    </w:p>
  </w:footnote>
  <w:footnote w:id="10">
    <w:p w14:paraId="1A97117B" w14:textId="7CDE9506" w:rsidR="001C0F78" w:rsidRPr="001C0F78" w:rsidRDefault="001C0F78">
      <w:pPr>
        <w:pStyle w:val="FootnoteText"/>
        <w:rPr>
          <w:lang w:val="en-GB"/>
        </w:rPr>
      </w:pPr>
      <w:r>
        <w:rPr>
          <w:rStyle w:val="FootnoteReference"/>
        </w:rPr>
        <w:footnoteRef/>
      </w:r>
      <w:r>
        <w:t xml:space="preserve"> </w:t>
      </w:r>
      <w:r w:rsidRPr="001C0F78">
        <w:t>https://us.energypolicy.solutions/docs/download.html</w:t>
      </w:r>
    </w:p>
  </w:footnote>
  <w:footnote w:id="11">
    <w:p w14:paraId="02F520BE" w14:textId="43A15136" w:rsidR="001C0F78" w:rsidRPr="001C0F78" w:rsidRDefault="001C0F78">
      <w:pPr>
        <w:pStyle w:val="FootnoteText"/>
        <w:rPr>
          <w:lang w:val="en-GB"/>
        </w:rPr>
      </w:pPr>
      <w:r>
        <w:rPr>
          <w:rStyle w:val="FootnoteReference"/>
        </w:rPr>
        <w:footnoteRef/>
      </w:r>
      <w:r>
        <w:t xml:space="preserve"> </w:t>
      </w:r>
      <w:r w:rsidRPr="001C0F78">
        <w:t>https://us.energypolicy.solutions/docs/index.html</w:t>
      </w:r>
    </w:p>
  </w:footnote>
  <w:footnote w:id="12">
    <w:p w14:paraId="7E87EEE7" w14:textId="5D4A644F" w:rsidR="00D83561" w:rsidRPr="00D83561" w:rsidRDefault="00D83561">
      <w:pPr>
        <w:pStyle w:val="FootnoteText"/>
        <w:rPr>
          <w:lang w:val="en-GB"/>
        </w:rPr>
      </w:pPr>
      <w:r>
        <w:rPr>
          <w:rStyle w:val="FootnoteReference"/>
        </w:rPr>
        <w:footnoteRef/>
      </w:r>
      <w:r>
        <w:t xml:space="preserve"> </w:t>
      </w:r>
      <w:r w:rsidRPr="00D83561">
        <w:t>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6F7AD" w14:textId="77777777" w:rsidR="00D32B9C" w:rsidRDefault="00D32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0C9C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EAC"/>
    <w:multiLevelType w:val="hybridMultilevel"/>
    <w:tmpl w:val="71AE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D7D42"/>
    <w:multiLevelType w:val="hybridMultilevel"/>
    <w:tmpl w:val="D838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615D7"/>
    <w:multiLevelType w:val="hybridMultilevel"/>
    <w:tmpl w:val="3330096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BE58E4"/>
    <w:multiLevelType w:val="hybridMultilevel"/>
    <w:tmpl w:val="4814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A3668"/>
    <w:multiLevelType w:val="hybridMultilevel"/>
    <w:tmpl w:val="DFC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67869"/>
    <w:multiLevelType w:val="hybridMultilevel"/>
    <w:tmpl w:val="723AA130"/>
    <w:lvl w:ilvl="0" w:tplc="5C34B22E">
      <w:numFmt w:val="bullet"/>
      <w:pStyle w:val="Heading2"/>
      <w:lvlText w:val=""/>
      <w:lvlJc w:val="left"/>
      <w:pPr>
        <w:ind w:left="360" w:hanging="360"/>
      </w:pPr>
      <w:rPr>
        <w:rFonts w:ascii="Wingdings 3" w:eastAsiaTheme="majorEastAsia" w:hAnsi="Wingdings 3" w:cstheme="majorHAns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33797"/>
    <w:multiLevelType w:val="hybridMultilevel"/>
    <w:tmpl w:val="868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57BAA"/>
    <w:multiLevelType w:val="hybridMultilevel"/>
    <w:tmpl w:val="98A21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1809"/>
    <w:multiLevelType w:val="hybridMultilevel"/>
    <w:tmpl w:val="A5E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5"/>
  </w:num>
  <w:num w:numId="5">
    <w:abstractNumId w:val="13"/>
  </w:num>
  <w:num w:numId="6">
    <w:abstractNumId w:val="16"/>
  </w:num>
  <w:num w:numId="7">
    <w:abstractNumId w:val="9"/>
  </w:num>
  <w:num w:numId="8">
    <w:abstractNumId w:val="12"/>
  </w:num>
  <w:num w:numId="9">
    <w:abstractNumId w:val="8"/>
  </w:num>
  <w:num w:numId="10">
    <w:abstractNumId w:val="10"/>
  </w:num>
  <w:num w:numId="11">
    <w:abstractNumId w:val="6"/>
  </w:num>
  <w:num w:numId="12">
    <w:abstractNumId w:val="7"/>
  </w:num>
  <w:num w:numId="13">
    <w:abstractNumId w:val="4"/>
  </w:num>
  <w:num w:numId="14">
    <w:abstractNumId w:val="2"/>
  </w:num>
  <w:num w:numId="15">
    <w:abstractNumId w:val="3"/>
  </w:num>
  <w:num w:numId="16">
    <w:abstractNumId w:val="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k Subin">
    <w15:presenceInfo w15:providerId="AD" w15:userId="S::zsubin@rmi.org::e2d1fcbf-49f2-4163-abe8-dde432bc2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C8"/>
    <w:rsid w:val="00071A93"/>
    <w:rsid w:val="0007276F"/>
    <w:rsid w:val="00091E8D"/>
    <w:rsid w:val="000A3DE2"/>
    <w:rsid w:val="000B551A"/>
    <w:rsid w:val="000C6B66"/>
    <w:rsid w:val="000D176C"/>
    <w:rsid w:val="000E5926"/>
    <w:rsid w:val="001014E5"/>
    <w:rsid w:val="0012196E"/>
    <w:rsid w:val="001C0F78"/>
    <w:rsid w:val="002060F8"/>
    <w:rsid w:val="002237FD"/>
    <w:rsid w:val="002478D7"/>
    <w:rsid w:val="002B2DE6"/>
    <w:rsid w:val="002E5BA3"/>
    <w:rsid w:val="00316AFF"/>
    <w:rsid w:val="00326B20"/>
    <w:rsid w:val="0034200D"/>
    <w:rsid w:val="003544DA"/>
    <w:rsid w:val="003A532E"/>
    <w:rsid w:val="003D0262"/>
    <w:rsid w:val="003D192F"/>
    <w:rsid w:val="003D1C5E"/>
    <w:rsid w:val="003D7CA0"/>
    <w:rsid w:val="003E6383"/>
    <w:rsid w:val="003F7A99"/>
    <w:rsid w:val="0040074F"/>
    <w:rsid w:val="00412F47"/>
    <w:rsid w:val="00416067"/>
    <w:rsid w:val="00457BD3"/>
    <w:rsid w:val="00480EB7"/>
    <w:rsid w:val="00495794"/>
    <w:rsid w:val="0049650B"/>
    <w:rsid w:val="004A13D3"/>
    <w:rsid w:val="004B1F95"/>
    <w:rsid w:val="004D2FE4"/>
    <w:rsid w:val="004D6D89"/>
    <w:rsid w:val="004E442A"/>
    <w:rsid w:val="004F409C"/>
    <w:rsid w:val="005146BC"/>
    <w:rsid w:val="0055448E"/>
    <w:rsid w:val="00555E3F"/>
    <w:rsid w:val="005A694D"/>
    <w:rsid w:val="005D0D77"/>
    <w:rsid w:val="005D64B7"/>
    <w:rsid w:val="005F42D8"/>
    <w:rsid w:val="0061267F"/>
    <w:rsid w:val="0064271E"/>
    <w:rsid w:val="00643E76"/>
    <w:rsid w:val="00646EFA"/>
    <w:rsid w:val="0068737A"/>
    <w:rsid w:val="006C55AB"/>
    <w:rsid w:val="006E38CA"/>
    <w:rsid w:val="006F13AB"/>
    <w:rsid w:val="0070151B"/>
    <w:rsid w:val="00707379"/>
    <w:rsid w:val="007165D8"/>
    <w:rsid w:val="00721687"/>
    <w:rsid w:val="00721E69"/>
    <w:rsid w:val="00747BF3"/>
    <w:rsid w:val="007502FC"/>
    <w:rsid w:val="007751B5"/>
    <w:rsid w:val="007D42CF"/>
    <w:rsid w:val="008008BF"/>
    <w:rsid w:val="00803941"/>
    <w:rsid w:val="0081754A"/>
    <w:rsid w:val="00835E6A"/>
    <w:rsid w:val="00837378"/>
    <w:rsid w:val="0084522A"/>
    <w:rsid w:val="00876432"/>
    <w:rsid w:val="00886FEC"/>
    <w:rsid w:val="008C6005"/>
    <w:rsid w:val="008C6F1E"/>
    <w:rsid w:val="009125BB"/>
    <w:rsid w:val="0091657F"/>
    <w:rsid w:val="0095582C"/>
    <w:rsid w:val="009A35C8"/>
    <w:rsid w:val="009B5DCE"/>
    <w:rsid w:val="009C27E2"/>
    <w:rsid w:val="009D2136"/>
    <w:rsid w:val="009E5A45"/>
    <w:rsid w:val="00A00A53"/>
    <w:rsid w:val="00A03E3D"/>
    <w:rsid w:val="00A5369F"/>
    <w:rsid w:val="00A57D50"/>
    <w:rsid w:val="00A94C5E"/>
    <w:rsid w:val="00AA1DB7"/>
    <w:rsid w:val="00AB3810"/>
    <w:rsid w:val="00B058E1"/>
    <w:rsid w:val="00BB250B"/>
    <w:rsid w:val="00BC7DF8"/>
    <w:rsid w:val="00BD06D1"/>
    <w:rsid w:val="00BD4EC8"/>
    <w:rsid w:val="00C05CAB"/>
    <w:rsid w:val="00C13831"/>
    <w:rsid w:val="00C464B8"/>
    <w:rsid w:val="00C537C6"/>
    <w:rsid w:val="00CE3BA3"/>
    <w:rsid w:val="00CF1F60"/>
    <w:rsid w:val="00D06332"/>
    <w:rsid w:val="00D07D26"/>
    <w:rsid w:val="00D22E6C"/>
    <w:rsid w:val="00D24EA6"/>
    <w:rsid w:val="00D32B9C"/>
    <w:rsid w:val="00D40247"/>
    <w:rsid w:val="00D56B2E"/>
    <w:rsid w:val="00D63170"/>
    <w:rsid w:val="00D6573C"/>
    <w:rsid w:val="00D83561"/>
    <w:rsid w:val="00D8395A"/>
    <w:rsid w:val="00DB58DC"/>
    <w:rsid w:val="00DC69B8"/>
    <w:rsid w:val="00DD5391"/>
    <w:rsid w:val="00DD7280"/>
    <w:rsid w:val="00DE0857"/>
    <w:rsid w:val="00DE7506"/>
    <w:rsid w:val="00E13000"/>
    <w:rsid w:val="00E26018"/>
    <w:rsid w:val="00E30727"/>
    <w:rsid w:val="00E335D6"/>
    <w:rsid w:val="00E421AE"/>
    <w:rsid w:val="00E538B8"/>
    <w:rsid w:val="00E65292"/>
    <w:rsid w:val="00E913FE"/>
    <w:rsid w:val="00E92414"/>
    <w:rsid w:val="00EC2333"/>
    <w:rsid w:val="00EE245D"/>
    <w:rsid w:val="00EF70D3"/>
    <w:rsid w:val="00F110A6"/>
    <w:rsid w:val="00F37FFE"/>
    <w:rsid w:val="00F75105"/>
    <w:rsid w:val="00F77898"/>
    <w:rsid w:val="00FB163D"/>
    <w:rsid w:val="00FD749E"/>
    <w:rsid w:val="00F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9E"/>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480EB7"/>
    <w:pPr>
      <w:keepNext/>
      <w:keepLines/>
      <w:numPr>
        <w:numId w:val="12"/>
      </w:numPr>
      <w:shd w:val="clear" w:color="auto" w:fill="8EAADB" w:themeFill="accent1" w:themeFillTint="99"/>
      <w:spacing w:before="40" w:after="120"/>
      <w:outlineLvl w:val="1"/>
    </w:pPr>
    <w:rPr>
      <w:rFonts w:asciiTheme="majorHAnsi" w:eastAsiaTheme="majorEastAsia" w:hAnsiTheme="majorHAnsi" w:cstheme="majorHAnsi"/>
      <w:b/>
      <w:caps/>
      <w:sz w:val="24"/>
      <w:szCs w:val="24"/>
      <w:shd w:val="clear" w:color="auto" w:fill="8EAADB" w:themeFill="accent1" w:themeFillTint="99"/>
    </w:rPr>
  </w:style>
  <w:style w:type="paragraph" w:styleId="Heading3">
    <w:name w:val="heading 3"/>
    <w:basedOn w:val="Normal"/>
    <w:next w:val="Normal"/>
    <w:link w:val="Heading3Char"/>
    <w:uiPriority w:val="9"/>
    <w:unhideWhenUsed/>
    <w:qFormat/>
    <w:rsid w:val="00480EB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480EB7"/>
    <w:rPr>
      <w:rFonts w:asciiTheme="majorHAnsi" w:eastAsiaTheme="majorEastAsia" w:hAnsiTheme="majorHAnsi" w:cstheme="majorHAnsi"/>
      <w:b/>
      <w:caps/>
      <w:sz w:val="24"/>
      <w:szCs w:val="24"/>
      <w:shd w:val="clear" w:color="auto" w:fill="8EAADB" w:themeFill="accent1" w:themeFillTint="99"/>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customStyle="1" w:styleId="UnresolvedMention1">
    <w:name w:val="Unresolved Mention1"/>
    <w:basedOn w:val="DefaultParagraphFont"/>
    <w:uiPriority w:val="99"/>
    <w:semiHidden/>
    <w:unhideWhenUsed/>
    <w:rsid w:val="00BD06D1"/>
    <w:rPr>
      <w:color w:val="605E5C"/>
      <w:shd w:val="clear" w:color="auto" w:fill="E1DFDD"/>
    </w:rPr>
  </w:style>
  <w:style w:type="table" w:styleId="TableGrid">
    <w:name w:val="Table Grid"/>
    <w:basedOn w:val="TableNormal"/>
    <w:uiPriority w:val="39"/>
    <w:rsid w:val="00D2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2E6C"/>
    <w:pPr>
      <w:spacing w:after="0" w:line="240" w:lineRule="auto"/>
    </w:pPr>
  </w:style>
  <w:style w:type="character" w:customStyle="1" w:styleId="normaltextrun">
    <w:name w:val="normaltextrun"/>
    <w:basedOn w:val="DefaultParagraphFont"/>
    <w:rsid w:val="00D22E6C"/>
  </w:style>
  <w:style w:type="paragraph" w:styleId="CommentSubject">
    <w:name w:val="annotation subject"/>
    <w:basedOn w:val="CommentText"/>
    <w:next w:val="CommentText"/>
    <w:link w:val="CommentSubjectChar"/>
    <w:uiPriority w:val="99"/>
    <w:semiHidden/>
    <w:unhideWhenUsed/>
    <w:rsid w:val="0034200D"/>
    <w:rPr>
      <w:b/>
      <w:bCs/>
    </w:rPr>
  </w:style>
  <w:style w:type="character" w:customStyle="1" w:styleId="CommentSubjectChar">
    <w:name w:val="Comment Subject Char"/>
    <w:basedOn w:val="CommentTextChar"/>
    <w:link w:val="CommentSubject"/>
    <w:uiPriority w:val="99"/>
    <w:semiHidden/>
    <w:rsid w:val="0034200D"/>
    <w:rPr>
      <w:b/>
      <w:bCs/>
      <w:sz w:val="20"/>
      <w:szCs w:val="20"/>
    </w:rPr>
  </w:style>
  <w:style w:type="paragraph" w:styleId="FootnoteText">
    <w:name w:val="footnote text"/>
    <w:basedOn w:val="Normal"/>
    <w:link w:val="FootnoteTextChar"/>
    <w:uiPriority w:val="99"/>
    <w:semiHidden/>
    <w:unhideWhenUsed/>
    <w:rsid w:val="00716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5D8"/>
    <w:rPr>
      <w:sz w:val="20"/>
      <w:szCs w:val="20"/>
    </w:rPr>
  </w:style>
  <w:style w:type="character" w:styleId="FootnoteReference">
    <w:name w:val="footnote reference"/>
    <w:basedOn w:val="DefaultParagraphFont"/>
    <w:uiPriority w:val="99"/>
    <w:semiHidden/>
    <w:unhideWhenUsed/>
    <w:rsid w:val="007165D8"/>
    <w:rPr>
      <w:vertAlign w:val="superscript"/>
    </w:rPr>
  </w:style>
  <w:style w:type="character" w:customStyle="1" w:styleId="Heading3Char">
    <w:name w:val="Heading 3 Char"/>
    <w:basedOn w:val="DefaultParagraphFont"/>
    <w:link w:val="Heading3"/>
    <w:uiPriority w:val="9"/>
    <w:rsid w:val="00480EB7"/>
    <w:rPr>
      <w:b/>
      <w:bCs/>
    </w:rPr>
  </w:style>
  <w:style w:type="character" w:styleId="UnresolvedMention">
    <w:name w:val="Unresolved Mention"/>
    <w:basedOn w:val="DefaultParagraphFont"/>
    <w:uiPriority w:val="99"/>
    <w:semiHidden/>
    <w:unhideWhenUsed/>
    <w:rsid w:val="001C0F78"/>
    <w:rPr>
      <w:color w:val="605E5C"/>
      <w:shd w:val="clear" w:color="auto" w:fill="E1DFDD"/>
    </w:rPr>
  </w:style>
  <w:style w:type="paragraph" w:styleId="Header">
    <w:name w:val="header"/>
    <w:basedOn w:val="Normal"/>
    <w:link w:val="HeaderChar"/>
    <w:uiPriority w:val="99"/>
    <w:unhideWhenUsed/>
    <w:rsid w:val="00D32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B9C"/>
  </w:style>
  <w:style w:type="paragraph" w:styleId="Footer">
    <w:name w:val="footer"/>
    <w:basedOn w:val="Normal"/>
    <w:link w:val="FooterChar"/>
    <w:uiPriority w:val="99"/>
    <w:unhideWhenUsed/>
    <w:rsid w:val="00D32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B9C"/>
  </w:style>
  <w:style w:type="paragraph" w:styleId="Revision">
    <w:name w:val="Revision"/>
    <w:hidden/>
    <w:uiPriority w:val="99"/>
    <w:semiHidden/>
    <w:rsid w:val="0055448E"/>
    <w:pPr>
      <w:spacing w:after="0" w:line="240" w:lineRule="auto"/>
    </w:pPr>
  </w:style>
  <w:style w:type="paragraph" w:styleId="EndnoteText">
    <w:name w:val="endnote text"/>
    <w:basedOn w:val="Normal"/>
    <w:link w:val="EndnoteTextChar"/>
    <w:uiPriority w:val="99"/>
    <w:semiHidden/>
    <w:unhideWhenUsed/>
    <w:rsid w:val="00316A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6AFF"/>
    <w:rPr>
      <w:sz w:val="20"/>
      <w:szCs w:val="20"/>
    </w:rPr>
  </w:style>
  <w:style w:type="character" w:styleId="EndnoteReference">
    <w:name w:val="endnote reference"/>
    <w:basedOn w:val="DefaultParagraphFont"/>
    <w:uiPriority w:val="99"/>
    <w:semiHidden/>
    <w:unhideWhenUsed/>
    <w:rsid w:val="00316A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electricity/state/minnesota/state_tables.php" TargetMode="External"/><Relationship Id="rId18" Type="http://schemas.openxmlformats.org/officeDocument/2006/relationships/hyperlink" Target="https://www.epa.gov/statelocalenergy/state-co2-emissions-fossil-fuel-combustion-1990-2017" TargetMode="External"/><Relationship Id="rId26" Type="http://schemas.openxmlformats.org/officeDocument/2006/relationships/hyperlink" Target="https://www.epa.gov/statelocalenergy/download-state-inventory-and-projection-tool" TargetMode="External"/><Relationship Id="rId39" Type="http://schemas.openxmlformats.org/officeDocument/2006/relationships/comments" Target="comments.xml"/><Relationship Id="rId21" Type="http://schemas.openxmlformats.org/officeDocument/2006/relationships/hyperlink" Target="https://www.census.gov/programs-surveys/cbp/data/tables.html" TargetMode="External"/><Relationship Id="rId34" Type="http://schemas.openxmlformats.org/officeDocument/2006/relationships/hyperlink" Target="https://programs.dsireusa.org/system/program/detail/2401" TargetMode="External"/><Relationship Id="rId42" Type="http://schemas.microsoft.com/office/2018/08/relationships/commentsExtensible" Target="commentsExtensible.xml"/><Relationship Id="rId47" Type="http://schemas.openxmlformats.org/officeDocument/2006/relationships/hyperlink" Target="https://us.energypolicy.solutions/docs/video-series.html"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rel.gov/analysis/electrification-futures.html" TargetMode="External"/><Relationship Id="rId29" Type="http://schemas.openxmlformats.org/officeDocument/2006/relationships/hyperlink" Target="https://www.ethree.com/wp-content/uploads/2020/01/MN_PATHWAYS_Final-Report_2019-06-26.pdf" TargetMode="External"/><Relationship Id="rId11" Type="http://schemas.openxmlformats.org/officeDocument/2006/relationships/hyperlink" Target="https://www.eia.gov/electricity/data/eia923/" TargetMode="External"/><Relationship Id="rId24" Type="http://schemas.openxmlformats.org/officeDocument/2006/relationships/hyperlink" Target="https://www.epa.gov/global-mitigation-non-co2-greenhouse-gases/global-non-co2-greenhouse-gas-emission-projections"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www.eia.gov/outlooks/aeo/assumptions/pdf/summary.pdf" TargetMode="External"/><Relationship Id="rId40" Type="http://schemas.microsoft.com/office/2011/relationships/commentsExtended" Target="commentsExtended.xml"/><Relationship Id="rId45" Type="http://schemas.openxmlformats.org/officeDocument/2006/relationships/hyperlink" Target="https://us.energypolicy.solutions/docs/index.html" TargetMode="External"/><Relationship Id="rId5" Type="http://schemas.openxmlformats.org/officeDocument/2006/relationships/numbering" Target="numbering.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epa.gov/statelocalenergy/state-co2-emissions-fossil-fuel-combustion-1990-2017"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docs/fy18osti/70485.pdf"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eia.gov/outlooks/aeo/tables_ref.php" TargetMode="External"/><Relationship Id="rId31" Type="http://schemas.openxmlformats.org/officeDocument/2006/relationships/hyperlink" Target="https://www.nrel.gov/analysis/electrification-futures.html" TargetMode="External"/><Relationship Id="rId44" Type="http://schemas.openxmlformats.org/officeDocument/2006/relationships/hyperlink" Target="https://us.energypolicy.solutions/docs/download.html"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three.com/wp-content/uploads/2020/01/MN_PATHWAYS_Final-Report_2019-06-26.pdf"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nrel.gov/docs/fy18osti/70485.pdf" TargetMode="External"/><Relationship Id="rId43" Type="http://schemas.openxmlformats.org/officeDocument/2006/relationships/hyperlink" Target="https://us.energypolicy.solutions/docs/video-series.html" TargetMode="External"/><Relationship Id="rId48" Type="http://schemas.openxmlformats.org/officeDocument/2006/relationships/header" Target="header1.xml"/><Relationship Id="rId8" Type="http://schemas.openxmlformats.org/officeDocument/2006/relationships/webSettings" Target="web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s://www.eia.gov/electricity/data/eia860/" TargetMode="External"/><Relationship Id="rId17" Type="http://schemas.openxmlformats.org/officeDocument/2006/relationships/hyperlink" Target="https://www.eia.gov/state/seds/seds-data-fuel.php?sid=US" TargetMode="External"/><Relationship Id="rId25" Type="http://schemas.openxmlformats.org/officeDocument/2006/relationships/hyperlink" Target="https://ghgdata.epa.gov/ghgp/main.do" TargetMode="External"/><Relationship Id="rId33" Type="http://schemas.openxmlformats.org/officeDocument/2006/relationships/hyperlink" Target="https://www.epa.gov/statelocalenergy/state-co2-emissions-fossil-fuel-combustion-1990-2017" TargetMode="External"/><Relationship Id="rId38" Type="http://schemas.openxmlformats.org/officeDocument/2006/relationships/hyperlink" Target="https://www.nrel.gov/docs/fy18osti/70485.pdf" TargetMode="External"/><Relationship Id="rId46" Type="http://schemas.openxmlformats.org/officeDocument/2006/relationships/hyperlink" Target="mailto:policy@energyinnovation.org" TargetMode="External"/><Relationship Id="rId20" Type="http://schemas.openxmlformats.org/officeDocument/2006/relationships/hyperlink" Target="https://www.eia.gov/state/seds/seds-data-fuel.php?sid=US"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unenvironment.org/resources/emissions-gap-report-2019" TargetMode="External"/><Relationship Id="rId1" Type="http://schemas.openxmlformats.org/officeDocument/2006/relationships/hyperlink" Target="https://www.ipcc.ch/s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16593A25D6E24EB87B30A7C7209F84" ma:contentTypeVersion="25" ma:contentTypeDescription="Create a new document." ma:contentTypeScope="" ma:versionID="8d1760bf90f34b2074386a0751398909">
  <xsd:schema xmlns:xsd="http://www.w3.org/2001/XMLSchema" xmlns:xs="http://www.w3.org/2001/XMLSchema" xmlns:p="http://schemas.microsoft.com/office/2006/metadata/properties" xmlns:ns2="96b124d4-64d5-4d01-9a13-8db21a8152ee" xmlns:ns3="a1df9832-fa29-4d0b-8301-c5ccf72ca850" xmlns:ns4="630b0b6a-2f51-42dc-b278-73a0077d2bf9" targetNamespace="http://schemas.microsoft.com/office/2006/metadata/properties" ma:root="true" ma:fieldsID="150f3e3cb3cd2ead40661a81803c4d9c" ns2:_="" ns3:_="" ns4:_="">
    <xsd:import namespace="96b124d4-64d5-4d01-9a13-8db21a8152ee"/>
    <xsd:import namespace="a1df9832-fa29-4d0b-8301-c5ccf72ca850"/>
    <xsd:import namespace="630b0b6a-2f51-42dc-b278-73a0077d2bf9"/>
    <xsd:element name="properties">
      <xsd:complexType>
        <xsd:sequence>
          <xsd:element name="documentManagement">
            <xsd:complexType>
              <xsd:all>
                <xsd:element ref="ns2:ce19f59ac979438986cf0acdcd17bd81" minOccurs="0"/>
                <xsd:element ref="ns3:TaxCatchAll" minOccurs="0"/>
                <xsd:element ref="ns2:if202b33c9ad4e6aa860ffa7a5d7a48d" minOccurs="0"/>
                <xsd:element ref="ns2:jfb2dc48547a4c8eb7397eb8c6fbfbf3" minOccurs="0"/>
                <xsd:element ref="ns2:o7d8e063de9440a788ce281a4639f277" minOccurs="0"/>
                <xsd:element ref="ns2:MediaServiceMetadata" minOccurs="0"/>
                <xsd:element ref="ns2:MediaServiceFastMetadata" minOccurs="0"/>
                <xsd:element ref="ns2:Project" minOccurs="0"/>
                <xsd:element ref="ns2:ebeb29d6de21492aade44e4cd0d923ef" minOccurs="0"/>
                <xsd:element ref="ns2:bb589a35e338468285a064ed8144bca4" minOccurs="0"/>
                <xsd:element ref="ns2:MediaServiceAutoKeyPoints" minOccurs="0"/>
                <xsd:element ref="ns2:MediaServiceKeyPoints" minOccurs="0"/>
                <xsd:element ref="ns4:SharedWithUsers" minOccurs="0"/>
                <xsd:element ref="ns4: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124d4-64d5-4d01-9a13-8db21a8152ee" elementFormDefault="qualified">
    <xsd:import namespace="http://schemas.microsoft.com/office/2006/documentManagement/types"/>
    <xsd:import namespace="http://schemas.microsoft.com/office/infopath/2007/PartnerControls"/>
    <xsd:element name="ce19f59ac979438986cf0acdcd17bd81" ma:index="9" nillable="true" ma:taxonomy="true" ma:internalName="ce19f59ac979438986cf0acdcd17bd81" ma:taxonomyFieldName="Document_x0020_Status" ma:displayName="Document Status" ma:default="1;#Draft|1196e416-c1e2-46e4-892a-39f21fb650b4" ma:fieldId="{ce19f59a-c979-4389-86cf-0acdcd17bd81}" ma:sspId="78ca830c-a034-4168-b956-d7763e68b615" ma:termSetId="d65b1371-216a-449b-be5c-ac755384594b" ma:anchorId="00000000-0000-0000-0000-000000000000" ma:open="false" ma:isKeyword="false">
      <xsd:complexType>
        <xsd:sequence>
          <xsd:element ref="pc:Terms" minOccurs="0" maxOccurs="1"/>
        </xsd:sequence>
      </xsd:complexType>
    </xsd:element>
    <xsd:element name="if202b33c9ad4e6aa860ffa7a5d7a48d" ma:index="12" nillable="true" ma:taxonomy="true" ma:internalName="if202b33c9ad4e6aa860ffa7a5d7a48d" ma:taxonomyFieldName="Program" ma:displayName="Program" ma:default="2;#Carbon Free Cities and Regions|a59d5bc4-4b27-40c9-ae91-854acbad63d5" ma:fieldId="{2f202b33-c9ad-4e6a-a860-ffa7a5d7a48d}" ma:sspId="78ca830c-a034-4168-b956-d7763e68b615" ma:termSetId="fb5b2e61-77ad-482a-9c70-531e7aa7f77d" ma:anchorId="00000000-0000-0000-0000-000000000000" ma:open="false" ma:isKeyword="false">
      <xsd:complexType>
        <xsd:sequence>
          <xsd:element ref="pc:Terms" minOccurs="0" maxOccurs="1"/>
        </xsd:sequence>
      </xsd:complexType>
    </xsd:element>
    <xsd:element name="jfb2dc48547a4c8eb7397eb8c6fbfbf3" ma:index="14" nillable="true" ma:taxonomy="true" ma:internalName="jfb2dc48547a4c8eb7397eb8c6fbfbf3" ma:taxonomyFieldName="Initiative" ma:displayName="Initiative" ma:default="3;#CRC - Beyond Carbon|481a373c-258b-4699-bc58-1f7adf8e8675" ma:fieldId="{3fb2dc48-547a-4c8e-b739-7eb8c6fbfbf3}" ma:sspId="78ca830c-a034-4168-b956-d7763e68b615" ma:termSetId="903b7f5a-2ae5-4e42-8208-77428af6ee1e" ma:anchorId="00000000-0000-0000-0000-000000000000" ma:open="false" ma:isKeyword="false">
      <xsd:complexType>
        <xsd:sequence>
          <xsd:element ref="pc:Terms" minOccurs="0" maxOccurs="1"/>
        </xsd:sequence>
      </xsd:complexType>
    </xsd:element>
    <xsd:element name="o7d8e063de9440a788ce281a4639f277" ma:index="16" nillable="true" ma:taxonomy="true" ma:internalName="o7d8e063de9440a788ce281a4639f277" ma:taxonomyFieldName="Legal_x0020_Designation" ma:displayName="Legal Designation" ma:default="4;#Unrestricted|e3b3d182-2f78-40d0-877f-b4ead85fe795" ma:fieldId="{87d8e063-de94-40a7-88ce-281a4639f277}" ma:sspId="78ca830c-a034-4168-b956-d7763e68b615" ma:termSetId="d7cab2b2-b4f8-46a9-89b2-4eecb42d47ca" ma:anchorId="00000000-0000-0000-0000-000000000000" ma:open="false" ma:isKeyword="false">
      <xsd:complexType>
        <xsd:sequence>
          <xsd:element ref="pc:Terms" minOccurs="0" maxOccurs="1"/>
        </xsd:sequence>
      </xsd:complex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Project" ma:index="19" nillable="true" ma:displayName="Project" ma:internalName="Project">
      <xsd:simpleType>
        <xsd:restriction base="dms:Text">
          <xsd:maxLength value="255"/>
        </xsd:restriction>
      </xsd:simpleType>
    </xsd:element>
    <xsd:element name="ebeb29d6de21492aade44e4cd0d923ef" ma:index="21" nillable="true" ma:taxonomy="true" ma:internalName="ebeb29d6de21492aade44e4cd0d923ef" ma:taxonomyFieldName="Countries_x0020_Impacted" ma:displayName="Countries Impacted" ma:default="5;#United States|e78c81d2-f77a-4423-bced-88c0de1115e6" ma:fieldId="{ebeb29d6-de21-492a-ade4-4e4cd0d923ef}" ma:taxonomyMulti="true" ma:sspId="78ca830c-a034-4168-b956-d7763e68b615" ma:termSetId="e1c3647c-981b-42b1-93b5-578d8c5389fd" ma:anchorId="00000000-0000-0000-0000-000000000000" ma:open="false" ma:isKeyword="false">
      <xsd:complexType>
        <xsd:sequence>
          <xsd:element ref="pc:Terms" minOccurs="0" maxOccurs="1"/>
        </xsd:sequence>
      </xsd:complexType>
    </xsd:element>
    <xsd:element name="bb589a35e338468285a064ed8144bca4" ma:index="23" nillable="true" ma:taxonomy="true" ma:internalName="bb589a35e338468285a064ed8144bca4" ma:taxonomyFieldName="Technology" ma:displayName="Technology" ma:default="" ma:fieldId="{bb589a35-e338-4682-85a0-64ed8144bca4}" ma:sspId="78ca830c-a034-4168-b956-d7763e68b615" ma:termSetId="fb0d05d2-464d-47d8-b8c5-88e37d853ee5" ma:anchorId="00000000-0000-0000-0000-000000000000" ma:open="false" ma:isKeyword="false">
      <xsd:complexType>
        <xsd:sequence>
          <xsd:element ref="pc:Terms" minOccurs="0" maxOccurs="1"/>
        </xsd:sequence>
      </xsd:complex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df9832-fa29-4d0b-8301-c5ccf72ca85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d8f7ca2-bd19-40f7-b017-d43d75656da6}" ma:internalName="TaxCatchAll" ma:showField="CatchAllData" ma:web="630b0b6a-2f51-42dc-b278-73a0077d2b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0b0b6a-2f51-42dc-b278-73a0077d2bf9"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 xmlns="96b124d4-64d5-4d01-9a13-8db21a8152ee" xsi:nil="true"/>
    <TaxCatchAll xmlns="a1df9832-fa29-4d0b-8301-c5ccf72ca850"/>
    <o7d8e063de9440a788ce281a4639f277 xmlns="96b124d4-64d5-4d01-9a13-8db21a8152ee">
      <Terms xmlns="http://schemas.microsoft.com/office/infopath/2007/PartnerControls">
        <TermInfo xmlns="http://schemas.microsoft.com/office/infopath/2007/PartnerControls">
          <TermName xmlns="http://schemas.microsoft.com/office/infopath/2007/PartnerControls">Unrestricted</TermName>
          <TermId xmlns="http://schemas.microsoft.com/office/infopath/2007/PartnerControls">e3b3d182-2f78-40d0-877f-b4ead85fe795</TermId>
        </TermInfo>
      </Terms>
    </o7d8e063de9440a788ce281a4639f277>
    <bb589a35e338468285a064ed8144bca4 xmlns="96b124d4-64d5-4d01-9a13-8db21a8152ee">
      <Terms xmlns="http://schemas.microsoft.com/office/infopath/2007/PartnerControls"/>
    </bb589a35e338468285a064ed8144bca4>
    <ebeb29d6de21492aade44e4cd0d923ef xmlns="96b124d4-64d5-4d01-9a13-8db21a8152ee">
      <Terms xmlns="http://schemas.microsoft.com/office/infopath/2007/PartnerControls">
        <TermInfo xmlns="http://schemas.microsoft.com/office/infopath/2007/PartnerControls">
          <TermName xmlns="http://schemas.microsoft.com/office/infopath/2007/PartnerControls">United States</TermName>
          <TermId xmlns="http://schemas.microsoft.com/office/infopath/2007/PartnerControls">e78c81d2-f77a-4423-bced-88c0de1115e6</TermId>
        </TermInfo>
      </Terms>
    </ebeb29d6de21492aade44e4cd0d923ef>
    <ce19f59ac979438986cf0acdcd17bd81 xmlns="96b124d4-64d5-4d01-9a13-8db21a8152ee">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1196e416-c1e2-46e4-892a-39f21fb650b4</TermId>
        </TermInfo>
      </Terms>
    </ce19f59ac979438986cf0acdcd17bd81>
    <jfb2dc48547a4c8eb7397eb8c6fbfbf3 xmlns="96b124d4-64d5-4d01-9a13-8db21a8152ee">
      <Terms xmlns="http://schemas.microsoft.com/office/infopath/2007/PartnerControls">
        <TermInfo xmlns="http://schemas.microsoft.com/office/infopath/2007/PartnerControls">
          <TermName xmlns="http://schemas.microsoft.com/office/infopath/2007/PartnerControls">CRC - Beyond Carbon</TermName>
          <TermId xmlns="http://schemas.microsoft.com/office/infopath/2007/PartnerControls">481a373c-258b-4699-bc58-1f7adf8e8675</TermId>
        </TermInfo>
      </Terms>
    </jfb2dc48547a4c8eb7397eb8c6fbfbf3>
    <if202b33c9ad4e6aa860ffa7a5d7a48d xmlns="96b124d4-64d5-4d01-9a13-8db21a8152ee">
      <Terms xmlns="http://schemas.microsoft.com/office/infopath/2007/PartnerControls">
        <TermInfo xmlns="http://schemas.microsoft.com/office/infopath/2007/PartnerControls">
          <TermName xmlns="http://schemas.microsoft.com/office/infopath/2007/PartnerControls">Carbon Free Cities and Regions</TermName>
          <TermId xmlns="http://schemas.microsoft.com/office/infopath/2007/PartnerControls">a59d5bc4-4b27-40c9-ae91-854acbad63d5</TermId>
        </TermInfo>
      </Terms>
    </if202b33c9ad4e6aa860ffa7a5d7a48d>
  </documentManagement>
</p:properties>
</file>

<file path=customXml/itemProps1.xml><?xml version="1.0" encoding="utf-8"?>
<ds:datastoreItem xmlns:ds="http://schemas.openxmlformats.org/officeDocument/2006/customXml" ds:itemID="{FB036D88-18D8-4AB8-AFC3-8F5177F2D01C}">
  <ds:schemaRefs>
    <ds:schemaRef ds:uri="http://schemas.microsoft.com/sharepoint/v3/contenttype/forms"/>
  </ds:schemaRefs>
</ds:datastoreItem>
</file>

<file path=customXml/itemProps2.xml><?xml version="1.0" encoding="utf-8"?>
<ds:datastoreItem xmlns:ds="http://schemas.openxmlformats.org/officeDocument/2006/customXml" ds:itemID="{05C02AB1-A342-BD4E-AD8D-DD0DE1D685A5}">
  <ds:schemaRefs>
    <ds:schemaRef ds:uri="http://schemas.openxmlformats.org/officeDocument/2006/bibliography"/>
  </ds:schemaRefs>
</ds:datastoreItem>
</file>

<file path=customXml/itemProps3.xml><?xml version="1.0" encoding="utf-8"?>
<ds:datastoreItem xmlns:ds="http://schemas.openxmlformats.org/officeDocument/2006/customXml" ds:itemID="{0C675CAB-3E6E-4AFD-9230-904FA2CDA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124d4-64d5-4d01-9a13-8db21a8152ee"/>
    <ds:schemaRef ds:uri="a1df9832-fa29-4d0b-8301-c5ccf72ca850"/>
    <ds:schemaRef ds:uri="630b0b6a-2f51-42dc-b278-73a0077d2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6738A3-6417-4BDC-944A-CAA2F7636BF9}">
  <ds:schemaRefs>
    <ds:schemaRef ds:uri="http://schemas.microsoft.com/office/2006/metadata/properties"/>
    <ds:schemaRef ds:uri="http://schemas.microsoft.com/office/infopath/2007/PartnerControls"/>
    <ds:schemaRef ds:uri="96b124d4-64d5-4d01-9a13-8db21a8152ee"/>
    <ds:schemaRef ds:uri="a1df9832-fa29-4d0b-8301-c5ccf72ca85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4</cp:revision>
  <dcterms:created xsi:type="dcterms:W3CDTF">2020-11-12T17:31:00Z</dcterms:created>
  <dcterms:modified xsi:type="dcterms:W3CDTF">2020-11-12T17:33:00Z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0x010100C116593A25D6E24EB87B30A7C7209F84</vt:lpwstr>
  </property>
</Properties>
</file>