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869EE" w14:textId="2627DC14" w:rsidR="00BD4EC8" w:rsidRPr="008B0D4E" w:rsidRDefault="009C27E2" w:rsidP="008B0D4E">
      <w:pPr>
        <w:pStyle w:val="Heading1"/>
      </w:pPr>
      <w:r w:rsidRPr="008B0D4E">
        <w:t>POLICY ASSUMPTIONS IN THE BAU CASE FOR THE MINNESOTA EPS</w:t>
      </w:r>
      <w:r w:rsidRPr="008B0D4E">
        <w:tab/>
      </w:r>
      <w:r w:rsidRPr="008B0D4E">
        <w:tab/>
      </w:r>
      <w:r w:rsidRPr="008B0D4E">
        <w:tab/>
      </w:r>
      <w:r w:rsidRPr="008B0D4E">
        <w:tab/>
      </w:r>
      <w:r w:rsidRPr="008B0D4E">
        <w:tab/>
      </w:r>
      <w:r w:rsidRPr="008B0D4E">
        <w:tab/>
      </w:r>
      <w:r w:rsidRPr="008B0D4E">
        <w:tab/>
      </w:r>
      <w:r w:rsidRPr="008B0D4E">
        <w:tab/>
      </w:r>
      <w:r w:rsidRPr="008B0D4E">
        <w:tab/>
      </w:r>
      <w:r w:rsidRPr="008B0D4E">
        <w:tab/>
      </w:r>
      <w:r w:rsidRPr="008B0D4E">
        <w:tab/>
      </w:r>
      <w:r w:rsidRPr="008B0D4E">
        <w:tab/>
      </w:r>
    </w:p>
    <w:p w14:paraId="720C6A8B" w14:textId="77777777" w:rsidR="00BD4EC8" w:rsidRPr="008B0D4E" w:rsidRDefault="00BD4EC8" w:rsidP="009C27E2">
      <w:pPr>
        <w:pStyle w:val="Heading2"/>
        <w:rPr>
          <w:sz w:val="21"/>
          <w:szCs w:val="21"/>
        </w:rPr>
      </w:pPr>
      <w:r w:rsidRPr="008B0D4E">
        <w:rPr>
          <w:sz w:val="21"/>
          <w:szCs w:val="21"/>
        </w:rPr>
        <w:t>Buildings</w:t>
      </w:r>
    </w:p>
    <w:p w14:paraId="61604EC1" w14:textId="77777777" w:rsidR="00BD4EC8" w:rsidRPr="008B0D4E" w:rsidRDefault="00BD4EC8" w:rsidP="00D07D26">
      <w:pPr>
        <w:pStyle w:val="ListParagraph"/>
        <w:numPr>
          <w:ilvl w:val="0"/>
          <w:numId w:val="7"/>
        </w:numPr>
        <w:rPr>
          <w:rFonts w:asciiTheme="majorHAnsi" w:hAnsiTheme="majorHAnsi" w:cstheme="majorHAnsi"/>
          <w:sz w:val="21"/>
          <w:szCs w:val="21"/>
        </w:rPr>
      </w:pPr>
      <w:r w:rsidRPr="008B0D4E">
        <w:rPr>
          <w:rFonts w:asciiTheme="majorHAnsi" w:hAnsiTheme="majorHAnsi" w:cstheme="majorHAnsi"/>
          <w:sz w:val="21"/>
          <w:szCs w:val="21"/>
        </w:rPr>
        <w:t>Energy efficiency</w:t>
      </w:r>
    </w:p>
    <w:p w14:paraId="46BA307C" w14:textId="207B7336" w:rsidR="00BD4EC8" w:rsidRPr="008B0D4E" w:rsidRDefault="00326B20" w:rsidP="00D07D26">
      <w:pPr>
        <w:pStyle w:val="ListParagraph"/>
        <w:numPr>
          <w:ilvl w:val="1"/>
          <w:numId w:val="7"/>
        </w:numPr>
        <w:rPr>
          <w:rFonts w:asciiTheme="majorHAnsi" w:hAnsiTheme="majorHAnsi" w:cstheme="majorHAnsi"/>
          <w:sz w:val="21"/>
          <w:szCs w:val="21"/>
        </w:rPr>
      </w:pPr>
      <w:r w:rsidRPr="008B0D4E">
        <w:rPr>
          <w:rFonts w:asciiTheme="majorHAnsi" w:hAnsiTheme="majorHAnsi" w:cstheme="majorHAnsi"/>
          <w:sz w:val="21"/>
          <w:szCs w:val="21"/>
        </w:rPr>
        <w:t>BAU d</w:t>
      </w:r>
      <w:r w:rsidR="00BD4EC8" w:rsidRPr="008B0D4E">
        <w:rPr>
          <w:rFonts w:asciiTheme="majorHAnsi" w:hAnsiTheme="majorHAnsi" w:cstheme="majorHAnsi"/>
          <w:sz w:val="21"/>
          <w:szCs w:val="21"/>
        </w:rPr>
        <w:t xml:space="preserve">ata includes some endogenous improvement in equipment performance based on external market data (as described </w:t>
      </w:r>
      <w:hyperlink r:id="rId5" w:history="1">
        <w:r w:rsidR="00BD4EC8" w:rsidRPr="008B0D4E">
          <w:rPr>
            <w:rStyle w:val="Hyperlink"/>
            <w:rFonts w:asciiTheme="majorHAnsi" w:hAnsiTheme="majorHAnsi" w:cstheme="majorHAnsi"/>
            <w:sz w:val="21"/>
            <w:szCs w:val="21"/>
          </w:rPr>
          <w:t>here</w:t>
        </w:r>
      </w:hyperlink>
      <w:r w:rsidR="00BD4EC8" w:rsidRPr="008B0D4E">
        <w:rPr>
          <w:rFonts w:asciiTheme="majorHAnsi" w:hAnsiTheme="majorHAnsi" w:cstheme="majorHAnsi"/>
          <w:sz w:val="21"/>
          <w:szCs w:val="21"/>
        </w:rPr>
        <w:t xml:space="preserve">). It is unclear which, if any, EE policies are explicitly included. </w:t>
      </w:r>
      <w:r w:rsidR="00D07D26" w:rsidRPr="008B0D4E">
        <w:rPr>
          <w:rFonts w:asciiTheme="majorHAnsi" w:hAnsiTheme="majorHAnsi" w:cstheme="majorHAnsi"/>
          <w:sz w:val="21"/>
          <w:szCs w:val="21"/>
        </w:rPr>
        <w:t>Minnesota’s</w:t>
      </w:r>
      <w:r w:rsidR="00BD4EC8" w:rsidRPr="008B0D4E">
        <w:rPr>
          <w:rFonts w:asciiTheme="majorHAnsi" w:hAnsiTheme="majorHAnsi" w:cstheme="majorHAnsi"/>
          <w:sz w:val="21"/>
          <w:szCs w:val="21"/>
        </w:rPr>
        <w:t xml:space="preserve"> EE policies are </w:t>
      </w:r>
      <w:r w:rsidR="00BD4EC8" w:rsidRPr="008B0D4E">
        <w:rPr>
          <w:rFonts w:asciiTheme="majorHAnsi" w:hAnsiTheme="majorHAnsi" w:cstheme="majorHAnsi"/>
          <w:b/>
          <w:sz w:val="21"/>
          <w:szCs w:val="21"/>
          <w:u w:val="single"/>
        </w:rPr>
        <w:t>not</w:t>
      </w:r>
      <w:r w:rsidR="00BD4EC8" w:rsidRPr="008B0D4E">
        <w:rPr>
          <w:rFonts w:asciiTheme="majorHAnsi" w:hAnsiTheme="majorHAnsi" w:cstheme="majorHAnsi"/>
          <w:sz w:val="21"/>
          <w:szCs w:val="21"/>
        </w:rPr>
        <w:t xml:space="preserve"> explicitly modeled, included things like building rebates.</w:t>
      </w:r>
    </w:p>
    <w:p w14:paraId="6FE2CDE0" w14:textId="77777777" w:rsidR="00BD4EC8" w:rsidRPr="008B0D4E" w:rsidRDefault="00BD4EC8" w:rsidP="009C27E2">
      <w:pPr>
        <w:pStyle w:val="Heading2"/>
        <w:rPr>
          <w:sz w:val="21"/>
          <w:szCs w:val="21"/>
        </w:rPr>
      </w:pPr>
      <w:r w:rsidRPr="008B0D4E">
        <w:rPr>
          <w:sz w:val="21"/>
          <w:szCs w:val="21"/>
        </w:rPr>
        <w:t>Transportation</w:t>
      </w:r>
    </w:p>
    <w:p w14:paraId="6B00F97E" w14:textId="77777777" w:rsidR="00BD4EC8" w:rsidRPr="008B0D4E" w:rsidRDefault="00BD4EC8" w:rsidP="00BD4EC8">
      <w:pPr>
        <w:pStyle w:val="ListParagraph"/>
        <w:numPr>
          <w:ilvl w:val="0"/>
          <w:numId w:val="1"/>
        </w:numPr>
        <w:rPr>
          <w:rFonts w:asciiTheme="majorHAnsi" w:hAnsiTheme="majorHAnsi" w:cstheme="majorHAnsi"/>
          <w:sz w:val="21"/>
          <w:szCs w:val="21"/>
        </w:rPr>
      </w:pPr>
      <w:r w:rsidRPr="008B0D4E">
        <w:rPr>
          <w:rFonts w:asciiTheme="majorHAnsi" w:hAnsiTheme="majorHAnsi" w:cstheme="majorHAnsi"/>
          <w:sz w:val="21"/>
          <w:szCs w:val="21"/>
        </w:rPr>
        <w:t>Fuel efficiency</w:t>
      </w:r>
    </w:p>
    <w:p w14:paraId="1F703F00" w14:textId="77777777" w:rsidR="00BD4EC8" w:rsidRPr="008B0D4E" w:rsidRDefault="00BD4EC8" w:rsidP="00BD4EC8">
      <w:pPr>
        <w:pStyle w:val="ListParagraph"/>
        <w:numPr>
          <w:ilvl w:val="1"/>
          <w:numId w:val="1"/>
        </w:numPr>
        <w:rPr>
          <w:rFonts w:asciiTheme="majorHAnsi" w:hAnsiTheme="majorHAnsi" w:cstheme="majorHAnsi"/>
          <w:sz w:val="21"/>
          <w:szCs w:val="21"/>
        </w:rPr>
      </w:pPr>
      <w:r w:rsidRPr="008B0D4E">
        <w:rPr>
          <w:rFonts w:asciiTheme="majorHAnsi" w:hAnsiTheme="majorHAnsi" w:cstheme="majorHAnsi"/>
          <w:sz w:val="21"/>
          <w:szCs w:val="21"/>
        </w:rPr>
        <w:t xml:space="preserve">Includes Corporate Average Fuel Economy Standards (CAFE) including the 2021-2025 phase 2 standards. Full text from </w:t>
      </w:r>
      <w:hyperlink r:id="rId6" w:history="1">
        <w:r w:rsidRPr="008B0D4E">
          <w:rPr>
            <w:rStyle w:val="Hyperlink"/>
            <w:rFonts w:asciiTheme="majorHAnsi" w:hAnsiTheme="majorHAnsi" w:cstheme="majorHAnsi"/>
            <w:sz w:val="21"/>
            <w:szCs w:val="21"/>
          </w:rPr>
          <w:t>AEO</w:t>
        </w:r>
      </w:hyperlink>
      <w:r w:rsidRPr="008B0D4E">
        <w:rPr>
          <w:rFonts w:asciiTheme="majorHAnsi" w:hAnsiTheme="majorHAnsi" w:cstheme="majorHAnsi"/>
          <w:sz w:val="21"/>
          <w:szCs w:val="21"/>
        </w:rPr>
        <w:t xml:space="preserve">: </w:t>
      </w:r>
      <w:r w:rsidRPr="008B0D4E">
        <w:rPr>
          <w:rFonts w:asciiTheme="majorHAnsi" w:hAnsiTheme="majorHAnsi" w:cstheme="majorHAnsi"/>
          <w:i/>
          <w:sz w:val="21"/>
          <w:szCs w:val="21"/>
        </w:rPr>
        <w:t>CAFE standards are increased for model years 2011 through 2016 to meet the final CAFE rulemakings for model years 2011 and 2012 to 2016. CAFE standards are increased for model years 2017 to 2025 to meet final CAFE joint rulemakings for model year 2017 to 2021 and to meet augural CAFE standards for model year 2022 to 2025, which will undergo a midterm evaluation to finalize. CAFE standards are held constant through the end of the projection period.</w:t>
      </w:r>
    </w:p>
    <w:p w14:paraId="302DAFF4" w14:textId="77777777" w:rsidR="00BD4EC8" w:rsidRPr="008B0D4E" w:rsidRDefault="00BD4EC8" w:rsidP="00BD4EC8">
      <w:pPr>
        <w:pStyle w:val="ListParagraph"/>
        <w:numPr>
          <w:ilvl w:val="1"/>
          <w:numId w:val="1"/>
        </w:numPr>
        <w:rPr>
          <w:rFonts w:asciiTheme="majorHAnsi" w:hAnsiTheme="majorHAnsi" w:cstheme="majorHAnsi"/>
          <w:sz w:val="21"/>
          <w:szCs w:val="21"/>
        </w:rPr>
      </w:pPr>
      <w:r w:rsidRPr="008B0D4E">
        <w:rPr>
          <w:rFonts w:asciiTheme="majorHAnsi" w:hAnsiTheme="majorHAnsi" w:cstheme="majorHAnsi"/>
          <w:sz w:val="21"/>
          <w:szCs w:val="21"/>
        </w:rPr>
        <w:t xml:space="preserve">Includes Phase I and Phase II standards for HDVs. Full text from AEO: </w:t>
      </w:r>
      <w:r w:rsidRPr="008B0D4E">
        <w:rPr>
          <w:rFonts w:asciiTheme="majorHAnsi" w:hAnsiTheme="majorHAnsi" w:cstheme="majorHAnsi"/>
          <w:i/>
          <w:sz w:val="21"/>
          <w:szCs w:val="21"/>
        </w:rPr>
        <w:t>HD National program Phase I and Phase II standards are modeled, with both engine and chassis technologies; compliance is modeled among 13 heavy-duty vehicle V regulatory classifications that represent the discrete vehicle categories set forth in the rule; the standards are held constant in model years after 2027.</w:t>
      </w:r>
    </w:p>
    <w:p w14:paraId="63C3EC05" w14:textId="77777777" w:rsidR="00BD4EC8" w:rsidRPr="008B0D4E" w:rsidRDefault="00BD4EC8" w:rsidP="00BD4EC8">
      <w:pPr>
        <w:pStyle w:val="ListParagraph"/>
        <w:numPr>
          <w:ilvl w:val="0"/>
          <w:numId w:val="1"/>
        </w:numPr>
        <w:rPr>
          <w:rFonts w:asciiTheme="majorHAnsi" w:hAnsiTheme="majorHAnsi" w:cstheme="majorHAnsi"/>
          <w:sz w:val="21"/>
          <w:szCs w:val="21"/>
        </w:rPr>
      </w:pPr>
      <w:r w:rsidRPr="008B0D4E">
        <w:rPr>
          <w:rFonts w:asciiTheme="majorHAnsi" w:hAnsiTheme="majorHAnsi" w:cstheme="majorHAnsi"/>
          <w:sz w:val="21"/>
          <w:szCs w:val="21"/>
        </w:rPr>
        <w:t>EV subsidies</w:t>
      </w:r>
    </w:p>
    <w:p w14:paraId="6E42677C" w14:textId="77777777" w:rsidR="00BD4EC8" w:rsidRPr="008B0D4E" w:rsidRDefault="00BD4EC8" w:rsidP="00BD4EC8">
      <w:pPr>
        <w:pStyle w:val="ListParagraph"/>
        <w:numPr>
          <w:ilvl w:val="1"/>
          <w:numId w:val="1"/>
        </w:numPr>
        <w:rPr>
          <w:rFonts w:asciiTheme="majorHAnsi" w:hAnsiTheme="majorHAnsi" w:cstheme="majorHAnsi"/>
          <w:sz w:val="21"/>
          <w:szCs w:val="21"/>
        </w:rPr>
      </w:pPr>
      <w:r w:rsidRPr="008B0D4E">
        <w:rPr>
          <w:rFonts w:asciiTheme="majorHAnsi" w:hAnsiTheme="majorHAnsi" w:cstheme="majorHAnsi"/>
          <w:sz w:val="21"/>
          <w:szCs w:val="21"/>
        </w:rPr>
        <w:t>Includes federal subsidies for EVs, weighted based on available credits and model availability.</w:t>
      </w:r>
    </w:p>
    <w:p w14:paraId="048900ED" w14:textId="77777777" w:rsidR="00BD4EC8" w:rsidRPr="008B0D4E" w:rsidRDefault="00BD4EC8" w:rsidP="009C27E2">
      <w:pPr>
        <w:pStyle w:val="Heading2"/>
        <w:rPr>
          <w:sz w:val="21"/>
          <w:szCs w:val="21"/>
        </w:rPr>
      </w:pPr>
      <w:r w:rsidRPr="008B0D4E">
        <w:rPr>
          <w:sz w:val="21"/>
          <w:szCs w:val="21"/>
        </w:rPr>
        <w:t>Industry</w:t>
      </w:r>
    </w:p>
    <w:p w14:paraId="16F547C3" w14:textId="77777777" w:rsidR="00BD4EC8" w:rsidRPr="008B0D4E" w:rsidRDefault="00BD4EC8" w:rsidP="00BD4EC8">
      <w:pPr>
        <w:pStyle w:val="ListParagraph"/>
        <w:numPr>
          <w:ilvl w:val="0"/>
          <w:numId w:val="4"/>
        </w:numPr>
        <w:rPr>
          <w:rFonts w:asciiTheme="majorHAnsi" w:hAnsiTheme="majorHAnsi" w:cstheme="majorHAnsi"/>
          <w:sz w:val="21"/>
          <w:szCs w:val="21"/>
        </w:rPr>
      </w:pPr>
      <w:r w:rsidRPr="008B0D4E">
        <w:rPr>
          <w:rFonts w:asciiTheme="majorHAnsi" w:hAnsiTheme="majorHAnsi" w:cstheme="majorHAnsi"/>
          <w:sz w:val="21"/>
          <w:szCs w:val="21"/>
        </w:rPr>
        <w:t>Non-energy emissions</w:t>
      </w:r>
    </w:p>
    <w:p w14:paraId="5ACEB823" w14:textId="44DA6919" w:rsidR="00BD4EC8" w:rsidRPr="008B0D4E" w:rsidRDefault="00BD4EC8" w:rsidP="00BD4EC8">
      <w:pPr>
        <w:pStyle w:val="ListParagraph"/>
        <w:numPr>
          <w:ilvl w:val="1"/>
          <w:numId w:val="4"/>
        </w:numPr>
        <w:rPr>
          <w:rFonts w:asciiTheme="majorHAnsi" w:hAnsiTheme="majorHAnsi" w:cstheme="majorHAnsi"/>
          <w:sz w:val="21"/>
          <w:szCs w:val="21"/>
        </w:rPr>
      </w:pPr>
      <w:r w:rsidRPr="008B0D4E">
        <w:rPr>
          <w:rFonts w:asciiTheme="majorHAnsi" w:hAnsiTheme="majorHAnsi" w:cstheme="majorHAnsi"/>
          <w:sz w:val="21"/>
          <w:szCs w:val="21"/>
        </w:rPr>
        <w:t>No implementation of Kigali Amendment to the Montreal Protocol.</w:t>
      </w:r>
    </w:p>
    <w:p w14:paraId="477B0EAD" w14:textId="77777777" w:rsidR="00BD4EC8" w:rsidRPr="008B0D4E" w:rsidRDefault="00BD4EC8" w:rsidP="00BD4EC8">
      <w:pPr>
        <w:pStyle w:val="ListParagraph"/>
        <w:numPr>
          <w:ilvl w:val="0"/>
          <w:numId w:val="4"/>
        </w:numPr>
        <w:rPr>
          <w:rFonts w:asciiTheme="majorHAnsi" w:hAnsiTheme="majorHAnsi" w:cstheme="majorHAnsi"/>
          <w:sz w:val="21"/>
          <w:szCs w:val="21"/>
        </w:rPr>
      </w:pPr>
      <w:r w:rsidRPr="008B0D4E">
        <w:rPr>
          <w:rFonts w:asciiTheme="majorHAnsi" w:hAnsiTheme="majorHAnsi" w:cstheme="majorHAnsi"/>
          <w:sz w:val="21"/>
          <w:szCs w:val="21"/>
        </w:rPr>
        <w:t>Industry energy</w:t>
      </w:r>
    </w:p>
    <w:p w14:paraId="56EED545" w14:textId="7C9E13DC" w:rsidR="00BD4EC8" w:rsidRPr="008B0D4E" w:rsidRDefault="00BD4EC8" w:rsidP="00BD4EC8">
      <w:pPr>
        <w:pStyle w:val="ListParagraph"/>
        <w:numPr>
          <w:ilvl w:val="1"/>
          <w:numId w:val="4"/>
        </w:numPr>
        <w:rPr>
          <w:rFonts w:asciiTheme="majorHAnsi" w:hAnsiTheme="majorHAnsi" w:cstheme="majorHAnsi"/>
          <w:sz w:val="21"/>
          <w:szCs w:val="21"/>
        </w:rPr>
      </w:pPr>
      <w:r w:rsidRPr="008B0D4E">
        <w:rPr>
          <w:rFonts w:asciiTheme="majorHAnsi" w:hAnsiTheme="majorHAnsi" w:cstheme="majorHAnsi"/>
          <w:sz w:val="21"/>
          <w:szCs w:val="21"/>
        </w:rPr>
        <w:t xml:space="preserve">Data includes some endogenous improvement in equipment performance based on external market data (as described </w:t>
      </w:r>
      <w:hyperlink r:id="rId7" w:history="1">
        <w:r w:rsidRPr="008B0D4E">
          <w:rPr>
            <w:rStyle w:val="Hyperlink"/>
            <w:rFonts w:asciiTheme="majorHAnsi" w:hAnsiTheme="majorHAnsi" w:cstheme="majorHAnsi"/>
            <w:sz w:val="21"/>
            <w:szCs w:val="21"/>
          </w:rPr>
          <w:t>here</w:t>
        </w:r>
      </w:hyperlink>
      <w:r w:rsidRPr="008B0D4E">
        <w:rPr>
          <w:rFonts w:asciiTheme="majorHAnsi" w:hAnsiTheme="majorHAnsi" w:cstheme="majorHAnsi"/>
          <w:sz w:val="21"/>
          <w:szCs w:val="21"/>
        </w:rPr>
        <w:t xml:space="preserve">). It is unclear which, if any, EE policies are explicitly included. We can assume </w:t>
      </w:r>
      <w:r w:rsidR="004A13D3" w:rsidRPr="008B0D4E">
        <w:rPr>
          <w:rFonts w:asciiTheme="majorHAnsi" w:hAnsiTheme="majorHAnsi" w:cstheme="majorHAnsi"/>
          <w:sz w:val="21"/>
          <w:szCs w:val="21"/>
        </w:rPr>
        <w:t>Minnesota’s</w:t>
      </w:r>
      <w:r w:rsidRPr="008B0D4E">
        <w:rPr>
          <w:rFonts w:asciiTheme="majorHAnsi" w:hAnsiTheme="majorHAnsi" w:cstheme="majorHAnsi"/>
          <w:sz w:val="21"/>
          <w:szCs w:val="21"/>
        </w:rPr>
        <w:t xml:space="preserve"> EE policies are </w:t>
      </w:r>
      <w:r w:rsidRPr="008B0D4E">
        <w:rPr>
          <w:rFonts w:asciiTheme="majorHAnsi" w:hAnsiTheme="majorHAnsi" w:cstheme="majorHAnsi"/>
          <w:b/>
          <w:sz w:val="21"/>
          <w:szCs w:val="21"/>
          <w:u w:val="single"/>
        </w:rPr>
        <w:t>not</w:t>
      </w:r>
      <w:r w:rsidRPr="008B0D4E">
        <w:rPr>
          <w:rFonts w:asciiTheme="majorHAnsi" w:hAnsiTheme="majorHAnsi" w:cstheme="majorHAnsi"/>
          <w:sz w:val="21"/>
          <w:szCs w:val="21"/>
        </w:rPr>
        <w:t xml:space="preserve"> explicitly modeled, included things like building rebates.</w:t>
      </w:r>
    </w:p>
    <w:p w14:paraId="23788A6A" w14:textId="2437E930" w:rsidR="00BD4EC8" w:rsidRPr="008B0D4E" w:rsidRDefault="00BD4EC8" w:rsidP="009C27E2">
      <w:pPr>
        <w:pStyle w:val="Heading2"/>
        <w:rPr>
          <w:sz w:val="21"/>
          <w:szCs w:val="21"/>
        </w:rPr>
      </w:pPr>
      <w:r w:rsidRPr="008B0D4E">
        <w:rPr>
          <w:sz w:val="21"/>
          <w:szCs w:val="21"/>
        </w:rPr>
        <w:t>Electricity</w:t>
      </w:r>
    </w:p>
    <w:p w14:paraId="6262CFE2" w14:textId="4B0B9A36" w:rsidR="00BD4EC8" w:rsidRPr="008B0D4E" w:rsidRDefault="00BD4EC8" w:rsidP="00BD4EC8">
      <w:pPr>
        <w:pStyle w:val="ListParagraph"/>
        <w:numPr>
          <w:ilvl w:val="0"/>
          <w:numId w:val="5"/>
        </w:numPr>
        <w:rPr>
          <w:rFonts w:asciiTheme="majorHAnsi" w:hAnsiTheme="majorHAnsi" w:cstheme="majorHAnsi"/>
          <w:sz w:val="21"/>
          <w:szCs w:val="21"/>
        </w:rPr>
      </w:pPr>
      <w:r w:rsidRPr="008B0D4E">
        <w:rPr>
          <w:rFonts w:asciiTheme="majorHAnsi" w:hAnsiTheme="majorHAnsi" w:cstheme="majorHAnsi"/>
          <w:sz w:val="21"/>
          <w:szCs w:val="21"/>
        </w:rPr>
        <w:t xml:space="preserve">Renewable portfolio standard: </w:t>
      </w:r>
      <w:r w:rsidR="00BD06D1" w:rsidRPr="008B0D4E">
        <w:rPr>
          <w:rFonts w:asciiTheme="majorHAnsi" w:hAnsiTheme="majorHAnsi" w:cstheme="majorHAnsi"/>
          <w:sz w:val="21"/>
          <w:szCs w:val="21"/>
        </w:rPr>
        <w:t xml:space="preserve">Minnesota’s </w:t>
      </w:r>
      <w:hyperlink r:id="rId8" w:history="1">
        <w:r w:rsidR="00BD06D1" w:rsidRPr="008B0D4E">
          <w:rPr>
            <w:rStyle w:val="Hyperlink"/>
            <w:rFonts w:asciiTheme="majorHAnsi" w:hAnsiTheme="majorHAnsi" w:cstheme="majorHAnsi"/>
            <w:sz w:val="21"/>
            <w:szCs w:val="21"/>
          </w:rPr>
          <w:t>Renewables Portfolio Standard</w:t>
        </w:r>
      </w:hyperlink>
      <w:r w:rsidR="00BD06D1" w:rsidRPr="008B0D4E">
        <w:rPr>
          <w:rFonts w:asciiTheme="majorHAnsi" w:hAnsiTheme="majorHAnsi" w:cstheme="majorHAnsi"/>
          <w:sz w:val="21"/>
          <w:szCs w:val="21"/>
        </w:rPr>
        <w:t xml:space="preserve"> is included in the BAU case</w:t>
      </w:r>
    </w:p>
    <w:p w14:paraId="24A2765B" w14:textId="656347EE" w:rsidR="0007276F" w:rsidRDefault="0007276F" w:rsidP="00BD4EC8">
      <w:pPr>
        <w:pStyle w:val="ListParagraph"/>
        <w:numPr>
          <w:ilvl w:val="0"/>
          <w:numId w:val="5"/>
        </w:numPr>
        <w:rPr>
          <w:rFonts w:asciiTheme="majorHAnsi" w:hAnsiTheme="majorHAnsi" w:cstheme="majorHAnsi"/>
          <w:sz w:val="21"/>
          <w:szCs w:val="21"/>
        </w:rPr>
      </w:pPr>
      <w:r w:rsidRPr="008B0D4E">
        <w:rPr>
          <w:rFonts w:asciiTheme="majorHAnsi" w:hAnsiTheme="majorHAnsi" w:cstheme="majorHAnsi"/>
          <w:sz w:val="21"/>
          <w:szCs w:val="21"/>
        </w:rPr>
        <w:t>Assume existing nuclear power plants are retired at the time their current permits expire (</w:t>
      </w:r>
      <w:r w:rsidR="0081754A" w:rsidRPr="008B0D4E">
        <w:rPr>
          <w:rFonts w:asciiTheme="majorHAnsi" w:hAnsiTheme="majorHAnsi" w:cstheme="majorHAnsi"/>
          <w:sz w:val="21"/>
          <w:szCs w:val="21"/>
        </w:rPr>
        <w:t xml:space="preserve">Monticello </w:t>
      </w:r>
      <w:r w:rsidRPr="008B0D4E">
        <w:rPr>
          <w:rFonts w:asciiTheme="majorHAnsi" w:hAnsiTheme="majorHAnsi" w:cstheme="majorHAnsi"/>
          <w:sz w:val="21"/>
          <w:szCs w:val="21"/>
        </w:rPr>
        <w:t xml:space="preserve">2030 and </w:t>
      </w:r>
      <w:r w:rsidR="0081754A" w:rsidRPr="008B0D4E">
        <w:rPr>
          <w:rFonts w:asciiTheme="majorHAnsi" w:hAnsiTheme="majorHAnsi" w:cstheme="majorHAnsi"/>
          <w:sz w:val="21"/>
          <w:szCs w:val="21"/>
        </w:rPr>
        <w:t xml:space="preserve">Prairie Island </w:t>
      </w:r>
      <w:r w:rsidRPr="008B0D4E">
        <w:rPr>
          <w:rFonts w:asciiTheme="majorHAnsi" w:hAnsiTheme="majorHAnsi" w:cstheme="majorHAnsi"/>
          <w:sz w:val="21"/>
          <w:szCs w:val="21"/>
        </w:rPr>
        <w:t>2033/34)</w:t>
      </w:r>
    </w:p>
    <w:p w14:paraId="2CCB5B84" w14:textId="17623F4E" w:rsidR="00ED71D4" w:rsidRPr="008B0D4E" w:rsidRDefault="00ED71D4" w:rsidP="00BD4EC8">
      <w:pPr>
        <w:pStyle w:val="ListParagraph"/>
        <w:numPr>
          <w:ilvl w:val="0"/>
          <w:numId w:val="5"/>
        </w:numPr>
        <w:rPr>
          <w:rFonts w:asciiTheme="majorHAnsi" w:hAnsiTheme="majorHAnsi" w:cstheme="majorHAnsi"/>
          <w:sz w:val="21"/>
          <w:szCs w:val="21"/>
        </w:rPr>
      </w:pPr>
      <w:r>
        <w:rPr>
          <w:rFonts w:asciiTheme="majorHAnsi" w:hAnsiTheme="majorHAnsi" w:cstheme="majorHAnsi"/>
          <w:sz w:val="21"/>
          <w:szCs w:val="21"/>
        </w:rPr>
        <w:t>To avoid double counting Sherco 3 retirements in the BAU and Reference policy case, we do not retire Sherco 3 in the BAU scenario</w:t>
      </w:r>
    </w:p>
    <w:p w14:paraId="72A3A434" w14:textId="04676CD5" w:rsidR="00BD4EC8" w:rsidRPr="008B0D4E" w:rsidRDefault="00BD4EC8" w:rsidP="008B0D4E">
      <w:pPr>
        <w:pStyle w:val="Heading1"/>
      </w:pPr>
      <w:r w:rsidRPr="008B0D4E">
        <w:t xml:space="preserve">Policy Assumptions in the </w:t>
      </w:r>
      <w:r w:rsidR="004A13D3" w:rsidRPr="008B0D4E">
        <w:t>Reference</w:t>
      </w:r>
      <w:r w:rsidRPr="008B0D4E">
        <w:t xml:space="preserve"> Case for the </w:t>
      </w:r>
      <w:r w:rsidR="004A13D3" w:rsidRPr="008B0D4E">
        <w:t>Minnesota</w:t>
      </w:r>
      <w:r w:rsidRPr="008B0D4E">
        <w:t xml:space="preserve"> EPS</w:t>
      </w:r>
    </w:p>
    <w:p w14:paraId="1D506FC0" w14:textId="12DACB7D" w:rsidR="006E38CA" w:rsidRPr="008B0D4E" w:rsidRDefault="006E38CA" w:rsidP="006E38CA">
      <w:pPr>
        <w:rPr>
          <w:rFonts w:asciiTheme="majorHAnsi" w:eastAsia="Times New Roman" w:hAnsiTheme="majorHAnsi" w:cstheme="majorHAnsi"/>
          <w:sz w:val="21"/>
          <w:szCs w:val="21"/>
        </w:rPr>
      </w:pPr>
      <w:r w:rsidRPr="008B0D4E">
        <w:rPr>
          <w:rFonts w:asciiTheme="majorHAnsi" w:eastAsia="Times New Roman" w:hAnsiTheme="majorHAnsi" w:cstheme="majorHAnsi"/>
          <w:sz w:val="21"/>
          <w:szCs w:val="21"/>
        </w:rPr>
        <w:t xml:space="preserve">The </w:t>
      </w:r>
      <w:r w:rsidRPr="008B0D4E">
        <w:rPr>
          <w:rFonts w:asciiTheme="majorHAnsi" w:eastAsia="Times New Roman" w:hAnsiTheme="majorHAnsi" w:cstheme="majorHAnsi"/>
          <w:b/>
          <w:bCs/>
          <w:sz w:val="21"/>
          <w:szCs w:val="21"/>
        </w:rPr>
        <w:t xml:space="preserve">Reference </w:t>
      </w:r>
      <w:r w:rsidRPr="008B0D4E">
        <w:rPr>
          <w:rFonts w:asciiTheme="majorHAnsi" w:eastAsia="Times New Roman" w:hAnsiTheme="majorHAnsi" w:cstheme="majorHAnsi"/>
          <w:sz w:val="21"/>
          <w:szCs w:val="21"/>
        </w:rPr>
        <w:t>policy scenario includes assumptions about energy efficiency and renewable energy in Xcel’s IRP</w:t>
      </w:r>
      <w:r w:rsidR="0095582C" w:rsidRPr="008B0D4E">
        <w:rPr>
          <w:rFonts w:asciiTheme="majorHAnsi" w:eastAsia="Times New Roman" w:hAnsiTheme="majorHAnsi" w:cstheme="majorHAnsi"/>
          <w:sz w:val="21"/>
          <w:szCs w:val="21"/>
        </w:rPr>
        <w:t>.</w:t>
      </w:r>
    </w:p>
    <w:p w14:paraId="3F1AEC7F" w14:textId="77777777" w:rsidR="005146BC" w:rsidRPr="008B0D4E" w:rsidRDefault="005146BC" w:rsidP="005146BC">
      <w:pPr>
        <w:pStyle w:val="Heading2"/>
        <w:rPr>
          <w:sz w:val="21"/>
          <w:szCs w:val="21"/>
        </w:rPr>
      </w:pPr>
      <w:r w:rsidRPr="008B0D4E">
        <w:rPr>
          <w:sz w:val="21"/>
          <w:szCs w:val="21"/>
        </w:rPr>
        <w:t xml:space="preserve">Xcel IRP </w:t>
      </w:r>
    </w:p>
    <w:p w14:paraId="3292B89B" w14:textId="606FE116" w:rsidR="00BD4EC8" w:rsidRPr="008B0D4E" w:rsidRDefault="00DC69B8" w:rsidP="005146BC">
      <w:pPr>
        <w:spacing w:after="0"/>
        <w:rPr>
          <w:rFonts w:asciiTheme="majorHAnsi" w:hAnsiTheme="majorHAnsi" w:cstheme="majorHAnsi"/>
          <w:b/>
          <w:bCs/>
          <w:sz w:val="21"/>
          <w:szCs w:val="21"/>
        </w:rPr>
      </w:pPr>
      <w:r w:rsidRPr="008B0D4E">
        <w:rPr>
          <w:rFonts w:asciiTheme="majorHAnsi" w:hAnsiTheme="majorHAnsi" w:cstheme="majorHAnsi"/>
          <w:b/>
          <w:bCs/>
          <w:sz w:val="21"/>
          <w:szCs w:val="21"/>
        </w:rPr>
        <w:t xml:space="preserve">Electricity: </w:t>
      </w:r>
    </w:p>
    <w:p w14:paraId="58F2A58F" w14:textId="73598731" w:rsidR="0007276F" w:rsidRPr="008B0D4E" w:rsidRDefault="005D64B7" w:rsidP="00BD4EC8">
      <w:pPr>
        <w:numPr>
          <w:ilvl w:val="0"/>
          <w:numId w:val="6"/>
        </w:numPr>
        <w:spacing w:after="0" w:line="240" w:lineRule="auto"/>
        <w:rPr>
          <w:rFonts w:asciiTheme="majorHAnsi" w:eastAsia="Times New Roman" w:hAnsiTheme="majorHAnsi" w:cstheme="majorHAnsi"/>
          <w:sz w:val="21"/>
          <w:szCs w:val="21"/>
        </w:rPr>
      </w:pPr>
      <w:r w:rsidRPr="008B0D4E">
        <w:rPr>
          <w:rFonts w:asciiTheme="majorHAnsi" w:eastAsia="Times New Roman" w:hAnsiTheme="majorHAnsi" w:cstheme="majorHAnsi"/>
          <w:sz w:val="21"/>
          <w:szCs w:val="21"/>
        </w:rPr>
        <w:t>Assumes</w:t>
      </w:r>
      <w:r w:rsidR="0007276F" w:rsidRPr="008B0D4E">
        <w:rPr>
          <w:rFonts w:asciiTheme="majorHAnsi" w:eastAsia="Times New Roman" w:hAnsiTheme="majorHAnsi" w:cstheme="majorHAnsi"/>
          <w:sz w:val="21"/>
          <w:szCs w:val="21"/>
        </w:rPr>
        <w:t xml:space="preserve"> </w:t>
      </w:r>
      <w:r w:rsidR="00835E6A" w:rsidRPr="008B0D4E">
        <w:rPr>
          <w:rFonts w:asciiTheme="majorHAnsi" w:eastAsia="Times New Roman" w:hAnsiTheme="majorHAnsi" w:cstheme="majorHAnsi"/>
          <w:sz w:val="21"/>
          <w:szCs w:val="21"/>
        </w:rPr>
        <w:t>nuclea</w:t>
      </w:r>
      <w:r w:rsidR="00DC69B8" w:rsidRPr="008B0D4E">
        <w:rPr>
          <w:rFonts w:asciiTheme="majorHAnsi" w:eastAsia="Times New Roman" w:hAnsiTheme="majorHAnsi" w:cstheme="majorHAnsi"/>
          <w:sz w:val="21"/>
          <w:szCs w:val="21"/>
        </w:rPr>
        <w:t>r power plants are extended additional 10 years</w:t>
      </w:r>
      <w:r w:rsidRPr="008B0D4E">
        <w:rPr>
          <w:rFonts w:asciiTheme="majorHAnsi" w:eastAsia="Times New Roman" w:hAnsiTheme="majorHAnsi" w:cstheme="majorHAnsi"/>
          <w:sz w:val="21"/>
          <w:szCs w:val="21"/>
        </w:rPr>
        <w:t>: Monticello unit operates through 2040, Prairie Island through 2033 (Unit 1) and 2034 (Unit 2)</w:t>
      </w:r>
    </w:p>
    <w:p w14:paraId="199E3B69" w14:textId="1B8BC3F3" w:rsidR="005D64B7" w:rsidRPr="008B0D4E" w:rsidRDefault="005D64B7" w:rsidP="00BD4EC8">
      <w:pPr>
        <w:numPr>
          <w:ilvl w:val="0"/>
          <w:numId w:val="6"/>
        </w:numPr>
        <w:spacing w:after="0" w:line="240" w:lineRule="auto"/>
        <w:rPr>
          <w:rFonts w:asciiTheme="majorHAnsi" w:eastAsia="Times New Roman" w:hAnsiTheme="majorHAnsi" w:cstheme="majorHAnsi"/>
          <w:sz w:val="21"/>
          <w:szCs w:val="21"/>
        </w:rPr>
      </w:pPr>
      <w:r w:rsidRPr="008B0D4E">
        <w:rPr>
          <w:rFonts w:asciiTheme="majorHAnsi" w:eastAsia="Times New Roman" w:hAnsiTheme="majorHAnsi" w:cstheme="majorHAnsi"/>
          <w:sz w:val="21"/>
          <w:szCs w:val="21"/>
        </w:rPr>
        <w:t xml:space="preserve">Retire 2 coal units early: King in 2028, </w:t>
      </w:r>
      <w:r w:rsidRPr="00ED71D4">
        <w:rPr>
          <w:rFonts w:asciiTheme="majorHAnsi" w:eastAsia="Times New Roman" w:hAnsiTheme="majorHAnsi" w:cstheme="majorHAnsi"/>
          <w:sz w:val="21"/>
          <w:szCs w:val="21"/>
        </w:rPr>
        <w:t>Sherco 3 in 2030</w:t>
      </w:r>
    </w:p>
    <w:p w14:paraId="23F20047" w14:textId="5FB606C7" w:rsidR="00CF1F60" w:rsidRPr="008B0D4E" w:rsidRDefault="00CF1F60" w:rsidP="00BD4EC8">
      <w:pPr>
        <w:numPr>
          <w:ilvl w:val="0"/>
          <w:numId w:val="6"/>
        </w:numPr>
        <w:spacing w:after="0" w:line="240" w:lineRule="auto"/>
        <w:rPr>
          <w:rFonts w:asciiTheme="majorHAnsi" w:eastAsia="Times New Roman" w:hAnsiTheme="majorHAnsi" w:cstheme="majorHAnsi"/>
          <w:sz w:val="21"/>
          <w:szCs w:val="21"/>
        </w:rPr>
      </w:pPr>
      <w:r w:rsidRPr="008B0D4E">
        <w:rPr>
          <w:rFonts w:asciiTheme="majorHAnsi" w:eastAsia="Times New Roman" w:hAnsiTheme="majorHAnsi" w:cstheme="majorHAnsi"/>
          <w:sz w:val="21"/>
          <w:szCs w:val="21"/>
        </w:rPr>
        <w:t>We assume additional 1</w:t>
      </w:r>
      <w:r w:rsidR="005D64B7" w:rsidRPr="008B0D4E">
        <w:rPr>
          <w:rFonts w:asciiTheme="majorHAnsi" w:eastAsia="Times New Roman" w:hAnsiTheme="majorHAnsi" w:cstheme="majorHAnsi"/>
          <w:sz w:val="21"/>
          <w:szCs w:val="21"/>
        </w:rPr>
        <w:t>5</w:t>
      </w:r>
      <w:r w:rsidRPr="008B0D4E">
        <w:rPr>
          <w:rFonts w:asciiTheme="majorHAnsi" w:eastAsia="Times New Roman" w:hAnsiTheme="majorHAnsi" w:cstheme="majorHAnsi"/>
          <w:sz w:val="21"/>
          <w:szCs w:val="21"/>
        </w:rPr>
        <w:t>00 MW of demand response by 2034 above the BAU case</w:t>
      </w:r>
    </w:p>
    <w:p w14:paraId="6CCB24E1" w14:textId="3CD680FF" w:rsidR="00BD4EC8" w:rsidRPr="008B0D4E" w:rsidRDefault="005D64B7" w:rsidP="005146BC">
      <w:pPr>
        <w:numPr>
          <w:ilvl w:val="0"/>
          <w:numId w:val="6"/>
        </w:numPr>
        <w:spacing w:after="0" w:line="240" w:lineRule="auto"/>
        <w:rPr>
          <w:rFonts w:asciiTheme="majorHAnsi" w:eastAsia="Times New Roman" w:hAnsiTheme="majorHAnsi" w:cstheme="majorHAnsi"/>
          <w:sz w:val="21"/>
          <w:szCs w:val="21"/>
        </w:rPr>
      </w:pPr>
      <w:r w:rsidRPr="008B0D4E">
        <w:rPr>
          <w:rFonts w:asciiTheme="majorHAnsi" w:eastAsia="Times New Roman" w:hAnsiTheme="majorHAnsi" w:cstheme="majorHAnsi"/>
          <w:sz w:val="21"/>
          <w:szCs w:val="21"/>
        </w:rPr>
        <w:t>Clean energy standard adds 1200 MW wind by 2034, 4000 MW of solar by 2034</w:t>
      </w:r>
    </w:p>
    <w:p w14:paraId="7636BFD5" w14:textId="32CE4302" w:rsidR="00BD4EC8" w:rsidRPr="008B0D4E" w:rsidRDefault="00BD4EC8" w:rsidP="005146BC">
      <w:pPr>
        <w:spacing w:after="0"/>
        <w:rPr>
          <w:b/>
          <w:sz w:val="21"/>
          <w:szCs w:val="21"/>
        </w:rPr>
      </w:pPr>
      <w:r w:rsidRPr="008B0D4E">
        <w:rPr>
          <w:rFonts w:asciiTheme="majorHAnsi" w:hAnsiTheme="majorHAnsi" w:cstheme="majorHAnsi"/>
          <w:b/>
          <w:bCs/>
          <w:sz w:val="21"/>
          <w:szCs w:val="21"/>
        </w:rPr>
        <w:lastRenderedPageBreak/>
        <w:t>Energy Efficiency</w:t>
      </w:r>
      <w:r w:rsidR="005146BC" w:rsidRPr="008B0D4E">
        <w:rPr>
          <w:rFonts w:asciiTheme="majorHAnsi" w:hAnsiTheme="majorHAnsi" w:cstheme="majorHAnsi"/>
          <w:b/>
          <w:bCs/>
          <w:sz w:val="21"/>
          <w:szCs w:val="21"/>
        </w:rPr>
        <w:t>:</w:t>
      </w:r>
    </w:p>
    <w:p w14:paraId="293A410C" w14:textId="27A16AB4" w:rsidR="00BD4EC8" w:rsidRPr="008B0D4E" w:rsidRDefault="00BD4EC8" w:rsidP="008B0D4E">
      <w:pPr>
        <w:pStyle w:val="ListParagraph"/>
        <w:numPr>
          <w:ilvl w:val="0"/>
          <w:numId w:val="3"/>
        </w:numPr>
        <w:rPr>
          <w:rFonts w:asciiTheme="majorHAnsi" w:hAnsiTheme="majorHAnsi" w:cstheme="majorHAnsi"/>
          <w:sz w:val="21"/>
          <w:szCs w:val="21"/>
        </w:rPr>
      </w:pPr>
      <w:r w:rsidRPr="008B0D4E">
        <w:rPr>
          <w:rFonts w:asciiTheme="majorHAnsi" w:hAnsiTheme="majorHAnsi" w:cstheme="majorHAnsi"/>
          <w:sz w:val="21"/>
          <w:szCs w:val="21"/>
        </w:rPr>
        <w:t xml:space="preserve">Annual BTU electricity savings were calculated based on the energy efficiency improvement </w:t>
      </w:r>
      <w:r w:rsidR="0007276F" w:rsidRPr="008B0D4E">
        <w:rPr>
          <w:rFonts w:asciiTheme="majorHAnsi" w:hAnsiTheme="majorHAnsi" w:cstheme="majorHAnsi"/>
          <w:sz w:val="21"/>
          <w:szCs w:val="21"/>
        </w:rPr>
        <w:t>forecasted in Xcel’s IRP (about 2</w:t>
      </w:r>
      <w:r w:rsidR="00E65292" w:rsidRPr="008B0D4E">
        <w:rPr>
          <w:rFonts w:asciiTheme="majorHAnsi" w:hAnsiTheme="majorHAnsi" w:cstheme="majorHAnsi"/>
          <w:sz w:val="21"/>
          <w:szCs w:val="21"/>
        </w:rPr>
        <w:t>-2.5</w:t>
      </w:r>
      <w:r w:rsidR="0007276F" w:rsidRPr="008B0D4E">
        <w:rPr>
          <w:rFonts w:asciiTheme="majorHAnsi" w:hAnsiTheme="majorHAnsi" w:cstheme="majorHAnsi"/>
          <w:sz w:val="21"/>
          <w:szCs w:val="21"/>
        </w:rPr>
        <w:t>% per year through 2034)</w:t>
      </w:r>
      <w:r w:rsidRPr="008B0D4E">
        <w:rPr>
          <w:rFonts w:asciiTheme="majorHAnsi" w:hAnsiTheme="majorHAnsi" w:cstheme="majorHAnsi"/>
          <w:sz w:val="21"/>
          <w:szCs w:val="21"/>
        </w:rPr>
        <w:t>. The scenario meets these annual B</w:t>
      </w:r>
      <w:r w:rsidR="0049650B" w:rsidRPr="008B0D4E">
        <w:rPr>
          <w:rFonts w:asciiTheme="majorHAnsi" w:hAnsiTheme="majorHAnsi" w:cstheme="majorHAnsi"/>
          <w:sz w:val="21"/>
          <w:szCs w:val="21"/>
        </w:rPr>
        <w:t xml:space="preserve">TU targets through the building </w:t>
      </w:r>
      <w:r w:rsidRPr="008B0D4E">
        <w:rPr>
          <w:rFonts w:asciiTheme="majorHAnsi" w:hAnsiTheme="majorHAnsi" w:cstheme="majorHAnsi"/>
          <w:sz w:val="21"/>
          <w:szCs w:val="21"/>
        </w:rPr>
        <w:t xml:space="preserve">component </w:t>
      </w:r>
      <w:r w:rsidR="0049650B" w:rsidRPr="008B0D4E">
        <w:rPr>
          <w:rFonts w:asciiTheme="majorHAnsi" w:hAnsiTheme="majorHAnsi" w:cstheme="majorHAnsi"/>
          <w:sz w:val="21"/>
          <w:szCs w:val="21"/>
        </w:rPr>
        <w:t xml:space="preserve">and industrial </w:t>
      </w:r>
      <w:r w:rsidRPr="008B0D4E">
        <w:rPr>
          <w:rFonts w:asciiTheme="majorHAnsi" w:hAnsiTheme="majorHAnsi" w:cstheme="majorHAnsi"/>
          <w:sz w:val="21"/>
          <w:szCs w:val="21"/>
        </w:rPr>
        <w:t>efficiency and retrofit policy levers.</w:t>
      </w:r>
      <w:r w:rsidR="00D6573C" w:rsidRPr="008B0D4E">
        <w:rPr>
          <w:rFonts w:asciiTheme="majorHAnsi" w:hAnsiTheme="majorHAnsi" w:cstheme="majorHAnsi"/>
          <w:sz w:val="21"/>
          <w:szCs w:val="21"/>
        </w:rPr>
        <w:t xml:space="preserve"> Efficiency savings are applied to the residential, commercial, and industrial sectors.</w:t>
      </w:r>
      <w:r w:rsidRPr="008B0D4E">
        <w:rPr>
          <w:rFonts w:asciiTheme="majorHAnsi" w:hAnsiTheme="majorHAnsi" w:cstheme="majorHAnsi"/>
          <w:sz w:val="21"/>
          <w:szCs w:val="21"/>
        </w:rPr>
        <w:t xml:space="preserve"> We assume efficiency requirements</w:t>
      </w:r>
      <w:r w:rsidR="0007276F" w:rsidRPr="008B0D4E">
        <w:rPr>
          <w:rFonts w:asciiTheme="majorHAnsi" w:hAnsiTheme="majorHAnsi" w:cstheme="majorHAnsi"/>
          <w:sz w:val="21"/>
          <w:szCs w:val="21"/>
        </w:rPr>
        <w:t xml:space="preserve"> are held constant</w:t>
      </w:r>
      <w:r w:rsidR="00D6573C" w:rsidRPr="008B0D4E">
        <w:rPr>
          <w:rFonts w:asciiTheme="majorHAnsi" w:hAnsiTheme="majorHAnsi" w:cstheme="majorHAnsi"/>
          <w:sz w:val="21"/>
          <w:szCs w:val="21"/>
        </w:rPr>
        <w:t xml:space="preserve"> after 2034, at about 20% below BAU electricity consumption.</w:t>
      </w:r>
    </w:p>
    <w:p w14:paraId="6849FEBE" w14:textId="4A0CBE96" w:rsidR="00BD4EC8" w:rsidRPr="008B0D4E" w:rsidRDefault="00E65292" w:rsidP="00E65292">
      <w:pPr>
        <w:pStyle w:val="Heading1"/>
        <w:rPr>
          <w:sz w:val="21"/>
          <w:szCs w:val="21"/>
        </w:rPr>
      </w:pPr>
      <w:r w:rsidRPr="008B0D4E">
        <w:rPr>
          <w:sz w:val="21"/>
          <w:szCs w:val="21"/>
        </w:rPr>
        <w:t>Data Sources</w:t>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r w:rsidRPr="008B0D4E">
        <w:rPr>
          <w:sz w:val="21"/>
          <w:szCs w:val="21"/>
        </w:rPr>
        <w:tab/>
      </w:r>
    </w:p>
    <w:tbl>
      <w:tblPr>
        <w:tblW w:w="14390" w:type="dxa"/>
        <w:tblCellMar>
          <w:top w:w="15" w:type="dxa"/>
          <w:left w:w="15" w:type="dxa"/>
          <w:bottom w:w="15" w:type="dxa"/>
          <w:right w:w="15" w:type="dxa"/>
        </w:tblCellMar>
        <w:tblLook w:val="04A0" w:firstRow="1" w:lastRow="0" w:firstColumn="1" w:lastColumn="0" w:noHBand="0" w:noVBand="1"/>
      </w:tblPr>
      <w:tblGrid>
        <w:gridCol w:w="1761"/>
        <w:gridCol w:w="2455"/>
        <w:gridCol w:w="2690"/>
        <w:gridCol w:w="3723"/>
        <w:gridCol w:w="3761"/>
      </w:tblGrid>
      <w:tr w:rsidR="00BD4EC8" w:rsidRPr="008B0D4E" w14:paraId="7BB0EC64" w14:textId="77777777" w:rsidTr="008B0D4E">
        <w:trPr>
          <w:trHeight w:val="20"/>
          <w:tblHeader/>
        </w:trPr>
        <w:tc>
          <w:tcPr>
            <w:tcW w:w="17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3ADE388F"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bookmarkStart w:id="0" w:name="_Hlk55378906"/>
            <w:r w:rsidRPr="008B0D4E">
              <w:rPr>
                <w:rFonts w:asciiTheme="majorHAnsi" w:hAnsiTheme="majorHAnsi" w:cstheme="majorHAnsi"/>
                <w:b/>
                <w:bCs/>
                <w:color w:val="000000"/>
                <w:sz w:val="21"/>
                <w:szCs w:val="21"/>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7A2C9F8F"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Subsectors</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1CF23A72"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13B8E6E2"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377E19CF"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Benchmarking Sources for Comparisons</w:t>
            </w:r>
          </w:p>
        </w:tc>
      </w:tr>
      <w:tr w:rsidR="00BD4EC8" w:rsidRPr="008B0D4E" w14:paraId="7380EAC5"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9C27F" w14:textId="7CE296C7" w:rsidR="00BD4EC8" w:rsidRPr="008B0D4E" w:rsidRDefault="00F7789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759E0"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In-state capacity and generation; out of state imports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B1D"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For capacity and generation: EIA’s </w:t>
            </w:r>
            <w:hyperlink r:id="rId9" w:history="1">
              <w:r w:rsidRPr="008B0D4E">
                <w:rPr>
                  <w:rStyle w:val="Hyperlink"/>
                  <w:rFonts w:asciiTheme="majorHAnsi" w:hAnsiTheme="majorHAnsi" w:cstheme="majorHAnsi"/>
                  <w:color w:val="1155CC"/>
                  <w:sz w:val="21"/>
                  <w:szCs w:val="21"/>
                </w:rPr>
                <w:t>Form 923</w:t>
              </w:r>
            </w:hyperlink>
            <w:r w:rsidRPr="008B0D4E">
              <w:rPr>
                <w:rFonts w:asciiTheme="majorHAnsi" w:hAnsiTheme="majorHAnsi" w:cstheme="majorHAnsi"/>
                <w:color w:val="000000"/>
                <w:sz w:val="21"/>
                <w:szCs w:val="21"/>
              </w:rPr>
              <w:t xml:space="preserve"> and EIA’s </w:t>
            </w:r>
            <w:hyperlink r:id="rId10" w:history="1">
              <w:r w:rsidRPr="008B0D4E">
                <w:rPr>
                  <w:rStyle w:val="Hyperlink"/>
                  <w:rFonts w:asciiTheme="majorHAnsi" w:hAnsiTheme="majorHAnsi" w:cstheme="majorHAnsi"/>
                  <w:color w:val="1155CC"/>
                  <w:sz w:val="21"/>
                  <w:szCs w:val="21"/>
                </w:rPr>
                <w:t>Form 860</w:t>
              </w:r>
            </w:hyperlink>
          </w:p>
          <w:p w14:paraId="2025C160" w14:textId="77777777" w:rsidR="00BD4EC8" w:rsidRPr="008B0D4E" w:rsidRDefault="00BD4EC8" w:rsidP="00BD4EC8">
            <w:pPr>
              <w:spacing w:after="0"/>
              <w:rPr>
                <w:rFonts w:asciiTheme="majorHAnsi" w:hAnsiTheme="majorHAnsi" w:cstheme="majorHAnsi"/>
                <w:sz w:val="21"/>
                <w:szCs w:val="21"/>
              </w:rPr>
            </w:pPr>
          </w:p>
          <w:p w14:paraId="6378518C"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For imports/exports: EIA’s State Electricity Profiles </w:t>
            </w:r>
            <w:hyperlink r:id="rId11" w:history="1">
              <w:r w:rsidRPr="008B0D4E">
                <w:rPr>
                  <w:rStyle w:val="Hyperlink"/>
                  <w:rFonts w:asciiTheme="majorHAnsi" w:hAnsiTheme="majorHAnsi" w:cstheme="majorHAnsi"/>
                  <w:color w:val="1155CC"/>
                  <w:sz w:val="21"/>
                  <w:szCs w:val="21"/>
                </w:rPr>
                <w:t>Table 10. </w:t>
              </w:r>
            </w:hyperlink>
          </w:p>
          <w:p w14:paraId="19DD4140" w14:textId="77777777" w:rsidR="00BD4EC8" w:rsidRPr="008B0D4E" w:rsidRDefault="00BD4EC8" w:rsidP="00BD4EC8">
            <w:pPr>
              <w:spacing w:after="0"/>
              <w:rPr>
                <w:rFonts w:asciiTheme="majorHAnsi" w:hAnsiTheme="majorHAnsi" w:cstheme="majorHAnsi"/>
                <w:sz w:val="21"/>
                <w:szCs w:val="21"/>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D0279"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No scaling needed. Added all utility-owned generation and capacity in-state.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4CE12"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Emissions - </w:t>
            </w:r>
            <w:r w:rsidRPr="008B0D4E">
              <w:rPr>
                <w:rFonts w:asciiTheme="majorHAnsi" w:hAnsiTheme="majorHAnsi" w:cstheme="majorHAnsi"/>
                <w:color w:val="000000"/>
                <w:sz w:val="21"/>
                <w:szCs w:val="21"/>
              </w:rPr>
              <w:t>EPA “</w:t>
            </w:r>
            <w:hyperlink r:id="rId12" w:history="1">
              <w:r w:rsidRPr="008B0D4E">
                <w:rPr>
                  <w:rStyle w:val="Hyperlink"/>
                  <w:rFonts w:asciiTheme="majorHAnsi" w:hAnsiTheme="majorHAnsi" w:cstheme="majorHAnsi"/>
                  <w:color w:val="1155CC"/>
                  <w:sz w:val="21"/>
                  <w:szCs w:val="21"/>
                </w:rPr>
                <w:t>State CO2 Emissions from Fossil Fuel Combustion, 1990-2017</w:t>
              </w:r>
            </w:hyperlink>
            <w:r w:rsidRPr="008B0D4E">
              <w:rPr>
                <w:rFonts w:asciiTheme="majorHAnsi" w:hAnsiTheme="majorHAnsi" w:cstheme="majorHAnsi"/>
                <w:color w:val="000000"/>
                <w:sz w:val="21"/>
                <w:szCs w:val="21"/>
              </w:rPr>
              <w:t>” &amp;</w:t>
            </w:r>
          </w:p>
          <w:p w14:paraId="29927AE2"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AEO “</w:t>
            </w:r>
            <w:hyperlink r:id="rId13" w:history="1">
              <w:r w:rsidRPr="008B0D4E">
                <w:rPr>
                  <w:rStyle w:val="Hyperlink"/>
                  <w:rFonts w:asciiTheme="majorHAnsi" w:hAnsiTheme="majorHAnsi" w:cstheme="majorHAnsi"/>
                  <w:color w:val="1155CC"/>
                  <w:sz w:val="21"/>
                  <w:szCs w:val="21"/>
                </w:rPr>
                <w:t>State CO2 Emissions from Fossil Fuel Combustion</w:t>
              </w:r>
            </w:hyperlink>
            <w:r w:rsidRPr="008B0D4E">
              <w:rPr>
                <w:rFonts w:asciiTheme="majorHAnsi" w:hAnsiTheme="majorHAnsi" w:cstheme="majorHAnsi"/>
                <w:color w:val="000000"/>
                <w:sz w:val="21"/>
                <w:szCs w:val="21"/>
              </w:rPr>
              <w:t>” &amp; Minnesota’s GHG Inventory</w:t>
            </w:r>
          </w:p>
        </w:tc>
      </w:tr>
      <w:tr w:rsidR="00BD4EC8" w:rsidRPr="008B0D4E" w14:paraId="4E6AE2FA"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B6A06" w14:textId="524C39A4" w:rsidR="00BD4EC8" w:rsidRPr="008B0D4E" w:rsidRDefault="00F7789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F35BB"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All energy use, all building components, residential and commercial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D20B4" w14:textId="77777777" w:rsidR="00BD4EC8" w:rsidRPr="008B0D4E" w:rsidRDefault="00ED71D4" w:rsidP="00BD4EC8">
            <w:pPr>
              <w:pStyle w:val="NormalWeb"/>
              <w:spacing w:before="0" w:beforeAutospacing="0" w:after="0" w:afterAutospacing="0"/>
              <w:rPr>
                <w:rFonts w:asciiTheme="majorHAnsi" w:hAnsiTheme="majorHAnsi" w:cstheme="majorHAnsi"/>
                <w:sz w:val="21"/>
                <w:szCs w:val="21"/>
              </w:rPr>
            </w:pPr>
            <w:hyperlink r:id="rId14" w:history="1">
              <w:r w:rsidR="00BD4EC8" w:rsidRPr="008B0D4E">
                <w:rPr>
                  <w:rStyle w:val="Hyperlink"/>
                  <w:rFonts w:asciiTheme="majorHAnsi" w:hAnsiTheme="majorHAnsi" w:cstheme="majorHAnsi"/>
                  <w:color w:val="1155CC"/>
                  <w:sz w:val="21"/>
                  <w:szCs w:val="21"/>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C3DBB"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No scaling needed. NREL reports total energy use by fuel type and demand technology in MN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90C71"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Energy Use - </w:t>
            </w:r>
            <w:r w:rsidRPr="008B0D4E">
              <w:rPr>
                <w:rFonts w:asciiTheme="majorHAnsi" w:hAnsiTheme="majorHAnsi" w:cstheme="majorHAnsi"/>
                <w:color w:val="000000"/>
                <w:sz w:val="21"/>
                <w:szCs w:val="21"/>
              </w:rPr>
              <w:t>EIA’s “</w:t>
            </w:r>
            <w:hyperlink r:id="rId15" w:history="1">
              <w:r w:rsidRPr="008B0D4E">
                <w:rPr>
                  <w:rStyle w:val="Hyperlink"/>
                  <w:rFonts w:asciiTheme="majorHAnsi" w:hAnsiTheme="majorHAnsi" w:cstheme="majorHAnsi"/>
                  <w:color w:val="1155CC"/>
                  <w:sz w:val="21"/>
                  <w:szCs w:val="21"/>
                </w:rPr>
                <w:t>State Energy Data Systems</w:t>
              </w:r>
            </w:hyperlink>
            <w:r w:rsidRPr="008B0D4E">
              <w:rPr>
                <w:rFonts w:asciiTheme="majorHAnsi" w:hAnsiTheme="majorHAnsi" w:cstheme="majorHAnsi"/>
                <w:color w:val="000000"/>
                <w:sz w:val="21"/>
                <w:szCs w:val="21"/>
              </w:rPr>
              <w:t>” 2018</w:t>
            </w:r>
          </w:p>
          <w:p w14:paraId="0D3F3F45"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CO2 Emissions - </w:t>
            </w:r>
            <w:r w:rsidRPr="008B0D4E">
              <w:rPr>
                <w:rFonts w:asciiTheme="majorHAnsi" w:hAnsiTheme="majorHAnsi" w:cstheme="majorHAnsi"/>
                <w:color w:val="000000"/>
                <w:sz w:val="21"/>
                <w:szCs w:val="21"/>
              </w:rPr>
              <w:t>AEO “</w:t>
            </w:r>
            <w:hyperlink r:id="rId16" w:history="1">
              <w:r w:rsidRPr="008B0D4E">
                <w:rPr>
                  <w:rStyle w:val="Hyperlink"/>
                  <w:rFonts w:asciiTheme="majorHAnsi" w:hAnsiTheme="majorHAnsi" w:cstheme="majorHAnsi"/>
                  <w:color w:val="1155CC"/>
                  <w:sz w:val="21"/>
                  <w:szCs w:val="21"/>
                </w:rPr>
                <w:t>State CO2 Emissions from Fossil Fuel Combustion</w:t>
              </w:r>
            </w:hyperlink>
            <w:r w:rsidRPr="008B0D4E">
              <w:rPr>
                <w:rFonts w:asciiTheme="majorHAnsi" w:hAnsiTheme="majorHAnsi" w:cstheme="majorHAnsi"/>
                <w:color w:val="000000"/>
                <w:sz w:val="21"/>
                <w:szCs w:val="21"/>
              </w:rPr>
              <w:t>” &amp; Minnesota’s GHG Inventory</w:t>
            </w:r>
          </w:p>
        </w:tc>
      </w:tr>
      <w:tr w:rsidR="00BD4EC8" w:rsidRPr="008B0D4E" w14:paraId="05883AAB"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27166" w14:textId="196445CE" w:rsidR="00BD4EC8" w:rsidRPr="008B0D4E" w:rsidRDefault="00F7789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55B6E"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All fuel use for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14AB9" w14:textId="77777777" w:rsidR="00BD4EC8" w:rsidRPr="008B0D4E" w:rsidRDefault="00ED71D4" w:rsidP="00BD4EC8">
            <w:pPr>
              <w:pStyle w:val="NormalWeb"/>
              <w:spacing w:before="0" w:beforeAutospacing="0" w:after="0" w:afterAutospacing="0"/>
              <w:rPr>
                <w:rFonts w:asciiTheme="majorHAnsi" w:hAnsiTheme="majorHAnsi" w:cstheme="majorHAnsi"/>
                <w:sz w:val="21"/>
                <w:szCs w:val="21"/>
              </w:rPr>
            </w:pPr>
            <w:hyperlink r:id="rId17" w:history="1">
              <w:r w:rsidR="00BD4EC8" w:rsidRPr="008B0D4E">
                <w:rPr>
                  <w:rStyle w:val="Hyperlink"/>
                  <w:rFonts w:asciiTheme="majorHAnsi" w:hAnsiTheme="majorHAnsi" w:cstheme="majorHAnsi"/>
                  <w:color w:val="1155CC"/>
                  <w:sz w:val="21"/>
                  <w:szCs w:val="21"/>
                </w:rPr>
                <w:t>Energy Information Association’s Annual Energy Outlook tables on Industrial Energy Use</w:t>
              </w:r>
            </w:hyperlink>
            <w:r w:rsidR="00BD4EC8" w:rsidRPr="008B0D4E">
              <w:rPr>
                <w:rFonts w:asciiTheme="majorHAnsi" w:hAnsiTheme="majorHAnsi" w:cstheme="majorHAnsi"/>
                <w:color w:val="000000"/>
                <w:sz w:val="21"/>
                <w:szCs w:val="21"/>
              </w:rPr>
              <w:t xml:space="preserve"> &amp;</w:t>
            </w:r>
          </w:p>
          <w:p w14:paraId="037C8B27"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EIA’s “</w:t>
            </w:r>
            <w:hyperlink r:id="rId18" w:history="1">
              <w:r w:rsidRPr="008B0D4E">
                <w:rPr>
                  <w:rStyle w:val="Hyperlink"/>
                  <w:rFonts w:asciiTheme="majorHAnsi" w:hAnsiTheme="majorHAnsi" w:cstheme="majorHAnsi"/>
                  <w:color w:val="1155CC"/>
                  <w:sz w:val="21"/>
                  <w:szCs w:val="21"/>
                </w:rPr>
                <w:t>State Energy Data Systems</w:t>
              </w:r>
            </w:hyperlink>
            <w:r w:rsidRPr="008B0D4E">
              <w:rPr>
                <w:rFonts w:asciiTheme="majorHAnsi" w:hAnsiTheme="majorHAnsi" w:cstheme="majorHAnsi"/>
                <w:color w:val="000000"/>
                <w:sz w:val="21"/>
                <w:szCs w:val="21"/>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318E1"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Scaled down by Census Data (</w:t>
            </w:r>
            <w:hyperlink r:id="rId19" w:history="1">
              <w:r w:rsidRPr="008B0D4E">
                <w:rPr>
                  <w:rStyle w:val="Hyperlink"/>
                  <w:rFonts w:asciiTheme="majorHAnsi" w:hAnsiTheme="majorHAnsi" w:cstheme="majorHAnsi"/>
                  <w:color w:val="1155CC"/>
                  <w:sz w:val="21"/>
                  <w:szCs w:val="21"/>
                </w:rPr>
                <w:t>County Business Patterns</w:t>
              </w:r>
            </w:hyperlink>
            <w:r w:rsidRPr="008B0D4E">
              <w:rPr>
                <w:rFonts w:asciiTheme="majorHAnsi" w:hAnsiTheme="majorHAnsi" w:cstheme="majorHAnsi"/>
                <w:color w:val="000000"/>
                <w:sz w:val="21"/>
                <w:szCs w:val="21"/>
              </w:rPr>
              <w:t>) employment by industrial subsector and state compared 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550B"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Energy Use - </w:t>
            </w:r>
            <w:r w:rsidRPr="008B0D4E">
              <w:rPr>
                <w:rFonts w:asciiTheme="majorHAnsi" w:hAnsiTheme="majorHAnsi" w:cstheme="majorHAnsi"/>
                <w:color w:val="000000"/>
                <w:sz w:val="21"/>
                <w:szCs w:val="21"/>
              </w:rPr>
              <w:t>NREL Electrification Futures and SEDS</w:t>
            </w:r>
          </w:p>
          <w:p w14:paraId="78E150A6"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Emissions - </w:t>
            </w:r>
            <w:r w:rsidRPr="008B0D4E">
              <w:rPr>
                <w:rFonts w:asciiTheme="majorHAnsi" w:hAnsiTheme="majorHAnsi" w:cstheme="majorHAnsi"/>
                <w:color w:val="000000"/>
                <w:sz w:val="21"/>
                <w:szCs w:val="21"/>
              </w:rPr>
              <w:t>EPA “</w:t>
            </w:r>
            <w:hyperlink r:id="rId20" w:history="1">
              <w:r w:rsidRPr="008B0D4E">
                <w:rPr>
                  <w:rStyle w:val="Hyperlink"/>
                  <w:rFonts w:asciiTheme="majorHAnsi" w:hAnsiTheme="majorHAnsi" w:cstheme="majorHAnsi"/>
                  <w:color w:val="1155CC"/>
                  <w:sz w:val="21"/>
                  <w:szCs w:val="21"/>
                </w:rPr>
                <w:t>State CO2 Emissions from Fossil Fuel Combustion, 1990-2017</w:t>
              </w:r>
            </w:hyperlink>
            <w:r w:rsidRPr="008B0D4E">
              <w:rPr>
                <w:rFonts w:asciiTheme="majorHAnsi" w:hAnsiTheme="majorHAnsi" w:cstheme="majorHAnsi"/>
                <w:color w:val="000000"/>
                <w:sz w:val="21"/>
                <w:szCs w:val="21"/>
              </w:rPr>
              <w:t>” &amp;</w:t>
            </w:r>
          </w:p>
          <w:p w14:paraId="76DFDF58"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AEO “</w:t>
            </w:r>
            <w:hyperlink r:id="rId21" w:history="1">
              <w:r w:rsidRPr="008B0D4E">
                <w:rPr>
                  <w:rStyle w:val="Hyperlink"/>
                  <w:rFonts w:asciiTheme="majorHAnsi" w:hAnsiTheme="majorHAnsi" w:cstheme="majorHAnsi"/>
                  <w:color w:val="1155CC"/>
                  <w:sz w:val="21"/>
                  <w:szCs w:val="21"/>
                </w:rPr>
                <w:t>State CO2 Emissions from Fossil Fuel Combustion</w:t>
              </w:r>
            </w:hyperlink>
            <w:r w:rsidRPr="008B0D4E">
              <w:rPr>
                <w:rFonts w:asciiTheme="majorHAnsi" w:hAnsiTheme="majorHAnsi" w:cstheme="majorHAnsi"/>
                <w:color w:val="000000"/>
                <w:sz w:val="21"/>
                <w:szCs w:val="21"/>
              </w:rPr>
              <w:t>” &amp; Minnesota’s GHG Inventory</w:t>
            </w:r>
          </w:p>
        </w:tc>
      </w:tr>
      <w:tr w:rsidR="00BD4EC8" w:rsidRPr="008B0D4E" w14:paraId="621119E5"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63CC" w14:textId="1093BDFE" w:rsidR="00BD4EC8" w:rsidRPr="008B0D4E" w:rsidRDefault="00F7789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4735B"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A59A0" w14:textId="77777777" w:rsidR="00BD4EC8" w:rsidRPr="008B0D4E" w:rsidRDefault="00ED71D4" w:rsidP="00BD4EC8">
            <w:pPr>
              <w:pStyle w:val="NormalWeb"/>
              <w:spacing w:before="0" w:beforeAutospacing="0" w:after="0" w:afterAutospacing="0"/>
              <w:rPr>
                <w:rFonts w:asciiTheme="majorHAnsi" w:hAnsiTheme="majorHAnsi" w:cstheme="majorHAnsi"/>
                <w:sz w:val="21"/>
                <w:szCs w:val="21"/>
              </w:rPr>
            </w:pPr>
            <w:hyperlink r:id="rId22" w:history="1">
              <w:r w:rsidR="00BD4EC8" w:rsidRPr="008B0D4E">
                <w:rPr>
                  <w:rStyle w:val="Hyperlink"/>
                  <w:rFonts w:asciiTheme="majorHAnsi" w:hAnsiTheme="majorHAnsi" w:cstheme="majorHAnsi"/>
                  <w:color w:val="1155CC"/>
                  <w:sz w:val="21"/>
                  <w:szCs w:val="21"/>
                </w:rPr>
                <w:t>EPA Global Non-CO2 Greenhouse Gas Emissions 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D3AB9"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Scaled down US data to state data using a variety of sources, including data from EPA’s </w:t>
            </w:r>
            <w:hyperlink r:id="rId23" w:history="1">
              <w:r w:rsidRPr="008B0D4E">
                <w:rPr>
                  <w:rStyle w:val="Hyperlink"/>
                  <w:rFonts w:asciiTheme="majorHAnsi" w:hAnsiTheme="majorHAnsi" w:cstheme="majorHAnsi"/>
                  <w:color w:val="1155CC"/>
                  <w:sz w:val="21"/>
                  <w:szCs w:val="21"/>
                </w:rPr>
                <w:t xml:space="preserve">FLIGHT </w:t>
              </w:r>
            </w:hyperlink>
            <w:r w:rsidRPr="008B0D4E">
              <w:rPr>
                <w:rFonts w:asciiTheme="majorHAnsi" w:hAnsiTheme="majorHAnsi" w:cstheme="majorHAnsi"/>
                <w:color w:val="000000"/>
                <w:sz w:val="21"/>
                <w:szCs w:val="21"/>
              </w:rPr>
              <w:t xml:space="preserve">tool and </w:t>
            </w:r>
            <w:hyperlink r:id="rId24" w:history="1">
              <w:r w:rsidRPr="008B0D4E">
                <w:rPr>
                  <w:rStyle w:val="Hyperlink"/>
                  <w:rFonts w:asciiTheme="majorHAnsi" w:hAnsiTheme="majorHAnsi" w:cstheme="majorHAnsi"/>
                  <w:color w:val="1155CC"/>
                  <w:sz w:val="21"/>
                  <w:szCs w:val="21"/>
                </w:rPr>
                <w:t>EPA’s State Inventory Tool Output Dataframe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29EC1"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Emissions</w:t>
            </w:r>
            <w:r w:rsidRPr="008B0D4E">
              <w:rPr>
                <w:rFonts w:asciiTheme="majorHAnsi" w:hAnsiTheme="majorHAnsi" w:cstheme="majorHAnsi"/>
                <w:color w:val="000000"/>
                <w:sz w:val="21"/>
                <w:szCs w:val="21"/>
              </w:rPr>
              <w:t xml:space="preserve"> - Minnesota’s GHG Inventory and </w:t>
            </w:r>
            <w:hyperlink r:id="rId25" w:history="1">
              <w:r w:rsidRPr="008B0D4E">
                <w:rPr>
                  <w:rStyle w:val="Hyperlink"/>
                  <w:rFonts w:asciiTheme="majorHAnsi" w:hAnsiTheme="majorHAnsi" w:cstheme="majorHAnsi"/>
                  <w:color w:val="1155CC"/>
                  <w:sz w:val="21"/>
                  <w:szCs w:val="21"/>
                </w:rPr>
                <w:t>E3’s Pathways Report</w:t>
              </w:r>
            </w:hyperlink>
          </w:p>
        </w:tc>
      </w:tr>
      <w:tr w:rsidR="00BD4EC8" w:rsidRPr="008B0D4E" w14:paraId="1A71ADDA"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407B" w14:textId="317E5747" w:rsidR="00BD4EC8" w:rsidRPr="008B0D4E" w:rsidRDefault="00F7789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AGRICULTURE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583CD"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E3680" w14:textId="77777777" w:rsidR="00BD4EC8" w:rsidRPr="008B0D4E" w:rsidRDefault="00ED71D4" w:rsidP="00BD4EC8">
            <w:pPr>
              <w:pStyle w:val="NormalWeb"/>
              <w:spacing w:before="0" w:beforeAutospacing="0" w:after="0" w:afterAutospacing="0"/>
              <w:rPr>
                <w:rFonts w:asciiTheme="majorHAnsi" w:hAnsiTheme="majorHAnsi" w:cstheme="majorHAnsi"/>
                <w:sz w:val="21"/>
                <w:szCs w:val="21"/>
              </w:rPr>
            </w:pPr>
            <w:hyperlink r:id="rId26" w:history="1">
              <w:r w:rsidR="00BD4EC8" w:rsidRPr="008B0D4E">
                <w:rPr>
                  <w:rStyle w:val="Hyperlink"/>
                  <w:rFonts w:asciiTheme="majorHAnsi" w:hAnsiTheme="majorHAnsi" w:cstheme="majorHAnsi"/>
                  <w:color w:val="1155CC"/>
                  <w:sz w:val="21"/>
                  <w:szCs w:val="21"/>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D9CF9"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Note that for agricultural emissions we took an average of emissions for years 2005, 2010, 2015, 2016 and reallocated </w:t>
            </w:r>
            <w:r w:rsidRPr="008B0D4E">
              <w:rPr>
                <w:rFonts w:asciiTheme="majorHAnsi" w:hAnsiTheme="majorHAnsi" w:cstheme="majorHAnsi"/>
                <w:color w:val="000000"/>
                <w:sz w:val="21"/>
                <w:szCs w:val="21"/>
              </w:rPr>
              <w:lastRenderedPageBreak/>
              <w:t>emissions from “cultivated histosols” to the land use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D971"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lastRenderedPageBreak/>
              <w:t>Emissions</w:t>
            </w:r>
            <w:r w:rsidRPr="008B0D4E">
              <w:rPr>
                <w:rFonts w:asciiTheme="majorHAnsi" w:hAnsiTheme="majorHAnsi" w:cstheme="majorHAnsi"/>
                <w:color w:val="000000"/>
                <w:sz w:val="21"/>
                <w:szCs w:val="21"/>
              </w:rPr>
              <w:t xml:space="preserve"> - Minnesota’s GHG Inventory and </w:t>
            </w:r>
            <w:hyperlink r:id="rId27" w:history="1">
              <w:r w:rsidRPr="008B0D4E">
                <w:rPr>
                  <w:rStyle w:val="Hyperlink"/>
                  <w:rFonts w:asciiTheme="majorHAnsi" w:hAnsiTheme="majorHAnsi" w:cstheme="majorHAnsi"/>
                  <w:color w:val="1155CC"/>
                  <w:sz w:val="21"/>
                  <w:szCs w:val="21"/>
                </w:rPr>
                <w:t>E3’s Pathways Report</w:t>
              </w:r>
            </w:hyperlink>
            <w:r w:rsidRPr="008B0D4E">
              <w:rPr>
                <w:rFonts w:asciiTheme="majorHAnsi" w:hAnsiTheme="majorHAnsi" w:cstheme="majorHAnsi"/>
                <w:color w:val="000000"/>
                <w:sz w:val="21"/>
                <w:szCs w:val="21"/>
              </w:rPr>
              <w:t> </w:t>
            </w:r>
          </w:p>
        </w:tc>
      </w:tr>
      <w:tr w:rsidR="00BD4EC8" w:rsidRPr="008B0D4E" w14:paraId="1F32FE4E"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749F5" w14:textId="21D479EC" w:rsidR="00BD4EC8" w:rsidRPr="008B0D4E" w:rsidRDefault="00F7789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F399" w14:textId="77777777" w:rsidR="00BD4EC8" w:rsidRPr="008B0D4E" w:rsidRDefault="00BD4EC8" w:rsidP="00BD4EC8">
            <w:pPr>
              <w:spacing w:after="0"/>
              <w:rPr>
                <w:rFonts w:asciiTheme="majorHAnsi" w:hAnsiTheme="majorHAnsi" w:cstheme="majorHAnsi"/>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A2C3E" w14:textId="77777777" w:rsidR="00BD4EC8" w:rsidRPr="008B0D4E" w:rsidRDefault="00ED71D4" w:rsidP="00BD4EC8">
            <w:pPr>
              <w:pStyle w:val="NormalWeb"/>
              <w:spacing w:before="0" w:beforeAutospacing="0" w:after="0" w:afterAutospacing="0"/>
              <w:rPr>
                <w:rFonts w:asciiTheme="majorHAnsi" w:hAnsiTheme="majorHAnsi" w:cstheme="majorHAnsi"/>
                <w:sz w:val="21"/>
                <w:szCs w:val="21"/>
              </w:rPr>
            </w:pPr>
            <w:hyperlink r:id="rId28" w:history="1">
              <w:r w:rsidR="00BD4EC8" w:rsidRPr="008B0D4E">
                <w:rPr>
                  <w:rStyle w:val="Hyperlink"/>
                  <w:rFonts w:asciiTheme="majorHAnsi" w:hAnsiTheme="majorHAnsi" w:cstheme="majorHAnsi"/>
                  <w:color w:val="1155CC"/>
                  <w:sz w:val="21"/>
                  <w:szCs w:val="21"/>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02382"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Include forestry, land use sector emissions and “cultivated histosols” from the agricultural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F1C07"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Emissions</w:t>
            </w:r>
            <w:r w:rsidRPr="008B0D4E">
              <w:rPr>
                <w:rFonts w:asciiTheme="majorHAnsi" w:hAnsiTheme="majorHAnsi" w:cstheme="majorHAnsi"/>
                <w:color w:val="000000"/>
                <w:sz w:val="21"/>
                <w:szCs w:val="21"/>
              </w:rPr>
              <w:t xml:space="preserve"> - Minnesota’s GHG Inventory</w:t>
            </w:r>
          </w:p>
        </w:tc>
      </w:tr>
      <w:tr w:rsidR="00BD4EC8" w:rsidRPr="008B0D4E" w14:paraId="6EE8144D"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2ADF0" w14:textId="2E02274D" w:rsidR="00BD4EC8" w:rsidRPr="008B0D4E" w:rsidRDefault="00F7789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7B1F"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All energy use, vehicle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B312D" w14:textId="77777777" w:rsidR="00BD4EC8" w:rsidRPr="008B0D4E" w:rsidRDefault="00ED71D4" w:rsidP="00BD4EC8">
            <w:pPr>
              <w:pStyle w:val="NormalWeb"/>
              <w:spacing w:before="0" w:beforeAutospacing="0" w:after="0" w:afterAutospacing="0"/>
              <w:rPr>
                <w:rFonts w:asciiTheme="majorHAnsi" w:hAnsiTheme="majorHAnsi" w:cstheme="majorHAnsi"/>
                <w:sz w:val="21"/>
                <w:szCs w:val="21"/>
              </w:rPr>
            </w:pPr>
            <w:hyperlink r:id="rId29" w:history="1">
              <w:r w:rsidR="00BD4EC8" w:rsidRPr="008B0D4E">
                <w:rPr>
                  <w:rStyle w:val="Hyperlink"/>
                  <w:rFonts w:asciiTheme="majorHAnsi" w:hAnsiTheme="majorHAnsi" w:cstheme="majorHAnsi"/>
                  <w:color w:val="1155CC"/>
                  <w:sz w:val="21"/>
                  <w:szCs w:val="21"/>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A5ED1"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No scaling needed. NREL reports miles by vehicle type and total energy use by fuel type in MN for each year 2017-2050.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45F1A"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Emissions - </w:t>
            </w:r>
            <w:r w:rsidRPr="008B0D4E">
              <w:rPr>
                <w:rFonts w:asciiTheme="majorHAnsi" w:hAnsiTheme="majorHAnsi" w:cstheme="majorHAnsi"/>
                <w:color w:val="000000"/>
                <w:sz w:val="21"/>
                <w:szCs w:val="21"/>
              </w:rPr>
              <w:t>EPA “</w:t>
            </w:r>
            <w:hyperlink r:id="rId30" w:history="1">
              <w:r w:rsidRPr="008B0D4E">
                <w:rPr>
                  <w:rStyle w:val="Hyperlink"/>
                  <w:rFonts w:asciiTheme="majorHAnsi" w:hAnsiTheme="majorHAnsi" w:cstheme="majorHAnsi"/>
                  <w:color w:val="1155CC"/>
                  <w:sz w:val="21"/>
                  <w:szCs w:val="21"/>
                </w:rPr>
                <w:t>State CO2 Emissions from Fossil Fuel Combustion, 1990-2017</w:t>
              </w:r>
            </w:hyperlink>
            <w:r w:rsidRPr="008B0D4E">
              <w:rPr>
                <w:rFonts w:asciiTheme="majorHAnsi" w:hAnsiTheme="majorHAnsi" w:cstheme="majorHAnsi"/>
                <w:color w:val="000000"/>
                <w:sz w:val="21"/>
                <w:szCs w:val="21"/>
              </w:rPr>
              <w:t>” &amp;</w:t>
            </w:r>
          </w:p>
          <w:p w14:paraId="406146DB" w14:textId="77777777" w:rsidR="00BD4EC8" w:rsidRPr="008B0D4E" w:rsidRDefault="00BD4EC8" w:rsidP="00BD4EC8">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AEO “</w:t>
            </w:r>
            <w:hyperlink r:id="rId31" w:history="1">
              <w:r w:rsidRPr="008B0D4E">
                <w:rPr>
                  <w:rStyle w:val="Hyperlink"/>
                  <w:rFonts w:asciiTheme="majorHAnsi" w:hAnsiTheme="majorHAnsi" w:cstheme="majorHAnsi"/>
                  <w:color w:val="1155CC"/>
                  <w:sz w:val="21"/>
                  <w:szCs w:val="21"/>
                </w:rPr>
                <w:t>State CO2 Emissions from Fossil Fuel Combustion</w:t>
              </w:r>
            </w:hyperlink>
            <w:r w:rsidRPr="008B0D4E">
              <w:rPr>
                <w:rFonts w:asciiTheme="majorHAnsi" w:hAnsiTheme="majorHAnsi" w:cstheme="majorHAnsi"/>
                <w:color w:val="000000"/>
                <w:sz w:val="21"/>
                <w:szCs w:val="21"/>
              </w:rPr>
              <w:t>” &amp; Minnesota’s GHG Inventory</w:t>
            </w:r>
          </w:p>
        </w:tc>
      </w:tr>
      <w:bookmarkEnd w:id="0"/>
    </w:tbl>
    <w:p w14:paraId="20092D60" w14:textId="77777777" w:rsidR="00E92414" w:rsidRPr="008B0D4E" w:rsidRDefault="00E92414" w:rsidP="00707379">
      <w:pPr>
        <w:rPr>
          <w:rFonts w:asciiTheme="majorHAnsi" w:hAnsiTheme="majorHAnsi" w:cstheme="majorHAnsi"/>
          <w:sz w:val="21"/>
          <w:szCs w:val="21"/>
        </w:rPr>
      </w:pPr>
    </w:p>
    <w:sectPr w:rsidR="00E92414" w:rsidRPr="008B0D4E" w:rsidSect="00BD4EC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D33"/>
    <w:multiLevelType w:val="hybridMultilevel"/>
    <w:tmpl w:val="3F50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7122A"/>
    <w:multiLevelType w:val="hybridMultilevel"/>
    <w:tmpl w:val="015A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C06DE"/>
    <w:multiLevelType w:val="hybridMultilevel"/>
    <w:tmpl w:val="45BA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70EA8"/>
    <w:multiLevelType w:val="hybridMultilevel"/>
    <w:tmpl w:val="DFC66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71D52"/>
    <w:multiLevelType w:val="hybridMultilevel"/>
    <w:tmpl w:val="1C9C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D6112"/>
    <w:multiLevelType w:val="hybridMultilevel"/>
    <w:tmpl w:val="743ED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A6DFD"/>
    <w:multiLevelType w:val="hybridMultilevel"/>
    <w:tmpl w:val="9276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EA0859"/>
    <w:multiLevelType w:val="hybridMultilevel"/>
    <w:tmpl w:val="EF2AB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EC8"/>
    <w:rsid w:val="0007276F"/>
    <w:rsid w:val="00326B20"/>
    <w:rsid w:val="003A532E"/>
    <w:rsid w:val="003D0262"/>
    <w:rsid w:val="004275AD"/>
    <w:rsid w:val="0049650B"/>
    <w:rsid w:val="004A13D3"/>
    <w:rsid w:val="005146BC"/>
    <w:rsid w:val="005D64B7"/>
    <w:rsid w:val="006E38CA"/>
    <w:rsid w:val="00707379"/>
    <w:rsid w:val="00803941"/>
    <w:rsid w:val="0081754A"/>
    <w:rsid w:val="00835E6A"/>
    <w:rsid w:val="008B0D4E"/>
    <w:rsid w:val="0095582C"/>
    <w:rsid w:val="009C27E2"/>
    <w:rsid w:val="00A03E3D"/>
    <w:rsid w:val="00B058E1"/>
    <w:rsid w:val="00BD06D1"/>
    <w:rsid w:val="00BD4EC8"/>
    <w:rsid w:val="00CF1F60"/>
    <w:rsid w:val="00D07D26"/>
    <w:rsid w:val="00D6573C"/>
    <w:rsid w:val="00DC69B8"/>
    <w:rsid w:val="00E65292"/>
    <w:rsid w:val="00E92414"/>
    <w:rsid w:val="00ED71D4"/>
    <w:rsid w:val="00F7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1366"/>
  <w15:chartTrackingRefBased/>
  <w15:docId w15:val="{DDA6D543-B271-4052-87A0-D4781A8B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C8"/>
  </w:style>
  <w:style w:type="paragraph" w:styleId="Heading1">
    <w:name w:val="heading 1"/>
    <w:basedOn w:val="Normal"/>
    <w:next w:val="Normal"/>
    <w:link w:val="Heading1Char"/>
    <w:uiPriority w:val="9"/>
    <w:qFormat/>
    <w:rsid w:val="009C27E2"/>
    <w:pPr>
      <w:keepNext/>
      <w:keepLines/>
      <w:spacing w:before="240" w:after="0"/>
      <w:outlineLvl w:val="0"/>
    </w:pPr>
    <w:rPr>
      <w:rFonts w:asciiTheme="majorHAnsi" w:eastAsiaTheme="majorEastAsia" w:hAnsiTheme="majorHAnsi" w:cstheme="majorHAnsi"/>
      <w:b/>
      <w:bCs/>
      <w:color w:val="FFFFFF" w:themeColor="background1"/>
      <w:sz w:val="24"/>
      <w:szCs w:val="24"/>
      <w:shd w:val="clear" w:color="auto" w:fill="1F4E79" w:themeFill="accent5" w:themeFillShade="80"/>
    </w:rPr>
  </w:style>
  <w:style w:type="paragraph" w:styleId="Heading2">
    <w:name w:val="heading 2"/>
    <w:basedOn w:val="Normal"/>
    <w:next w:val="Normal"/>
    <w:link w:val="Heading2Char"/>
    <w:uiPriority w:val="9"/>
    <w:unhideWhenUsed/>
    <w:qFormat/>
    <w:rsid w:val="009C27E2"/>
    <w:pPr>
      <w:keepNext/>
      <w:keepLines/>
      <w:spacing w:before="40" w:after="0"/>
      <w:outlineLvl w:val="1"/>
    </w:pPr>
    <w:rPr>
      <w:rFonts w:asciiTheme="majorHAnsi" w:eastAsiaTheme="majorEastAsia" w:hAnsiTheme="majorHAnsi" w:cstheme="maj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7E2"/>
    <w:rPr>
      <w:rFonts w:asciiTheme="majorHAnsi" w:eastAsiaTheme="majorEastAsia" w:hAnsiTheme="majorHAnsi" w:cstheme="majorHAnsi"/>
      <w:b/>
      <w:bCs/>
      <w:color w:val="FFFFFF" w:themeColor="background1"/>
      <w:sz w:val="24"/>
      <w:szCs w:val="24"/>
    </w:rPr>
  </w:style>
  <w:style w:type="character" w:customStyle="1" w:styleId="Heading2Char">
    <w:name w:val="Heading 2 Char"/>
    <w:basedOn w:val="DefaultParagraphFont"/>
    <w:link w:val="Heading2"/>
    <w:uiPriority w:val="9"/>
    <w:rsid w:val="009C27E2"/>
    <w:rPr>
      <w:rFonts w:asciiTheme="majorHAnsi" w:eastAsiaTheme="majorEastAsia" w:hAnsiTheme="majorHAnsi" w:cstheme="majorHAnsi"/>
      <w:b/>
      <w:sz w:val="20"/>
      <w:szCs w:val="20"/>
    </w:rPr>
  </w:style>
  <w:style w:type="paragraph" w:styleId="ListParagraph">
    <w:name w:val="List Paragraph"/>
    <w:basedOn w:val="Normal"/>
    <w:uiPriority w:val="34"/>
    <w:qFormat/>
    <w:rsid w:val="00BD4EC8"/>
    <w:pPr>
      <w:ind w:left="720"/>
      <w:contextualSpacing/>
    </w:pPr>
  </w:style>
  <w:style w:type="character" w:styleId="Hyperlink">
    <w:name w:val="Hyperlink"/>
    <w:basedOn w:val="DefaultParagraphFont"/>
    <w:uiPriority w:val="99"/>
    <w:unhideWhenUsed/>
    <w:rsid w:val="00BD4EC8"/>
    <w:rPr>
      <w:color w:val="0563C1" w:themeColor="hyperlink"/>
      <w:u w:val="single"/>
    </w:rPr>
  </w:style>
  <w:style w:type="character" w:styleId="CommentReference">
    <w:name w:val="annotation reference"/>
    <w:basedOn w:val="DefaultParagraphFont"/>
    <w:uiPriority w:val="99"/>
    <w:semiHidden/>
    <w:unhideWhenUsed/>
    <w:rsid w:val="00BD4EC8"/>
    <w:rPr>
      <w:sz w:val="16"/>
      <w:szCs w:val="16"/>
    </w:rPr>
  </w:style>
  <w:style w:type="paragraph" w:styleId="CommentText">
    <w:name w:val="annotation text"/>
    <w:basedOn w:val="Normal"/>
    <w:link w:val="CommentTextChar"/>
    <w:uiPriority w:val="99"/>
    <w:semiHidden/>
    <w:unhideWhenUsed/>
    <w:rsid w:val="00BD4EC8"/>
    <w:pPr>
      <w:spacing w:line="240" w:lineRule="auto"/>
    </w:pPr>
    <w:rPr>
      <w:sz w:val="20"/>
      <w:szCs w:val="20"/>
    </w:rPr>
  </w:style>
  <w:style w:type="character" w:customStyle="1" w:styleId="CommentTextChar">
    <w:name w:val="Comment Text Char"/>
    <w:basedOn w:val="DefaultParagraphFont"/>
    <w:link w:val="CommentText"/>
    <w:uiPriority w:val="99"/>
    <w:semiHidden/>
    <w:rsid w:val="00BD4EC8"/>
    <w:rPr>
      <w:sz w:val="20"/>
      <w:szCs w:val="20"/>
    </w:rPr>
  </w:style>
  <w:style w:type="paragraph" w:styleId="BalloonText">
    <w:name w:val="Balloon Text"/>
    <w:basedOn w:val="Normal"/>
    <w:link w:val="BalloonTextChar"/>
    <w:uiPriority w:val="99"/>
    <w:semiHidden/>
    <w:unhideWhenUsed/>
    <w:rsid w:val="00BD4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EC8"/>
    <w:rPr>
      <w:rFonts w:ascii="Segoe UI" w:hAnsi="Segoe UI" w:cs="Segoe UI"/>
      <w:sz w:val="18"/>
      <w:szCs w:val="18"/>
    </w:rPr>
  </w:style>
  <w:style w:type="paragraph" w:styleId="NormalWeb">
    <w:name w:val="Normal (Web)"/>
    <w:basedOn w:val="Normal"/>
    <w:uiPriority w:val="99"/>
    <w:semiHidden/>
    <w:unhideWhenUsed/>
    <w:rsid w:val="00BD4EC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7D26"/>
    <w:rPr>
      <w:color w:val="954F72" w:themeColor="followedHyperlink"/>
      <w:u w:val="single"/>
    </w:rPr>
  </w:style>
  <w:style w:type="character" w:customStyle="1" w:styleId="UnresolvedMention1">
    <w:name w:val="Unresolved Mention1"/>
    <w:basedOn w:val="DefaultParagraphFont"/>
    <w:uiPriority w:val="99"/>
    <w:semiHidden/>
    <w:unhideWhenUsed/>
    <w:rsid w:val="00BD0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58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gov/statelocalenergy/state-co2-emissions-fossil-fuel-combustion-1990-2017" TargetMode="External"/><Relationship Id="rId18" Type="http://schemas.openxmlformats.org/officeDocument/2006/relationships/hyperlink" Target="https://www.eia.gov/state/seds/seds-data-fuel.php?sid=US" TargetMode="External"/><Relationship Id="rId26" Type="http://schemas.openxmlformats.org/officeDocument/2006/relationships/hyperlink" Target="https://www.pca.state.mn.us/air/greenhouse-gas-emissions-data" TargetMode="External"/><Relationship Id="rId3" Type="http://schemas.openxmlformats.org/officeDocument/2006/relationships/settings" Target="settings.xml"/><Relationship Id="rId21" Type="http://schemas.openxmlformats.org/officeDocument/2006/relationships/hyperlink" Target="https://www.epa.gov/statelocalenergy/state-co2-emissions-fossil-fuel-combustion-1990-2017" TargetMode="External"/><Relationship Id="rId7" Type="http://schemas.openxmlformats.org/officeDocument/2006/relationships/hyperlink" Target="https://www.nrel.gov/docs/fy18osti/70485.pdf" TargetMode="External"/><Relationship Id="rId12" Type="http://schemas.openxmlformats.org/officeDocument/2006/relationships/hyperlink" Target="https://www.epa.gov/statelocalenergy/state-co2-emissions-fossil-fuel-combustion-1990-2017" TargetMode="External"/><Relationship Id="rId17" Type="http://schemas.openxmlformats.org/officeDocument/2006/relationships/hyperlink" Target="https://www.eia.gov/outlooks/aeo/tables_ref.php" TargetMode="External"/><Relationship Id="rId25" Type="http://schemas.openxmlformats.org/officeDocument/2006/relationships/hyperlink" Target="https://www.ethree.com/wp-content/uploads/2020/01/MN_PATHWAYS_Final-Report_2019-06-26.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pa.gov/statelocalenergy/state-co2-emissions-fossil-fuel-combustion-1990-2017" TargetMode="External"/><Relationship Id="rId20" Type="http://schemas.openxmlformats.org/officeDocument/2006/relationships/hyperlink" Target="https://www.epa.gov/statelocalenergy/state-co2-emissions-fossil-fuel-combustion-1990-2017" TargetMode="External"/><Relationship Id="rId29" Type="http://schemas.openxmlformats.org/officeDocument/2006/relationships/hyperlink" Target="https://www.nrel.gov/analysis/electrification-futures.html" TargetMode="External"/><Relationship Id="rId1" Type="http://schemas.openxmlformats.org/officeDocument/2006/relationships/numbering" Target="numbering.xml"/><Relationship Id="rId6" Type="http://schemas.openxmlformats.org/officeDocument/2006/relationships/hyperlink" Target="https://www.eia.gov/outlooks/aeo/assumptions/pdf/summary.pdf" TargetMode="External"/><Relationship Id="rId11" Type="http://schemas.openxmlformats.org/officeDocument/2006/relationships/hyperlink" Target="https://www.eia.gov/electricity/state/minnesota/state_tables.php" TargetMode="External"/><Relationship Id="rId24" Type="http://schemas.openxmlformats.org/officeDocument/2006/relationships/hyperlink" Target="https://www.epa.gov/statelocalenergy/download-state-inventory-and-projection-tool" TargetMode="External"/><Relationship Id="rId32" Type="http://schemas.openxmlformats.org/officeDocument/2006/relationships/fontTable" Target="fontTable.xml"/><Relationship Id="rId5" Type="http://schemas.openxmlformats.org/officeDocument/2006/relationships/hyperlink" Target="https://www.nrel.gov/docs/fy18osti/70485.pdf" TargetMode="External"/><Relationship Id="rId15" Type="http://schemas.openxmlformats.org/officeDocument/2006/relationships/hyperlink" Target="https://www.eia.gov/state/seds/seds-data-fuel.php?sid=US" TargetMode="External"/><Relationship Id="rId23" Type="http://schemas.openxmlformats.org/officeDocument/2006/relationships/hyperlink" Target="https://ghgdata.epa.gov/ghgp/main.do" TargetMode="External"/><Relationship Id="rId28" Type="http://schemas.openxmlformats.org/officeDocument/2006/relationships/hyperlink" Target="https://www.pca.state.mn.us/air/greenhouse-gas-emissions-data" TargetMode="External"/><Relationship Id="rId10" Type="http://schemas.openxmlformats.org/officeDocument/2006/relationships/hyperlink" Target="https://www.eia.gov/electricity/data/eia860/" TargetMode="External"/><Relationship Id="rId19" Type="http://schemas.openxmlformats.org/officeDocument/2006/relationships/hyperlink" Target="https://www.census.gov/programs-surveys/cbp/data/tables.html" TargetMode="External"/><Relationship Id="rId31" Type="http://schemas.openxmlformats.org/officeDocument/2006/relationships/hyperlink" Target="https://www.epa.gov/statelocalenergy/state-co2-emissions-fossil-fuel-combustion-1990-2017" TargetMode="External"/><Relationship Id="rId4" Type="http://schemas.openxmlformats.org/officeDocument/2006/relationships/webSettings" Target="webSettings.xml"/><Relationship Id="rId9" Type="http://schemas.openxmlformats.org/officeDocument/2006/relationships/hyperlink" Target="https://www.eia.gov/electricity/data/eia923/" TargetMode="External"/><Relationship Id="rId14" Type="http://schemas.openxmlformats.org/officeDocument/2006/relationships/hyperlink" Target="https://www.nrel.gov/analysis/electrification-futures.html" TargetMode="External"/><Relationship Id="rId22" Type="http://schemas.openxmlformats.org/officeDocument/2006/relationships/hyperlink" Target="https://www.epa.gov/global-mitigation-non-co2-greenhouse-gases/global-non-co2-greenhouse-gas-emission-projections" TargetMode="External"/><Relationship Id="rId27" Type="http://schemas.openxmlformats.org/officeDocument/2006/relationships/hyperlink" Target="https://www.ethree.com/wp-content/uploads/2020/01/MN_PATHWAYS_Final-Report_2019-06-26.pdf" TargetMode="External"/><Relationship Id="rId30" Type="http://schemas.openxmlformats.org/officeDocument/2006/relationships/hyperlink" Target="https://www.epa.gov/statelocalenergy/state-co2-emissions-fossil-fuel-combustion-1990-2017" TargetMode="External"/><Relationship Id="rId8" Type="http://schemas.openxmlformats.org/officeDocument/2006/relationships/hyperlink" Target="https://programs.dsireusa.org/system/program/detail/2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Ashmoore</dc:creator>
  <cp:keywords/>
  <dc:description/>
  <cp:lastModifiedBy>Olivia Ashmoore</cp:lastModifiedBy>
  <cp:revision>5</cp:revision>
  <dcterms:created xsi:type="dcterms:W3CDTF">2020-11-04T18:35:00Z</dcterms:created>
  <dcterms:modified xsi:type="dcterms:W3CDTF">2020-11-04T23:00:00Z</dcterms:modified>
</cp:coreProperties>
</file>