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24E6" w14:textId="58D7D21D" w:rsidR="00D22E6C" w:rsidRPr="006C55AB" w:rsidRDefault="00D22E6C" w:rsidP="00480EB7">
      <w:pPr>
        <w:rPr>
          <w:b/>
          <w:bCs/>
          <w:sz w:val="32"/>
          <w:szCs w:val="32"/>
        </w:rPr>
      </w:pPr>
      <w:r w:rsidRPr="006C55AB">
        <w:rPr>
          <w:b/>
          <w:bCs/>
          <w:sz w:val="32"/>
          <w:szCs w:val="32"/>
        </w:rPr>
        <w:t xml:space="preserve">Minnesota </w:t>
      </w:r>
      <w:r w:rsidR="007502FC" w:rsidRPr="006C55AB">
        <w:rPr>
          <w:b/>
          <w:bCs/>
          <w:sz w:val="32"/>
          <w:szCs w:val="32"/>
        </w:rPr>
        <w:t>Energy Policy Simulator (EPS)</w:t>
      </w:r>
      <w:r w:rsidRPr="006C55AB">
        <w:rPr>
          <w:b/>
          <w:bCs/>
          <w:sz w:val="32"/>
          <w:szCs w:val="32"/>
        </w:rPr>
        <w:t xml:space="preserve"> Explainer</w:t>
      </w:r>
    </w:p>
    <w:p w14:paraId="723D51B5" w14:textId="0E02A1B1" w:rsidR="00D22E6C" w:rsidRPr="006C55AB" w:rsidRDefault="00D22E6C" w:rsidP="003D1C5E">
      <w:pPr>
        <w:pStyle w:val="Heading1"/>
        <w:rPr>
          <w:rFonts w:asciiTheme="minorHAnsi" w:hAnsiTheme="minorHAnsi"/>
          <w:sz w:val="28"/>
          <w:szCs w:val="28"/>
        </w:rPr>
      </w:pPr>
      <w:r w:rsidRPr="006C55AB">
        <w:rPr>
          <w:rFonts w:asciiTheme="minorHAnsi" w:hAnsiTheme="minorHAnsi"/>
          <w:sz w:val="28"/>
          <w:szCs w:val="28"/>
        </w:rPr>
        <w:t xml:space="preserve">Estimating </w:t>
      </w:r>
      <w:r w:rsidR="005F42D8" w:rsidRPr="006C55AB">
        <w:rPr>
          <w:rFonts w:asciiTheme="minorHAnsi" w:hAnsiTheme="minorHAnsi"/>
          <w:sz w:val="28"/>
          <w:szCs w:val="28"/>
        </w:rPr>
        <w:t>E</w:t>
      </w:r>
      <w:r w:rsidRPr="006C55AB">
        <w:rPr>
          <w:rFonts w:asciiTheme="minorHAnsi" w:hAnsiTheme="minorHAnsi"/>
          <w:sz w:val="28"/>
          <w:szCs w:val="28"/>
        </w:rPr>
        <w:t xml:space="preserve">conomywide </w:t>
      </w:r>
      <w:r w:rsidR="005F42D8" w:rsidRPr="006C55AB">
        <w:rPr>
          <w:rFonts w:asciiTheme="minorHAnsi" w:hAnsiTheme="minorHAnsi"/>
          <w:sz w:val="28"/>
          <w:szCs w:val="28"/>
        </w:rPr>
        <w:t>E</w:t>
      </w:r>
      <w:r w:rsidRPr="006C55AB">
        <w:rPr>
          <w:rFonts w:asciiTheme="minorHAnsi" w:hAnsiTheme="minorHAnsi"/>
          <w:sz w:val="28"/>
          <w:szCs w:val="28"/>
        </w:rPr>
        <w:t>missions for Minnesota</w:t>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r w:rsidR="003D1C5E" w:rsidRPr="006C55AB">
        <w:rPr>
          <w:rFonts w:asciiTheme="minorHAnsi" w:hAnsiTheme="minorHAnsi"/>
          <w:sz w:val="28"/>
          <w:szCs w:val="28"/>
        </w:rPr>
        <w:tab/>
      </w:r>
    </w:p>
    <w:p w14:paraId="56EA75E1" w14:textId="5AFBA667" w:rsidR="003D1C5E" w:rsidRPr="006C55AB" w:rsidRDefault="004F409C" w:rsidP="003D1C5E">
      <w:r w:rsidRPr="006C55AB">
        <w:t>Energy Innovation and RMI</w:t>
      </w:r>
      <w:r w:rsidR="007165D8" w:rsidRPr="006C55AB">
        <w:t xml:space="preserve"> </w:t>
      </w:r>
      <w:r w:rsidRPr="006C55AB">
        <w:t xml:space="preserve">built a </w:t>
      </w:r>
      <w:r w:rsidR="007165D8" w:rsidRPr="006C55AB">
        <w:t>forecast</w:t>
      </w:r>
      <w:r w:rsidRPr="006C55AB">
        <w:t xml:space="preserve"> of Minnesota’s </w:t>
      </w:r>
      <w:r w:rsidR="007502FC" w:rsidRPr="006C55AB">
        <w:t xml:space="preserve">economywide </w:t>
      </w:r>
      <w:r w:rsidRPr="006C55AB">
        <w:t>greenhouse gas emissions using reputable</w:t>
      </w:r>
      <w:r w:rsidR="007165D8" w:rsidRPr="006C55AB">
        <w:t>,</w:t>
      </w:r>
      <w:r w:rsidRPr="006C55AB">
        <w:t xml:space="preserve"> national </w:t>
      </w:r>
      <w:r w:rsidR="00643E76" w:rsidRPr="006C55AB">
        <w:t>models of</w:t>
      </w:r>
      <w:r w:rsidRPr="006C55AB">
        <w:t xml:space="preserve"> energy </w:t>
      </w:r>
      <w:r w:rsidR="007165D8" w:rsidRPr="006C55AB">
        <w:t>consumption and</w:t>
      </w:r>
      <w:r w:rsidR="00DE0857" w:rsidRPr="006C55AB">
        <w:t xml:space="preserve"> direct emissions</w:t>
      </w:r>
      <w:r w:rsidR="007165D8" w:rsidRPr="006C55AB">
        <w:t xml:space="preserve"> data from Minnesota Pollution Control Agency’s Greenhouse Gas Inventory.</w:t>
      </w:r>
      <w:r w:rsidR="007165D8" w:rsidRPr="006C55AB">
        <w:rPr>
          <w:rStyle w:val="FootnoteReference"/>
        </w:rPr>
        <w:footnoteReference w:id="1"/>
      </w:r>
      <w:r w:rsidR="007165D8" w:rsidRPr="006C55AB">
        <w:t xml:space="preserve"> </w:t>
      </w:r>
      <w:r w:rsidR="007502FC" w:rsidRPr="006C55AB">
        <w:t xml:space="preserve">The Energy Policy Simulator (EPS) accounts for emissions produced in the following sectors: electricity generation, building energy consumption, industrial energy consumption, industrial process </w:t>
      </w:r>
      <w:r w:rsidR="00E13000" w:rsidRPr="006C55AB">
        <w:t>emissions</w:t>
      </w:r>
      <w:r w:rsidR="007502FC" w:rsidRPr="006C55AB">
        <w:t xml:space="preserve">, agriculture process emissions, land use change, and transportation. </w:t>
      </w:r>
      <w:r w:rsidR="007165D8" w:rsidRPr="006C55AB">
        <w:t xml:space="preserve">Our </w:t>
      </w:r>
      <w:r w:rsidR="00DE0857" w:rsidRPr="006C55AB">
        <w:t xml:space="preserve">primary sources are federal data sets from the Environmental Protection Agency (EPA), Energy Information Association (EIA), and the National Renewable Energy Lab (NREL). We supplemented </w:t>
      </w:r>
      <w:r w:rsidR="00643E76" w:rsidRPr="006C55AB">
        <w:t>national data</w:t>
      </w:r>
      <w:r w:rsidR="00DE0857" w:rsidRPr="006C55AB">
        <w:t xml:space="preserve"> with state-specific estimates of agricultural emissions and </w:t>
      </w:r>
      <w:r w:rsidR="00643E76" w:rsidRPr="006C55AB">
        <w:t xml:space="preserve">emissions associated with land use change. </w:t>
      </w:r>
      <w:r w:rsidR="006F13AB" w:rsidRPr="006C55AB">
        <w:t>The table below summarizes our data sources and methodology.</w:t>
      </w:r>
    </w:p>
    <w:p w14:paraId="3D0C503B" w14:textId="77777777" w:rsidR="00FD749E" w:rsidRPr="006C55AB" w:rsidRDefault="00D22E6C" w:rsidP="00480EB7">
      <w:pPr>
        <w:pStyle w:val="Heading2"/>
        <w:rPr>
          <w:rStyle w:val="Heading2Char"/>
          <w:rFonts w:asciiTheme="minorHAnsi" w:hAnsiTheme="minorHAnsi"/>
          <w:b/>
          <w:caps/>
        </w:rPr>
      </w:pPr>
      <w:r w:rsidRPr="006C55AB">
        <w:rPr>
          <w:rFonts w:asciiTheme="minorHAnsi" w:hAnsiTheme="minorHAnsi"/>
        </w:rPr>
        <w:t>Data Sources</w:t>
      </w:r>
      <w:r w:rsidRPr="006C55AB">
        <w:rPr>
          <w:rFonts w:asciiTheme="minorHAnsi" w:hAnsiTheme="minorHAnsi"/>
        </w:rPr>
        <w:tab/>
      </w:r>
      <w:r w:rsidRPr="006C55AB">
        <w:rPr>
          <w:rFonts w:asciiTheme="minorHAnsi" w:hAnsiTheme="minorHAnsi"/>
        </w:rPr>
        <w:tab/>
      </w:r>
      <w:r w:rsidRPr="006C55AB">
        <w:rPr>
          <w:rFonts w:asciiTheme="minorHAnsi" w:hAnsiTheme="minorHAnsi"/>
        </w:rPr>
        <w:tab/>
      </w:r>
      <w:r w:rsidRPr="006C55AB">
        <w:rPr>
          <w:rFonts w:asciiTheme="minorHAnsi" w:hAnsiTheme="minorHAnsi"/>
        </w:rPr>
        <w:tab/>
      </w:r>
      <w:r w:rsidRPr="006C55AB">
        <w:rPr>
          <w:rFonts w:asciiTheme="minorHAnsi" w:hAnsiTheme="minorHAnsi"/>
        </w:rPr>
        <w:tab/>
      </w:r>
      <w:r w:rsidRPr="006C55AB">
        <w:rPr>
          <w:rStyle w:val="Heading2Char"/>
          <w:rFonts w:asciiTheme="minorHAnsi" w:hAnsiTheme="minorHAnsi"/>
          <w:b/>
          <w:caps/>
        </w:rPr>
        <w:tab/>
      </w:r>
      <w:r w:rsidRPr="006C55AB">
        <w:rPr>
          <w:rStyle w:val="Heading2Char"/>
          <w:rFonts w:asciiTheme="minorHAnsi" w:hAnsiTheme="minorHAnsi"/>
          <w:b/>
          <w:caps/>
        </w:rPr>
        <w:tab/>
      </w:r>
    </w:p>
    <w:tbl>
      <w:tblPr>
        <w:tblW w:w="14390" w:type="dxa"/>
        <w:tblCellMar>
          <w:top w:w="15" w:type="dxa"/>
          <w:left w:w="15" w:type="dxa"/>
          <w:bottom w:w="15" w:type="dxa"/>
          <w:right w:w="15" w:type="dxa"/>
        </w:tblCellMar>
        <w:tblLook w:val="04A0" w:firstRow="1" w:lastRow="0" w:firstColumn="1" w:lastColumn="0" w:noHBand="0" w:noVBand="1"/>
      </w:tblPr>
      <w:tblGrid>
        <w:gridCol w:w="1710"/>
        <w:gridCol w:w="2455"/>
        <w:gridCol w:w="2741"/>
        <w:gridCol w:w="3723"/>
        <w:gridCol w:w="3761"/>
      </w:tblGrid>
      <w:tr w:rsidR="00FD749E" w:rsidRPr="006C55AB" w14:paraId="110793CC"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1C6EBE34"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F839167"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56E0551"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78CED9A7"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3280C4B8"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Benchmarking Sources for Comparisons</w:t>
            </w:r>
          </w:p>
        </w:tc>
      </w:tr>
      <w:tr w:rsidR="00FD749E" w:rsidRPr="006C55AB" w14:paraId="4DF4314C"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6ABDC17D"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C416"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3425"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 xml:space="preserve">For capacity and generation: EIA’s </w:t>
            </w:r>
            <w:hyperlink r:id="rId7" w:history="1">
              <w:r w:rsidRPr="006C55AB">
                <w:rPr>
                  <w:rStyle w:val="Hyperlink"/>
                  <w:rFonts w:asciiTheme="minorHAnsi" w:hAnsiTheme="minorHAnsi" w:cstheme="majorHAnsi"/>
                  <w:color w:val="1155CC"/>
                  <w:sz w:val="20"/>
                  <w:szCs w:val="20"/>
                </w:rPr>
                <w:t>Form 923</w:t>
              </w:r>
            </w:hyperlink>
            <w:r w:rsidRPr="006C55AB">
              <w:rPr>
                <w:rFonts w:asciiTheme="minorHAnsi" w:hAnsiTheme="minorHAnsi" w:cstheme="majorHAnsi"/>
                <w:color w:val="000000"/>
                <w:sz w:val="20"/>
                <w:szCs w:val="20"/>
              </w:rPr>
              <w:t xml:space="preserve"> and EIA’s </w:t>
            </w:r>
            <w:hyperlink r:id="rId8" w:history="1">
              <w:r w:rsidRPr="006C55AB">
                <w:rPr>
                  <w:rStyle w:val="Hyperlink"/>
                  <w:rFonts w:asciiTheme="minorHAnsi" w:hAnsiTheme="minorHAnsi" w:cstheme="majorHAnsi"/>
                  <w:color w:val="1155CC"/>
                  <w:sz w:val="20"/>
                  <w:szCs w:val="20"/>
                </w:rPr>
                <w:t>Form 860</w:t>
              </w:r>
            </w:hyperlink>
          </w:p>
          <w:p w14:paraId="7A843319" w14:textId="77777777" w:rsidR="00FD749E" w:rsidRPr="006C55AB" w:rsidRDefault="00FD749E" w:rsidP="009F491D">
            <w:pPr>
              <w:spacing w:after="0"/>
              <w:rPr>
                <w:rFonts w:cstheme="majorHAnsi"/>
                <w:sz w:val="20"/>
                <w:szCs w:val="20"/>
              </w:rPr>
            </w:pPr>
          </w:p>
          <w:p w14:paraId="3CA9471C"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 xml:space="preserve">For imports/exports: EIA’s State Electricity Profiles </w:t>
            </w:r>
            <w:hyperlink r:id="rId9" w:history="1">
              <w:r w:rsidRPr="006C55AB">
                <w:rPr>
                  <w:rStyle w:val="Hyperlink"/>
                  <w:rFonts w:asciiTheme="minorHAnsi" w:hAnsiTheme="minorHAnsi" w:cstheme="majorHAnsi"/>
                  <w:color w:val="1155CC"/>
                  <w:sz w:val="20"/>
                  <w:szCs w:val="20"/>
                </w:rPr>
                <w:t>Table 10. </w:t>
              </w:r>
            </w:hyperlink>
          </w:p>
          <w:p w14:paraId="4519CEEB" w14:textId="77777777" w:rsidR="00FD749E" w:rsidRPr="006C55AB" w:rsidRDefault="00FD749E" w:rsidP="009F491D">
            <w:pPr>
              <w:spacing w:after="0"/>
              <w:rPr>
                <w:rFonts w:cstheme="majorHAnsi"/>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EDBC"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No scaling needed. Added all utility-owned generation and capacity in-state.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3E90A"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 xml:space="preserve">Emissions - </w:t>
            </w:r>
            <w:r w:rsidRPr="006C55AB">
              <w:rPr>
                <w:rFonts w:asciiTheme="minorHAnsi" w:hAnsiTheme="minorHAnsi" w:cstheme="majorHAnsi"/>
                <w:color w:val="000000"/>
                <w:sz w:val="20"/>
                <w:szCs w:val="20"/>
              </w:rPr>
              <w:t>EPA “</w:t>
            </w:r>
            <w:hyperlink r:id="rId10" w:history="1">
              <w:r w:rsidRPr="006C55AB">
                <w:rPr>
                  <w:rStyle w:val="Hyperlink"/>
                  <w:rFonts w:asciiTheme="minorHAnsi" w:hAnsiTheme="minorHAnsi" w:cstheme="majorHAnsi"/>
                  <w:color w:val="1155CC"/>
                  <w:sz w:val="20"/>
                  <w:szCs w:val="20"/>
                </w:rPr>
                <w:t>State CO2 Emissions from Fossil Fuel Combustion, 1990-2017</w:t>
              </w:r>
            </w:hyperlink>
            <w:r w:rsidRPr="006C55AB">
              <w:rPr>
                <w:rFonts w:asciiTheme="minorHAnsi" w:hAnsiTheme="minorHAnsi" w:cstheme="majorHAnsi"/>
                <w:color w:val="000000"/>
                <w:sz w:val="20"/>
                <w:szCs w:val="20"/>
              </w:rPr>
              <w:t>” &amp;</w:t>
            </w:r>
          </w:p>
          <w:p w14:paraId="56EFF0C2"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AEO “</w:t>
            </w:r>
            <w:hyperlink r:id="rId11" w:history="1">
              <w:r w:rsidRPr="006C55AB">
                <w:rPr>
                  <w:rStyle w:val="Hyperlink"/>
                  <w:rFonts w:asciiTheme="minorHAnsi" w:hAnsiTheme="minorHAnsi" w:cstheme="majorHAnsi"/>
                  <w:color w:val="1155CC"/>
                  <w:sz w:val="20"/>
                  <w:szCs w:val="20"/>
                </w:rPr>
                <w:t>State CO2 Emissions from Fossil Fuel Combustion</w:t>
              </w:r>
            </w:hyperlink>
            <w:r w:rsidRPr="006C55AB">
              <w:rPr>
                <w:rFonts w:asciiTheme="minorHAnsi" w:hAnsiTheme="minorHAnsi" w:cstheme="majorHAnsi"/>
                <w:color w:val="000000"/>
                <w:sz w:val="20"/>
                <w:szCs w:val="20"/>
              </w:rPr>
              <w:t>” &amp; Minnesota’s GHG Inventory</w:t>
            </w:r>
          </w:p>
        </w:tc>
      </w:tr>
      <w:tr w:rsidR="00FD749E" w:rsidRPr="006C55AB" w14:paraId="4E58A185"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C13FCE3"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66DC"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C9F5"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hyperlink r:id="rId12" w:history="1">
              <w:r w:rsidRPr="006C55AB">
                <w:rPr>
                  <w:rStyle w:val="Hyperlink"/>
                  <w:rFonts w:asciiTheme="minorHAnsi" w:hAnsiTheme="minorHAnsi" w:cstheme="maj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26"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D5CC"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 xml:space="preserve">Energy Use - </w:t>
            </w:r>
            <w:r w:rsidRPr="006C55AB">
              <w:rPr>
                <w:rFonts w:asciiTheme="minorHAnsi" w:hAnsiTheme="minorHAnsi" w:cstheme="majorHAnsi"/>
                <w:color w:val="000000"/>
                <w:sz w:val="20"/>
                <w:szCs w:val="20"/>
              </w:rPr>
              <w:t>EIA’s “</w:t>
            </w:r>
            <w:hyperlink r:id="rId13" w:history="1">
              <w:r w:rsidRPr="006C55AB">
                <w:rPr>
                  <w:rStyle w:val="Hyperlink"/>
                  <w:rFonts w:asciiTheme="minorHAnsi" w:hAnsiTheme="minorHAnsi" w:cstheme="majorHAnsi"/>
                  <w:color w:val="1155CC"/>
                  <w:sz w:val="20"/>
                  <w:szCs w:val="20"/>
                </w:rPr>
                <w:t>State Energy Data Systems</w:t>
              </w:r>
            </w:hyperlink>
            <w:r w:rsidRPr="006C55AB">
              <w:rPr>
                <w:rFonts w:asciiTheme="minorHAnsi" w:hAnsiTheme="minorHAnsi" w:cstheme="majorHAnsi"/>
                <w:color w:val="000000"/>
                <w:sz w:val="20"/>
                <w:szCs w:val="20"/>
              </w:rPr>
              <w:t>” 2018</w:t>
            </w:r>
          </w:p>
          <w:p w14:paraId="0072C768"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 xml:space="preserve">CO2 Emissions - </w:t>
            </w:r>
            <w:r w:rsidRPr="006C55AB">
              <w:rPr>
                <w:rFonts w:asciiTheme="minorHAnsi" w:hAnsiTheme="minorHAnsi" w:cstheme="majorHAnsi"/>
                <w:color w:val="000000"/>
                <w:sz w:val="20"/>
                <w:szCs w:val="20"/>
              </w:rPr>
              <w:t>AEO “</w:t>
            </w:r>
            <w:hyperlink r:id="rId14" w:history="1">
              <w:r w:rsidRPr="006C55AB">
                <w:rPr>
                  <w:rStyle w:val="Hyperlink"/>
                  <w:rFonts w:asciiTheme="minorHAnsi" w:hAnsiTheme="minorHAnsi" w:cstheme="majorHAnsi"/>
                  <w:color w:val="1155CC"/>
                  <w:sz w:val="20"/>
                  <w:szCs w:val="20"/>
                </w:rPr>
                <w:t>State CO2 Emissions from Fossil Fuel Combustion</w:t>
              </w:r>
            </w:hyperlink>
            <w:r w:rsidRPr="006C55AB">
              <w:rPr>
                <w:rFonts w:asciiTheme="minorHAnsi" w:hAnsiTheme="minorHAnsi" w:cstheme="majorHAnsi"/>
                <w:color w:val="000000"/>
                <w:sz w:val="20"/>
                <w:szCs w:val="20"/>
              </w:rPr>
              <w:t>” &amp; Minnesota’s GHG Inventory</w:t>
            </w:r>
          </w:p>
        </w:tc>
      </w:tr>
      <w:tr w:rsidR="00FD749E" w:rsidRPr="006C55AB" w14:paraId="733A8987"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93942C2"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F0CE"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CF0FE"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hyperlink r:id="rId15" w:history="1">
              <w:r w:rsidRPr="006C55AB">
                <w:rPr>
                  <w:rStyle w:val="Hyperlink"/>
                  <w:rFonts w:asciiTheme="minorHAnsi" w:hAnsiTheme="minorHAnsi" w:cstheme="majorHAnsi"/>
                  <w:color w:val="1155CC"/>
                  <w:sz w:val="20"/>
                  <w:szCs w:val="20"/>
                </w:rPr>
                <w:t>Energy Information Association’s Annual Energy Outlook tables on Industrial Energy Use</w:t>
              </w:r>
            </w:hyperlink>
            <w:r w:rsidRPr="006C55AB">
              <w:rPr>
                <w:rFonts w:asciiTheme="minorHAnsi" w:hAnsiTheme="minorHAnsi" w:cstheme="majorHAnsi"/>
                <w:color w:val="000000"/>
                <w:sz w:val="20"/>
                <w:szCs w:val="20"/>
              </w:rPr>
              <w:t xml:space="preserve"> &amp;</w:t>
            </w:r>
          </w:p>
          <w:p w14:paraId="10D6182B"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EIA’s “</w:t>
            </w:r>
            <w:hyperlink r:id="rId16" w:history="1">
              <w:r w:rsidRPr="006C55AB">
                <w:rPr>
                  <w:rStyle w:val="Hyperlink"/>
                  <w:rFonts w:asciiTheme="minorHAnsi" w:hAnsiTheme="minorHAnsi" w:cstheme="majorHAnsi"/>
                  <w:color w:val="1155CC"/>
                  <w:sz w:val="20"/>
                  <w:szCs w:val="20"/>
                </w:rPr>
                <w:t>State Energy Data Systems</w:t>
              </w:r>
            </w:hyperlink>
            <w:r w:rsidRPr="006C55AB">
              <w:rPr>
                <w:rFonts w:asciiTheme="minorHAnsi" w:hAnsiTheme="minorHAnsi" w:cstheme="majorHAnsi"/>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DF93"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Scaled down by Census Data (</w:t>
            </w:r>
            <w:hyperlink r:id="rId17" w:history="1">
              <w:r w:rsidRPr="006C55AB">
                <w:rPr>
                  <w:rStyle w:val="Hyperlink"/>
                  <w:rFonts w:asciiTheme="minorHAnsi" w:hAnsiTheme="minorHAnsi" w:cstheme="majorHAnsi"/>
                  <w:color w:val="1155CC"/>
                  <w:sz w:val="20"/>
                  <w:szCs w:val="20"/>
                </w:rPr>
                <w:t>County Business Patterns</w:t>
              </w:r>
            </w:hyperlink>
            <w:r w:rsidRPr="006C55AB">
              <w:rPr>
                <w:rFonts w:asciiTheme="minorHAnsi" w:hAnsiTheme="minorHAnsi" w:cstheme="majorHAnsi"/>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B57C"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 xml:space="preserve">Energy Use - </w:t>
            </w:r>
            <w:r w:rsidRPr="006C55AB">
              <w:rPr>
                <w:rFonts w:asciiTheme="minorHAnsi" w:hAnsiTheme="minorHAnsi" w:cstheme="majorHAnsi"/>
                <w:color w:val="000000"/>
                <w:sz w:val="20"/>
                <w:szCs w:val="20"/>
              </w:rPr>
              <w:t>NREL Electrification Futures and SEDS</w:t>
            </w:r>
          </w:p>
          <w:p w14:paraId="7AE940E5"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 xml:space="preserve">Emissions - </w:t>
            </w:r>
            <w:r w:rsidRPr="006C55AB">
              <w:rPr>
                <w:rFonts w:asciiTheme="minorHAnsi" w:hAnsiTheme="minorHAnsi" w:cstheme="majorHAnsi"/>
                <w:color w:val="000000"/>
                <w:sz w:val="20"/>
                <w:szCs w:val="20"/>
              </w:rPr>
              <w:t>EPA “</w:t>
            </w:r>
            <w:hyperlink r:id="rId18" w:history="1">
              <w:r w:rsidRPr="006C55AB">
                <w:rPr>
                  <w:rStyle w:val="Hyperlink"/>
                  <w:rFonts w:asciiTheme="minorHAnsi" w:hAnsiTheme="minorHAnsi" w:cstheme="majorHAnsi"/>
                  <w:color w:val="1155CC"/>
                  <w:sz w:val="20"/>
                  <w:szCs w:val="20"/>
                </w:rPr>
                <w:t>State CO2 Emissions from Fossil Fuel Combustion, 1990-2017</w:t>
              </w:r>
            </w:hyperlink>
            <w:r w:rsidRPr="006C55AB">
              <w:rPr>
                <w:rFonts w:asciiTheme="minorHAnsi" w:hAnsiTheme="minorHAnsi" w:cstheme="majorHAnsi"/>
                <w:color w:val="000000"/>
                <w:sz w:val="20"/>
                <w:szCs w:val="20"/>
              </w:rPr>
              <w:t>” &amp;</w:t>
            </w:r>
          </w:p>
          <w:p w14:paraId="616B7A2A"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AEO “</w:t>
            </w:r>
            <w:hyperlink r:id="rId19" w:history="1">
              <w:r w:rsidRPr="006C55AB">
                <w:rPr>
                  <w:rStyle w:val="Hyperlink"/>
                  <w:rFonts w:asciiTheme="minorHAnsi" w:hAnsiTheme="minorHAnsi" w:cstheme="majorHAnsi"/>
                  <w:color w:val="1155CC"/>
                  <w:sz w:val="20"/>
                  <w:szCs w:val="20"/>
                </w:rPr>
                <w:t>State CO2 Emissions from Fossil Fuel Combustion</w:t>
              </w:r>
            </w:hyperlink>
            <w:r w:rsidRPr="006C55AB">
              <w:rPr>
                <w:rFonts w:asciiTheme="minorHAnsi" w:hAnsiTheme="minorHAnsi" w:cstheme="majorHAnsi"/>
                <w:color w:val="000000"/>
                <w:sz w:val="20"/>
                <w:szCs w:val="20"/>
              </w:rPr>
              <w:t>” &amp; Minnesota’s GHG Inventory</w:t>
            </w:r>
          </w:p>
        </w:tc>
      </w:tr>
      <w:tr w:rsidR="00FD749E" w:rsidRPr="006C55AB" w14:paraId="7F3A9FAE"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7BAEBF1"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459B"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28F8"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hyperlink r:id="rId20" w:history="1">
              <w:r w:rsidRPr="006C55AB">
                <w:rPr>
                  <w:rStyle w:val="Hyperlink"/>
                  <w:rFonts w:asciiTheme="minorHAnsi" w:hAnsiTheme="minorHAnsi" w:cstheme="majorHAnsi"/>
                  <w:color w:val="1155CC"/>
                  <w:sz w:val="20"/>
                  <w:szCs w:val="20"/>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98DE1"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 xml:space="preserve">Scaled down US data to state data using a variety of sources, including data from EPA’s </w:t>
            </w:r>
            <w:hyperlink r:id="rId21" w:history="1">
              <w:r w:rsidRPr="006C55AB">
                <w:rPr>
                  <w:rStyle w:val="Hyperlink"/>
                  <w:rFonts w:asciiTheme="minorHAnsi" w:hAnsiTheme="minorHAnsi" w:cstheme="majorHAnsi"/>
                  <w:color w:val="1155CC"/>
                  <w:sz w:val="20"/>
                  <w:szCs w:val="20"/>
                </w:rPr>
                <w:t xml:space="preserve">FLIGHT </w:t>
              </w:r>
            </w:hyperlink>
            <w:r w:rsidRPr="006C55AB">
              <w:rPr>
                <w:rFonts w:asciiTheme="minorHAnsi" w:hAnsiTheme="minorHAnsi" w:cstheme="majorHAnsi"/>
                <w:color w:val="000000"/>
                <w:sz w:val="20"/>
                <w:szCs w:val="20"/>
              </w:rPr>
              <w:t xml:space="preserve">tool and </w:t>
            </w:r>
            <w:hyperlink r:id="rId22" w:history="1">
              <w:r w:rsidRPr="006C55AB">
                <w:rPr>
                  <w:rStyle w:val="Hyperlink"/>
                  <w:rFonts w:asciiTheme="minorHAnsi" w:hAnsiTheme="minorHAnsi" w:cstheme="majorHAnsi"/>
                  <w:color w:val="1155CC"/>
                  <w:sz w:val="20"/>
                  <w:szCs w:val="20"/>
                </w:rPr>
                <w:t xml:space="preserve">EPA’s State Inventory Tool Output </w:t>
              </w:r>
              <w:proofErr w:type="spellStart"/>
              <w:r w:rsidRPr="006C55AB">
                <w:rPr>
                  <w:rStyle w:val="Hyperlink"/>
                  <w:rFonts w:asciiTheme="minorHAnsi" w:hAnsiTheme="minorHAnsi" w:cstheme="majorHAnsi"/>
                  <w:color w:val="1155CC"/>
                  <w:sz w:val="20"/>
                  <w:szCs w:val="20"/>
                </w:rPr>
                <w:t>Dataframe</w:t>
              </w:r>
              <w:proofErr w:type="spellEnd"/>
              <w:r w:rsidRPr="006C55AB">
                <w:rPr>
                  <w:rStyle w:val="Hyperlink"/>
                  <w:rFonts w:asciiTheme="minorHAnsi" w:hAnsiTheme="minorHAnsi" w:cstheme="majorHAnsi"/>
                  <w:color w:val="1155CC"/>
                  <w:sz w:val="20"/>
                  <w:szCs w:val="20"/>
                </w:rPr>
                <w:t>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DE22"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Emissions</w:t>
            </w:r>
            <w:r w:rsidRPr="006C55AB">
              <w:rPr>
                <w:rFonts w:asciiTheme="minorHAnsi" w:hAnsiTheme="minorHAnsi" w:cstheme="majorHAnsi"/>
                <w:color w:val="000000"/>
                <w:sz w:val="20"/>
                <w:szCs w:val="20"/>
              </w:rPr>
              <w:t xml:space="preserve"> - Minnesota’s GHG Inventory and </w:t>
            </w:r>
            <w:hyperlink r:id="rId23" w:history="1">
              <w:r w:rsidRPr="006C55AB">
                <w:rPr>
                  <w:rStyle w:val="Hyperlink"/>
                  <w:rFonts w:asciiTheme="minorHAnsi" w:hAnsiTheme="minorHAnsi" w:cstheme="majorHAnsi"/>
                  <w:color w:val="1155CC"/>
                  <w:sz w:val="20"/>
                  <w:szCs w:val="20"/>
                </w:rPr>
                <w:t>E3’s Pathways Report</w:t>
              </w:r>
            </w:hyperlink>
          </w:p>
        </w:tc>
      </w:tr>
      <w:tr w:rsidR="00FD749E" w:rsidRPr="006C55AB" w14:paraId="73057336"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070CD48B"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lastRenderedPageBreak/>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9591"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09094"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hyperlink r:id="rId24" w:history="1">
              <w:r w:rsidRPr="006C55AB">
                <w:rPr>
                  <w:rStyle w:val="Hyperlink"/>
                  <w:rFonts w:asciiTheme="minorHAnsi" w:hAnsiTheme="minorHAnsi" w:cstheme="maj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3A62"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996A"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Emissions</w:t>
            </w:r>
            <w:r w:rsidRPr="006C55AB">
              <w:rPr>
                <w:rFonts w:asciiTheme="minorHAnsi" w:hAnsiTheme="minorHAnsi" w:cstheme="majorHAnsi"/>
                <w:color w:val="000000"/>
                <w:sz w:val="20"/>
                <w:szCs w:val="20"/>
              </w:rPr>
              <w:t xml:space="preserve"> - Minnesota’s GHG Inventory and </w:t>
            </w:r>
            <w:hyperlink r:id="rId25" w:history="1">
              <w:r w:rsidRPr="006C55AB">
                <w:rPr>
                  <w:rStyle w:val="Hyperlink"/>
                  <w:rFonts w:asciiTheme="minorHAnsi" w:hAnsiTheme="minorHAnsi" w:cstheme="majorHAnsi"/>
                  <w:color w:val="1155CC"/>
                  <w:sz w:val="20"/>
                  <w:szCs w:val="20"/>
                </w:rPr>
                <w:t>E3’s Pathways Report</w:t>
              </w:r>
            </w:hyperlink>
            <w:r w:rsidRPr="006C55AB">
              <w:rPr>
                <w:rFonts w:asciiTheme="minorHAnsi" w:hAnsiTheme="minorHAnsi" w:cstheme="majorHAnsi"/>
                <w:color w:val="000000"/>
                <w:sz w:val="20"/>
                <w:szCs w:val="20"/>
              </w:rPr>
              <w:t> </w:t>
            </w:r>
          </w:p>
        </w:tc>
      </w:tr>
      <w:tr w:rsidR="00FD749E" w:rsidRPr="006C55AB" w14:paraId="46923E7D"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321DA8D"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177C" w14:textId="77777777" w:rsidR="00FD749E" w:rsidRPr="006C55AB" w:rsidRDefault="00FD749E" w:rsidP="009F491D">
            <w:pPr>
              <w:spacing w:after="0"/>
              <w:rPr>
                <w:rFonts w:cstheme="maj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B5BB"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hyperlink r:id="rId26" w:history="1">
              <w:r w:rsidRPr="006C55AB">
                <w:rPr>
                  <w:rStyle w:val="Hyperlink"/>
                  <w:rFonts w:asciiTheme="minorHAnsi" w:hAnsiTheme="minorHAnsi" w:cstheme="maj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9DEC"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A6283"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Emissions</w:t>
            </w:r>
            <w:r w:rsidRPr="006C55AB">
              <w:rPr>
                <w:rFonts w:asciiTheme="minorHAnsi" w:hAnsiTheme="minorHAnsi" w:cstheme="majorHAnsi"/>
                <w:color w:val="000000"/>
                <w:sz w:val="20"/>
                <w:szCs w:val="20"/>
              </w:rPr>
              <w:t xml:space="preserve"> - Minnesota’s GHG Inventory</w:t>
            </w:r>
          </w:p>
        </w:tc>
      </w:tr>
      <w:tr w:rsidR="00FD749E" w:rsidRPr="006C55AB" w14:paraId="43705A0E"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737427D6"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92232"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AFE8"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hyperlink r:id="rId27" w:history="1">
              <w:r w:rsidRPr="006C55AB">
                <w:rPr>
                  <w:rStyle w:val="Hyperlink"/>
                  <w:rFonts w:asciiTheme="minorHAnsi" w:hAnsiTheme="minorHAnsi" w:cstheme="maj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25A7"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No scaling needed. NREL reports miles by vehicle type and total energy use by fuel type in MN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F77B8"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b/>
                <w:bCs/>
                <w:color w:val="000000"/>
                <w:sz w:val="20"/>
                <w:szCs w:val="20"/>
              </w:rPr>
              <w:t xml:space="preserve">Emissions - </w:t>
            </w:r>
            <w:r w:rsidRPr="006C55AB">
              <w:rPr>
                <w:rFonts w:asciiTheme="minorHAnsi" w:hAnsiTheme="minorHAnsi" w:cstheme="majorHAnsi"/>
                <w:color w:val="000000"/>
                <w:sz w:val="20"/>
                <w:szCs w:val="20"/>
              </w:rPr>
              <w:t>EPA “</w:t>
            </w:r>
            <w:hyperlink r:id="rId28" w:history="1">
              <w:r w:rsidRPr="006C55AB">
                <w:rPr>
                  <w:rStyle w:val="Hyperlink"/>
                  <w:rFonts w:asciiTheme="minorHAnsi" w:hAnsiTheme="minorHAnsi" w:cstheme="majorHAnsi"/>
                  <w:color w:val="1155CC"/>
                  <w:sz w:val="20"/>
                  <w:szCs w:val="20"/>
                </w:rPr>
                <w:t>State CO2 Emissions from Fossil Fuel Combustion, 1990-2017</w:t>
              </w:r>
            </w:hyperlink>
            <w:r w:rsidRPr="006C55AB">
              <w:rPr>
                <w:rFonts w:asciiTheme="minorHAnsi" w:hAnsiTheme="minorHAnsi" w:cstheme="majorHAnsi"/>
                <w:color w:val="000000"/>
                <w:sz w:val="20"/>
                <w:szCs w:val="20"/>
              </w:rPr>
              <w:t>” &amp;</w:t>
            </w:r>
          </w:p>
          <w:p w14:paraId="5310B804" w14:textId="77777777" w:rsidR="00FD749E" w:rsidRPr="006C55AB" w:rsidRDefault="00FD749E" w:rsidP="009F491D">
            <w:pPr>
              <w:pStyle w:val="NormalWeb"/>
              <w:spacing w:before="0" w:beforeAutospacing="0" w:after="0" w:afterAutospacing="0"/>
              <w:rPr>
                <w:rFonts w:asciiTheme="minorHAnsi" w:hAnsiTheme="minorHAnsi" w:cstheme="majorHAnsi"/>
                <w:sz w:val="20"/>
                <w:szCs w:val="20"/>
              </w:rPr>
            </w:pPr>
            <w:r w:rsidRPr="006C55AB">
              <w:rPr>
                <w:rFonts w:asciiTheme="minorHAnsi" w:hAnsiTheme="minorHAnsi" w:cstheme="majorHAnsi"/>
                <w:color w:val="000000"/>
                <w:sz w:val="20"/>
                <w:szCs w:val="20"/>
              </w:rPr>
              <w:t>AEO “</w:t>
            </w:r>
            <w:hyperlink r:id="rId29" w:history="1">
              <w:r w:rsidRPr="006C55AB">
                <w:rPr>
                  <w:rStyle w:val="Hyperlink"/>
                  <w:rFonts w:asciiTheme="minorHAnsi" w:hAnsiTheme="minorHAnsi" w:cstheme="majorHAnsi"/>
                  <w:color w:val="1155CC"/>
                  <w:sz w:val="20"/>
                  <w:szCs w:val="20"/>
                </w:rPr>
                <w:t>State CO2 Emissions from Fossil Fuel Combustion</w:t>
              </w:r>
            </w:hyperlink>
            <w:r w:rsidRPr="006C55AB">
              <w:rPr>
                <w:rFonts w:asciiTheme="minorHAnsi" w:hAnsiTheme="minorHAnsi" w:cstheme="majorHAnsi"/>
                <w:color w:val="000000"/>
                <w:sz w:val="20"/>
                <w:szCs w:val="20"/>
              </w:rPr>
              <w:t>” &amp; Minnesota’s GHG Inventory</w:t>
            </w:r>
          </w:p>
        </w:tc>
      </w:tr>
    </w:tbl>
    <w:p w14:paraId="75297820" w14:textId="542D5367" w:rsidR="005F42D8" w:rsidRPr="006C55AB" w:rsidRDefault="005F42D8" w:rsidP="005F42D8">
      <w:pPr>
        <w:pStyle w:val="Heading1"/>
        <w:rPr>
          <w:rFonts w:asciiTheme="minorHAnsi" w:hAnsiTheme="minorHAnsi"/>
          <w:sz w:val="28"/>
          <w:szCs w:val="28"/>
        </w:rPr>
      </w:pPr>
      <w:r w:rsidRPr="006C55AB">
        <w:rPr>
          <w:rFonts w:asciiTheme="minorHAnsi" w:hAnsiTheme="minorHAnsi"/>
          <w:sz w:val="28"/>
          <w:szCs w:val="28"/>
        </w:rPr>
        <w:t xml:space="preserve">Policies </w:t>
      </w:r>
      <w:r w:rsidR="00457BD3" w:rsidRPr="006C55AB">
        <w:rPr>
          <w:rFonts w:asciiTheme="minorHAnsi" w:hAnsiTheme="minorHAnsi"/>
          <w:sz w:val="28"/>
          <w:szCs w:val="28"/>
        </w:rPr>
        <w:t xml:space="preserve">Included </w:t>
      </w:r>
      <w:r w:rsidRPr="006C55AB">
        <w:rPr>
          <w:rFonts w:asciiTheme="minorHAnsi" w:hAnsiTheme="minorHAnsi"/>
          <w:sz w:val="28"/>
          <w:szCs w:val="28"/>
        </w:rPr>
        <w:t>in the Business-as-Usual</w:t>
      </w:r>
      <w:r w:rsidR="009A35C8" w:rsidRPr="006C55AB">
        <w:rPr>
          <w:rFonts w:asciiTheme="minorHAnsi" w:hAnsiTheme="minorHAnsi"/>
          <w:sz w:val="28"/>
          <w:szCs w:val="28"/>
        </w:rPr>
        <w:t xml:space="preserve">, </w:t>
      </w:r>
      <w:r w:rsidRPr="006C55AB">
        <w:rPr>
          <w:rFonts w:asciiTheme="minorHAnsi" w:hAnsiTheme="minorHAnsi"/>
          <w:sz w:val="28"/>
          <w:szCs w:val="28"/>
        </w:rPr>
        <w:t>Reference</w:t>
      </w:r>
      <w:r w:rsidR="009A35C8" w:rsidRPr="006C55AB">
        <w:rPr>
          <w:rFonts w:asciiTheme="minorHAnsi" w:hAnsiTheme="minorHAnsi"/>
          <w:sz w:val="28"/>
          <w:szCs w:val="28"/>
        </w:rPr>
        <w:t>, and 1.5</w:t>
      </w:r>
      <w:r w:rsidRPr="006C55AB">
        <w:rPr>
          <w:rFonts w:asciiTheme="minorHAnsi" w:hAnsiTheme="minorHAnsi"/>
          <w:sz w:val="28"/>
          <w:szCs w:val="28"/>
        </w:rPr>
        <w:t xml:space="preserve"> Scenarios</w:t>
      </w:r>
      <w:r w:rsidRPr="006C55AB">
        <w:rPr>
          <w:rFonts w:asciiTheme="minorHAnsi" w:hAnsiTheme="minorHAnsi"/>
          <w:sz w:val="28"/>
          <w:szCs w:val="28"/>
        </w:rPr>
        <w:tab/>
      </w:r>
      <w:r w:rsidRPr="006C55AB">
        <w:rPr>
          <w:rFonts w:asciiTheme="minorHAnsi" w:hAnsiTheme="minorHAnsi"/>
          <w:sz w:val="28"/>
          <w:szCs w:val="28"/>
        </w:rPr>
        <w:tab/>
      </w:r>
      <w:r w:rsidRPr="006C55AB">
        <w:rPr>
          <w:rFonts w:asciiTheme="minorHAnsi" w:hAnsiTheme="minorHAnsi"/>
          <w:sz w:val="28"/>
          <w:szCs w:val="28"/>
        </w:rPr>
        <w:tab/>
      </w:r>
      <w:r w:rsidRPr="006C55AB">
        <w:rPr>
          <w:rFonts w:asciiTheme="minorHAnsi" w:hAnsiTheme="minorHAnsi"/>
          <w:sz w:val="28"/>
          <w:szCs w:val="28"/>
        </w:rPr>
        <w:tab/>
      </w:r>
      <w:r w:rsidRPr="006C55AB">
        <w:rPr>
          <w:rFonts w:asciiTheme="minorHAnsi" w:hAnsiTheme="minorHAnsi"/>
          <w:sz w:val="28"/>
          <w:szCs w:val="28"/>
        </w:rPr>
        <w:tab/>
      </w:r>
      <w:r w:rsidRPr="006C55AB">
        <w:rPr>
          <w:rFonts w:asciiTheme="minorHAnsi" w:hAnsiTheme="minorHAnsi"/>
          <w:sz w:val="28"/>
          <w:szCs w:val="28"/>
        </w:rPr>
        <w:tab/>
      </w:r>
      <w:r w:rsidRPr="006C55AB">
        <w:rPr>
          <w:rFonts w:asciiTheme="minorHAnsi" w:hAnsiTheme="minorHAnsi"/>
          <w:sz w:val="28"/>
          <w:szCs w:val="28"/>
        </w:rPr>
        <w:tab/>
      </w:r>
      <w:r w:rsidRPr="006C55AB">
        <w:rPr>
          <w:rFonts w:asciiTheme="minorHAnsi" w:hAnsiTheme="minorHAnsi"/>
          <w:sz w:val="28"/>
          <w:szCs w:val="28"/>
        </w:rPr>
        <w:tab/>
      </w:r>
      <w:r w:rsidRPr="006C55AB">
        <w:rPr>
          <w:rFonts w:asciiTheme="minorHAnsi" w:hAnsiTheme="minorHAnsi"/>
          <w:sz w:val="28"/>
          <w:szCs w:val="28"/>
        </w:rPr>
        <w:tab/>
      </w:r>
    </w:p>
    <w:p w14:paraId="2D5C9711" w14:textId="376DC7FF" w:rsidR="00FD749E" w:rsidRPr="006C55AB" w:rsidRDefault="00FD749E" w:rsidP="00FD749E">
      <w:r w:rsidRPr="006C55AB">
        <w:t xml:space="preserve">The Minnesota EPS model includes three built-in policy scenarios. The first is a </w:t>
      </w:r>
      <w:r w:rsidRPr="006C55AB">
        <w:rPr>
          <w:b/>
          <w:bCs/>
        </w:rPr>
        <w:t>business-as-usual scenario</w:t>
      </w:r>
      <w:r w:rsidRPr="006C55AB">
        <w:t xml:space="preserve">, which represents all policy that is currently </w:t>
      </w:r>
      <w:r w:rsidR="008008BF" w:rsidRPr="006C55AB">
        <w:t xml:space="preserve">enacted in Minnesota. </w:t>
      </w:r>
      <w:r w:rsidR="002E5BA3">
        <w:t>The</w:t>
      </w:r>
      <w:r w:rsidR="008008BF" w:rsidRPr="006C55AB">
        <w:t xml:space="preserve"> </w:t>
      </w:r>
      <w:commentRangeStart w:id="0"/>
      <w:r w:rsidR="008008BF" w:rsidRPr="006C55AB">
        <w:rPr>
          <w:b/>
          <w:bCs/>
        </w:rPr>
        <w:t>reference</w:t>
      </w:r>
      <w:r w:rsidR="008008BF" w:rsidRPr="006C55AB">
        <w:t xml:space="preserve"> </w:t>
      </w:r>
      <w:commentRangeEnd w:id="0"/>
      <w:r w:rsidR="008008BF" w:rsidRPr="006C55AB">
        <w:rPr>
          <w:rStyle w:val="CommentReference"/>
        </w:rPr>
        <w:commentReference w:id="0"/>
      </w:r>
      <w:r w:rsidR="008008BF" w:rsidRPr="006C55AB">
        <w:rPr>
          <w:b/>
          <w:bCs/>
        </w:rPr>
        <w:t>scenario</w:t>
      </w:r>
      <w:r w:rsidR="008008BF" w:rsidRPr="006C55AB">
        <w:t xml:space="preserve"> includes planned policy and utility IRPs that are not yet implemented but are in progress. </w:t>
      </w:r>
      <w:r w:rsidR="00C464B8" w:rsidRPr="006C55AB">
        <w:t xml:space="preserve">Once these policies are implemented, they will become part of the </w:t>
      </w:r>
      <w:r w:rsidR="00C464B8" w:rsidRPr="006C55AB">
        <w:rPr>
          <w:b/>
          <w:bCs/>
        </w:rPr>
        <w:t>BAU</w:t>
      </w:r>
      <w:r w:rsidR="00C464B8" w:rsidRPr="006C55AB">
        <w:t xml:space="preserve"> </w:t>
      </w:r>
      <w:r w:rsidR="00C464B8" w:rsidRPr="006C55AB">
        <w:rPr>
          <w:b/>
          <w:bCs/>
        </w:rPr>
        <w:t>scenario</w:t>
      </w:r>
      <w:r w:rsidR="00C464B8" w:rsidRPr="006C55AB">
        <w:t xml:space="preserve">. </w:t>
      </w:r>
      <w:r w:rsidR="008008BF" w:rsidRPr="006C55AB">
        <w:t xml:space="preserve">The </w:t>
      </w:r>
      <w:r w:rsidR="008008BF" w:rsidRPr="006C55AB">
        <w:rPr>
          <w:b/>
          <w:bCs/>
        </w:rPr>
        <w:t>1.5 scenario</w:t>
      </w:r>
      <w:r w:rsidR="008008BF" w:rsidRPr="006C55AB">
        <w:t xml:space="preserve"> is an example of policies that would enable Minnesota to meet 2030 greenhouse gas reduction targets </w:t>
      </w:r>
      <w:r w:rsidR="00C464B8" w:rsidRPr="006C55AB">
        <w:t xml:space="preserve">that comply with global climate agreements. </w:t>
      </w:r>
      <w:r w:rsidR="0061267F" w:rsidRPr="006C55AB">
        <w:t xml:space="preserve">The table below summarizes the policies included in the BAU, reference, and 1.5 scenarios. </w:t>
      </w:r>
    </w:p>
    <w:p w14:paraId="7ED0DE85" w14:textId="3A4B18E6" w:rsidR="00D22E6C" w:rsidRPr="006C55AB" w:rsidRDefault="00480EB7" w:rsidP="00480EB7">
      <w:pPr>
        <w:pStyle w:val="Heading2"/>
        <w:rPr>
          <w:rFonts w:asciiTheme="minorHAnsi" w:hAnsiTheme="minorHAnsi"/>
        </w:rPr>
      </w:pPr>
      <w:r w:rsidRPr="006C55AB">
        <w:rPr>
          <w:rFonts w:asciiTheme="minorHAnsi" w:hAnsiTheme="minorHAnsi"/>
        </w:rPr>
        <w:t>Summary of Policy Assumptions</w:t>
      </w:r>
    </w:p>
    <w:tbl>
      <w:tblPr>
        <w:tblStyle w:val="TableGrid"/>
        <w:tblW w:w="14575" w:type="dxa"/>
        <w:tblLook w:val="04A0" w:firstRow="1" w:lastRow="0" w:firstColumn="1" w:lastColumn="0" w:noHBand="0" w:noVBand="1"/>
      </w:tblPr>
      <w:tblGrid>
        <w:gridCol w:w="2155"/>
        <w:gridCol w:w="3600"/>
        <w:gridCol w:w="3780"/>
        <w:gridCol w:w="5040"/>
      </w:tblGrid>
      <w:tr w:rsidR="009125BB" w:rsidRPr="006C55AB" w14:paraId="6560CEE9" w14:textId="77777777" w:rsidTr="00E13000">
        <w:trPr>
          <w:trHeight w:val="368"/>
        </w:trPr>
        <w:tc>
          <w:tcPr>
            <w:tcW w:w="2155" w:type="dxa"/>
            <w:shd w:val="clear" w:color="auto" w:fill="A8D08D" w:themeFill="accent6" w:themeFillTint="99"/>
            <w:vAlign w:val="center"/>
          </w:tcPr>
          <w:p w14:paraId="64B72AC9" w14:textId="77777777" w:rsidR="009125BB" w:rsidRPr="006C55AB" w:rsidRDefault="009125BB" w:rsidP="009F491D">
            <w:pPr>
              <w:pStyle w:val="NoSpacing"/>
              <w:jc w:val="center"/>
              <w:rPr>
                <w:b/>
                <w:bCs/>
                <w:sz w:val="20"/>
                <w:szCs w:val="20"/>
              </w:rPr>
            </w:pPr>
            <w:r w:rsidRPr="006C55AB">
              <w:rPr>
                <w:b/>
                <w:bCs/>
                <w:sz w:val="20"/>
                <w:szCs w:val="20"/>
              </w:rPr>
              <w:t>Sector</w:t>
            </w:r>
          </w:p>
        </w:tc>
        <w:tc>
          <w:tcPr>
            <w:tcW w:w="3600" w:type="dxa"/>
            <w:shd w:val="clear" w:color="auto" w:fill="A8D08D" w:themeFill="accent6" w:themeFillTint="99"/>
            <w:vAlign w:val="center"/>
          </w:tcPr>
          <w:p w14:paraId="61F14B7E" w14:textId="77777777" w:rsidR="009125BB" w:rsidRPr="006C55AB" w:rsidRDefault="009125BB" w:rsidP="009F491D">
            <w:pPr>
              <w:jc w:val="center"/>
              <w:rPr>
                <w:rFonts w:cstheme="majorHAnsi"/>
                <w:b/>
                <w:bCs/>
                <w:sz w:val="20"/>
                <w:szCs w:val="20"/>
              </w:rPr>
            </w:pPr>
            <w:r w:rsidRPr="006C55AB">
              <w:rPr>
                <w:rFonts w:cstheme="majorHAnsi"/>
                <w:b/>
                <w:bCs/>
                <w:sz w:val="20"/>
                <w:szCs w:val="20"/>
              </w:rPr>
              <w:t>BAU Scenario</w:t>
            </w:r>
          </w:p>
        </w:tc>
        <w:tc>
          <w:tcPr>
            <w:tcW w:w="3780" w:type="dxa"/>
            <w:shd w:val="clear" w:color="auto" w:fill="A8D08D" w:themeFill="accent6" w:themeFillTint="99"/>
            <w:vAlign w:val="center"/>
          </w:tcPr>
          <w:p w14:paraId="00E9FEE3" w14:textId="77777777" w:rsidR="009125BB" w:rsidRPr="006C55AB" w:rsidRDefault="009125BB" w:rsidP="009F491D">
            <w:pPr>
              <w:jc w:val="center"/>
              <w:rPr>
                <w:rFonts w:cstheme="majorHAnsi"/>
                <w:b/>
                <w:bCs/>
                <w:sz w:val="20"/>
                <w:szCs w:val="20"/>
              </w:rPr>
            </w:pPr>
            <w:r w:rsidRPr="006C55AB">
              <w:rPr>
                <w:rFonts w:cstheme="majorHAnsi"/>
                <w:b/>
                <w:bCs/>
                <w:sz w:val="20"/>
                <w:szCs w:val="20"/>
              </w:rPr>
              <w:t>Reference Scenario</w:t>
            </w:r>
          </w:p>
        </w:tc>
        <w:tc>
          <w:tcPr>
            <w:tcW w:w="5040" w:type="dxa"/>
            <w:shd w:val="clear" w:color="auto" w:fill="A8D08D" w:themeFill="accent6" w:themeFillTint="99"/>
            <w:vAlign w:val="center"/>
          </w:tcPr>
          <w:p w14:paraId="2BE40356" w14:textId="77777777" w:rsidR="009125BB" w:rsidRPr="006C55AB" w:rsidRDefault="009125BB" w:rsidP="009F491D">
            <w:pPr>
              <w:jc w:val="center"/>
              <w:rPr>
                <w:rFonts w:cstheme="majorHAnsi"/>
                <w:b/>
                <w:bCs/>
                <w:sz w:val="20"/>
                <w:szCs w:val="20"/>
              </w:rPr>
            </w:pPr>
            <w:commentRangeStart w:id="1"/>
            <w:r w:rsidRPr="006C55AB">
              <w:rPr>
                <w:rFonts w:cstheme="majorHAnsi"/>
                <w:b/>
                <w:bCs/>
                <w:sz w:val="20"/>
                <w:szCs w:val="20"/>
              </w:rPr>
              <w:t>2030 1.5C Targets Scenario (2030 metrics)</w:t>
            </w:r>
            <w:commentRangeEnd w:id="1"/>
            <w:r w:rsidR="003D1C5E" w:rsidRPr="006C55AB">
              <w:rPr>
                <w:rStyle w:val="CommentReference"/>
                <w:sz w:val="20"/>
                <w:szCs w:val="20"/>
              </w:rPr>
              <w:commentReference w:id="1"/>
            </w:r>
          </w:p>
        </w:tc>
      </w:tr>
      <w:tr w:rsidR="009125BB" w:rsidRPr="006C55AB" w14:paraId="1E2E1DC3" w14:textId="77777777" w:rsidTr="009F491D">
        <w:trPr>
          <w:trHeight w:val="593"/>
        </w:trPr>
        <w:tc>
          <w:tcPr>
            <w:tcW w:w="2155" w:type="dxa"/>
            <w:vAlign w:val="center"/>
          </w:tcPr>
          <w:p w14:paraId="4DEEAFBA" w14:textId="77777777" w:rsidR="009125BB" w:rsidRPr="006C55AB" w:rsidRDefault="009125BB" w:rsidP="009F491D">
            <w:pPr>
              <w:jc w:val="center"/>
              <w:rPr>
                <w:rFonts w:cstheme="majorHAnsi"/>
                <w:sz w:val="20"/>
                <w:szCs w:val="20"/>
              </w:rPr>
            </w:pPr>
            <w:r w:rsidRPr="006C55AB">
              <w:rPr>
                <w:rFonts w:cstheme="majorHAnsi"/>
                <w:sz w:val="20"/>
                <w:szCs w:val="20"/>
              </w:rPr>
              <w:t>Industry</w:t>
            </w:r>
          </w:p>
        </w:tc>
        <w:tc>
          <w:tcPr>
            <w:tcW w:w="3600" w:type="dxa"/>
            <w:vAlign w:val="center"/>
          </w:tcPr>
          <w:p w14:paraId="58D84417"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Assumes equipment performance improvements over time</w:t>
            </w:r>
          </w:p>
        </w:tc>
        <w:tc>
          <w:tcPr>
            <w:tcW w:w="3780" w:type="dxa"/>
            <w:vAlign w:val="center"/>
          </w:tcPr>
          <w:p w14:paraId="7BB9182B" w14:textId="77777777" w:rsidR="009125BB" w:rsidRPr="006C55AB" w:rsidRDefault="009125BB" w:rsidP="009F491D">
            <w:pPr>
              <w:rPr>
                <w:rFonts w:cstheme="majorHAnsi"/>
                <w:i/>
                <w:iCs/>
                <w:sz w:val="20"/>
                <w:szCs w:val="20"/>
              </w:rPr>
            </w:pPr>
            <w:r w:rsidRPr="006C55AB">
              <w:rPr>
                <w:rFonts w:cstheme="majorHAnsi"/>
                <w:i/>
                <w:iCs/>
                <w:sz w:val="20"/>
                <w:szCs w:val="20"/>
              </w:rPr>
              <w:t>Same as BAU</w:t>
            </w:r>
          </w:p>
        </w:tc>
        <w:tc>
          <w:tcPr>
            <w:tcW w:w="5040" w:type="dxa"/>
            <w:vAlign w:val="center"/>
          </w:tcPr>
          <w:p w14:paraId="06E12675"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8% efficiency gains in all industries (by 2035)</w:t>
            </w:r>
          </w:p>
          <w:p w14:paraId="068CFB4C"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100$/ton carbon tax</w:t>
            </w:r>
          </w:p>
          <w:p w14:paraId="69914D33"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70% reduction of methane leakage</w:t>
            </w:r>
          </w:p>
          <w:p w14:paraId="064B9F62"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77% reduction of F-gas emissions by 2050</w:t>
            </w:r>
          </w:p>
        </w:tc>
      </w:tr>
      <w:tr w:rsidR="009125BB" w:rsidRPr="006C55AB" w14:paraId="6AD4038A" w14:textId="77777777" w:rsidTr="009F491D">
        <w:trPr>
          <w:trHeight w:val="845"/>
        </w:trPr>
        <w:tc>
          <w:tcPr>
            <w:tcW w:w="2155" w:type="dxa"/>
            <w:vAlign w:val="center"/>
          </w:tcPr>
          <w:p w14:paraId="6A388D4A" w14:textId="77777777" w:rsidR="009125BB" w:rsidRPr="006C55AB" w:rsidRDefault="009125BB" w:rsidP="009F491D">
            <w:pPr>
              <w:jc w:val="center"/>
              <w:rPr>
                <w:rFonts w:cstheme="majorHAnsi"/>
                <w:sz w:val="20"/>
                <w:szCs w:val="20"/>
              </w:rPr>
            </w:pPr>
            <w:r w:rsidRPr="006C55AB">
              <w:rPr>
                <w:rFonts w:cstheme="majorHAnsi"/>
                <w:sz w:val="20"/>
                <w:szCs w:val="20"/>
              </w:rPr>
              <w:t>Electricity</w:t>
            </w:r>
          </w:p>
        </w:tc>
        <w:tc>
          <w:tcPr>
            <w:tcW w:w="3600" w:type="dxa"/>
            <w:vAlign w:val="center"/>
          </w:tcPr>
          <w:p w14:paraId="16914CB7"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Assumes all currently planned retirements are completed on time</w:t>
            </w:r>
          </w:p>
          <w:p w14:paraId="5F38D37B" w14:textId="732B3E0E" w:rsidR="009125BB" w:rsidRPr="006C55AB" w:rsidRDefault="003D1C5E" w:rsidP="009125BB">
            <w:pPr>
              <w:pStyle w:val="ListParagraph"/>
              <w:numPr>
                <w:ilvl w:val="0"/>
                <w:numId w:val="10"/>
              </w:numPr>
              <w:rPr>
                <w:rFonts w:cstheme="majorHAnsi"/>
                <w:sz w:val="20"/>
                <w:szCs w:val="20"/>
              </w:rPr>
            </w:pPr>
            <w:r w:rsidRPr="006C55AB">
              <w:rPr>
                <w:rFonts w:cstheme="majorHAnsi"/>
                <w:sz w:val="20"/>
                <w:szCs w:val="20"/>
              </w:rPr>
              <w:t xml:space="preserve">Assumes nuclear plants are retired at the end of their existing licenses </w:t>
            </w:r>
          </w:p>
        </w:tc>
        <w:tc>
          <w:tcPr>
            <w:tcW w:w="3780" w:type="dxa"/>
            <w:vAlign w:val="center"/>
          </w:tcPr>
          <w:p w14:paraId="22160F12"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Implements Xcel’s 2019 Integrated Resource Plan (IRP)</w:t>
            </w:r>
          </w:p>
        </w:tc>
        <w:tc>
          <w:tcPr>
            <w:tcW w:w="5040" w:type="dxa"/>
            <w:vAlign w:val="center"/>
          </w:tcPr>
          <w:p w14:paraId="434CE2E8" w14:textId="77777777" w:rsidR="009125BB" w:rsidRPr="006C55AB" w:rsidRDefault="009125BB" w:rsidP="009125BB">
            <w:pPr>
              <w:pStyle w:val="ListParagraph"/>
              <w:numPr>
                <w:ilvl w:val="0"/>
                <w:numId w:val="9"/>
              </w:numPr>
              <w:rPr>
                <w:rFonts w:cstheme="majorHAnsi"/>
                <w:sz w:val="20"/>
                <w:szCs w:val="20"/>
              </w:rPr>
            </w:pPr>
            <w:r w:rsidRPr="006C55AB">
              <w:rPr>
                <w:rFonts w:cstheme="majorHAnsi"/>
                <w:sz w:val="20"/>
                <w:szCs w:val="20"/>
              </w:rPr>
              <w:t>90% Clean Energy Standard</w:t>
            </w:r>
          </w:p>
          <w:p w14:paraId="77A9AF0D" w14:textId="77777777" w:rsidR="009125BB" w:rsidRPr="006C55AB" w:rsidRDefault="009125BB" w:rsidP="009125BB">
            <w:pPr>
              <w:pStyle w:val="ListParagraph"/>
              <w:numPr>
                <w:ilvl w:val="0"/>
                <w:numId w:val="9"/>
              </w:numPr>
              <w:rPr>
                <w:rFonts w:cstheme="majorHAnsi"/>
                <w:sz w:val="20"/>
                <w:szCs w:val="20"/>
              </w:rPr>
            </w:pPr>
            <w:r w:rsidRPr="006C55AB">
              <w:rPr>
                <w:rFonts w:cstheme="majorHAnsi"/>
                <w:sz w:val="20"/>
                <w:szCs w:val="20"/>
              </w:rPr>
              <w:t>$100/ton carbon tax</w:t>
            </w:r>
          </w:p>
          <w:p w14:paraId="43AD7E95" w14:textId="77777777" w:rsidR="009125BB" w:rsidRPr="006C55AB" w:rsidRDefault="009125BB" w:rsidP="009125BB">
            <w:pPr>
              <w:pStyle w:val="ListParagraph"/>
              <w:numPr>
                <w:ilvl w:val="0"/>
                <w:numId w:val="9"/>
              </w:numPr>
              <w:rPr>
                <w:rFonts w:cstheme="majorHAnsi"/>
                <w:sz w:val="20"/>
                <w:szCs w:val="20"/>
              </w:rPr>
            </w:pPr>
            <w:r w:rsidRPr="006C55AB">
              <w:rPr>
                <w:rFonts w:cstheme="majorHAnsi"/>
                <w:sz w:val="20"/>
                <w:szCs w:val="20"/>
              </w:rPr>
              <w:t>Increase demand response and transmission</w:t>
            </w:r>
          </w:p>
          <w:p w14:paraId="71DDF384" w14:textId="77777777" w:rsidR="009125BB" w:rsidRPr="006C55AB" w:rsidRDefault="009125BB" w:rsidP="009125BB">
            <w:pPr>
              <w:pStyle w:val="ListParagraph"/>
              <w:numPr>
                <w:ilvl w:val="0"/>
                <w:numId w:val="9"/>
              </w:numPr>
              <w:rPr>
                <w:rFonts w:cstheme="majorHAnsi"/>
                <w:sz w:val="20"/>
                <w:szCs w:val="20"/>
              </w:rPr>
            </w:pPr>
            <w:r w:rsidRPr="006C55AB">
              <w:rPr>
                <w:rFonts w:cstheme="majorHAnsi"/>
                <w:sz w:val="20"/>
                <w:szCs w:val="20"/>
              </w:rPr>
              <w:t>No new natural gas plants after 2030</w:t>
            </w:r>
          </w:p>
        </w:tc>
      </w:tr>
      <w:tr w:rsidR="009125BB" w:rsidRPr="006C55AB" w14:paraId="27B46274" w14:textId="77777777" w:rsidTr="009F491D">
        <w:trPr>
          <w:trHeight w:val="710"/>
        </w:trPr>
        <w:tc>
          <w:tcPr>
            <w:tcW w:w="2155" w:type="dxa"/>
            <w:vAlign w:val="center"/>
          </w:tcPr>
          <w:p w14:paraId="6298B73F" w14:textId="77777777" w:rsidR="009125BB" w:rsidRPr="006C55AB" w:rsidRDefault="009125BB" w:rsidP="009F491D">
            <w:pPr>
              <w:jc w:val="center"/>
              <w:rPr>
                <w:rFonts w:cstheme="majorHAnsi"/>
                <w:sz w:val="20"/>
                <w:szCs w:val="20"/>
              </w:rPr>
            </w:pPr>
            <w:r w:rsidRPr="006C55AB">
              <w:rPr>
                <w:rFonts w:cstheme="majorHAnsi"/>
                <w:sz w:val="20"/>
                <w:szCs w:val="20"/>
              </w:rPr>
              <w:t>Buildings</w:t>
            </w:r>
          </w:p>
        </w:tc>
        <w:tc>
          <w:tcPr>
            <w:tcW w:w="3600" w:type="dxa"/>
            <w:vAlign w:val="center"/>
          </w:tcPr>
          <w:p w14:paraId="17BADE4E" w14:textId="77777777" w:rsidR="009125BB" w:rsidRPr="006C55AB" w:rsidRDefault="009125BB" w:rsidP="009125BB">
            <w:pPr>
              <w:pStyle w:val="ListParagraph"/>
              <w:numPr>
                <w:ilvl w:val="0"/>
                <w:numId w:val="10"/>
              </w:numPr>
              <w:rPr>
                <w:rStyle w:val="normaltextrun"/>
                <w:rFonts w:cstheme="majorHAnsi"/>
                <w:sz w:val="20"/>
                <w:szCs w:val="20"/>
              </w:rPr>
            </w:pPr>
            <w:r w:rsidRPr="006C55AB">
              <w:rPr>
                <w:rFonts w:cstheme="majorHAnsi"/>
                <w:sz w:val="20"/>
                <w:szCs w:val="20"/>
              </w:rPr>
              <w:t>Assumes equipment performance improvements over time</w:t>
            </w:r>
          </w:p>
        </w:tc>
        <w:tc>
          <w:tcPr>
            <w:tcW w:w="3780" w:type="dxa"/>
            <w:vAlign w:val="center"/>
          </w:tcPr>
          <w:p w14:paraId="76EF17D2"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Includes energy efficiency savings included in Xcel’s IRP</w:t>
            </w:r>
          </w:p>
        </w:tc>
        <w:tc>
          <w:tcPr>
            <w:tcW w:w="5040" w:type="dxa"/>
            <w:vAlign w:val="center"/>
          </w:tcPr>
          <w:p w14:paraId="4D71CA0D" w14:textId="77777777" w:rsidR="009125BB" w:rsidRPr="006C55AB" w:rsidRDefault="009125BB" w:rsidP="009125BB">
            <w:pPr>
              <w:pStyle w:val="ListParagraph"/>
              <w:numPr>
                <w:ilvl w:val="0"/>
                <w:numId w:val="9"/>
              </w:numPr>
              <w:rPr>
                <w:rFonts w:cstheme="majorHAnsi"/>
                <w:sz w:val="20"/>
                <w:szCs w:val="20"/>
              </w:rPr>
            </w:pPr>
            <w:r w:rsidRPr="006C55AB">
              <w:rPr>
                <w:rFonts w:cstheme="majorHAnsi"/>
                <w:sz w:val="20"/>
                <w:szCs w:val="20"/>
              </w:rPr>
              <w:t>All new appliance sales are electric</w:t>
            </w:r>
          </w:p>
          <w:p w14:paraId="21612AD1"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Retrofit 25% of existing buildings</w:t>
            </w:r>
          </w:p>
        </w:tc>
      </w:tr>
      <w:tr w:rsidR="009125BB" w:rsidRPr="006C55AB" w14:paraId="3A2AB198" w14:textId="77777777" w:rsidTr="009F491D">
        <w:trPr>
          <w:trHeight w:val="1088"/>
        </w:trPr>
        <w:tc>
          <w:tcPr>
            <w:tcW w:w="2155" w:type="dxa"/>
            <w:vAlign w:val="center"/>
          </w:tcPr>
          <w:p w14:paraId="4E31BD67" w14:textId="77777777" w:rsidR="009125BB" w:rsidRPr="006C55AB" w:rsidRDefault="009125BB" w:rsidP="009F491D">
            <w:pPr>
              <w:jc w:val="center"/>
              <w:rPr>
                <w:rFonts w:cstheme="majorHAnsi"/>
                <w:sz w:val="20"/>
                <w:szCs w:val="20"/>
              </w:rPr>
            </w:pPr>
            <w:r w:rsidRPr="006C55AB">
              <w:rPr>
                <w:rFonts w:cstheme="majorHAnsi"/>
                <w:sz w:val="20"/>
                <w:szCs w:val="20"/>
              </w:rPr>
              <w:t>On-Road Transportation</w:t>
            </w:r>
          </w:p>
        </w:tc>
        <w:tc>
          <w:tcPr>
            <w:tcW w:w="3600" w:type="dxa"/>
            <w:vAlign w:val="center"/>
          </w:tcPr>
          <w:p w14:paraId="653BFA46"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Includes 2012 Federal Corporate Average Fuel Economy Standards (CAFE) standards</w:t>
            </w:r>
          </w:p>
          <w:p w14:paraId="48FD31CF"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Federal EV subsidies</w:t>
            </w:r>
          </w:p>
          <w:p w14:paraId="346CBEFF"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Economic adoption of EVs</w:t>
            </w:r>
          </w:p>
        </w:tc>
        <w:tc>
          <w:tcPr>
            <w:tcW w:w="3780" w:type="dxa"/>
            <w:vAlign w:val="center"/>
          </w:tcPr>
          <w:p w14:paraId="4AE80C96" w14:textId="77777777" w:rsidR="009125BB" w:rsidRPr="006C55AB" w:rsidRDefault="009125BB" w:rsidP="009F491D">
            <w:pPr>
              <w:rPr>
                <w:rFonts w:cstheme="majorHAnsi"/>
                <w:i/>
                <w:iCs/>
                <w:sz w:val="20"/>
                <w:szCs w:val="20"/>
              </w:rPr>
            </w:pPr>
            <w:r w:rsidRPr="006C55AB">
              <w:rPr>
                <w:rFonts w:cstheme="majorHAnsi"/>
                <w:i/>
                <w:iCs/>
                <w:sz w:val="20"/>
                <w:szCs w:val="20"/>
              </w:rPr>
              <w:t>Same as BAU</w:t>
            </w:r>
          </w:p>
        </w:tc>
        <w:tc>
          <w:tcPr>
            <w:tcW w:w="5040" w:type="dxa"/>
            <w:vAlign w:val="center"/>
          </w:tcPr>
          <w:p w14:paraId="4337A910"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100% new light duty vehicles &amp; buses are electric</w:t>
            </w:r>
          </w:p>
          <w:p w14:paraId="495DAB18"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40% of all new freight HDVs electric and 20% hydrogen</w:t>
            </w:r>
          </w:p>
          <w:p w14:paraId="2979A138"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 xml:space="preserve">13% reduction of vehicles miles traveled </w:t>
            </w:r>
            <w:r w:rsidRPr="006C55AB">
              <w:rPr>
                <w:rFonts w:cstheme="majorHAnsi"/>
                <w:sz w:val="20"/>
                <w:szCs w:val="20"/>
                <w:highlight w:val="yellow"/>
              </w:rPr>
              <w:t>from 2020 levels</w:t>
            </w:r>
          </w:p>
        </w:tc>
      </w:tr>
      <w:tr w:rsidR="003D1C5E" w:rsidRPr="006C55AB" w14:paraId="637B59D6" w14:textId="77777777" w:rsidTr="003D1C5E">
        <w:trPr>
          <w:trHeight w:val="800"/>
        </w:trPr>
        <w:tc>
          <w:tcPr>
            <w:tcW w:w="2155" w:type="dxa"/>
            <w:vAlign w:val="center"/>
          </w:tcPr>
          <w:p w14:paraId="12EBDC4E" w14:textId="77777777" w:rsidR="003D1C5E" w:rsidRPr="006C55AB" w:rsidRDefault="003D1C5E" w:rsidP="009F491D">
            <w:pPr>
              <w:jc w:val="center"/>
              <w:rPr>
                <w:rFonts w:cstheme="majorHAnsi"/>
                <w:sz w:val="20"/>
                <w:szCs w:val="20"/>
              </w:rPr>
            </w:pPr>
            <w:r w:rsidRPr="006C55AB">
              <w:rPr>
                <w:rFonts w:cstheme="majorHAnsi"/>
                <w:sz w:val="20"/>
                <w:szCs w:val="20"/>
              </w:rPr>
              <w:lastRenderedPageBreak/>
              <w:t>Land use/Agriculture</w:t>
            </w:r>
          </w:p>
        </w:tc>
        <w:tc>
          <w:tcPr>
            <w:tcW w:w="3600" w:type="dxa"/>
            <w:vAlign w:val="center"/>
          </w:tcPr>
          <w:p w14:paraId="7D6F45C5" w14:textId="77777777" w:rsidR="003D1C5E" w:rsidRPr="006C55AB" w:rsidRDefault="003D1C5E" w:rsidP="009125BB">
            <w:pPr>
              <w:pStyle w:val="ListParagraph"/>
              <w:numPr>
                <w:ilvl w:val="0"/>
                <w:numId w:val="10"/>
              </w:numPr>
              <w:rPr>
                <w:rFonts w:cstheme="majorHAnsi"/>
                <w:sz w:val="20"/>
                <w:szCs w:val="20"/>
              </w:rPr>
            </w:pPr>
            <w:r w:rsidRPr="006C55AB">
              <w:rPr>
                <w:rFonts w:cstheme="majorHAnsi"/>
                <w:sz w:val="20"/>
                <w:szCs w:val="20"/>
              </w:rPr>
              <w:t>Agriculture, biomass, and forestry projections</w:t>
            </w:r>
          </w:p>
        </w:tc>
        <w:tc>
          <w:tcPr>
            <w:tcW w:w="3780" w:type="dxa"/>
            <w:vAlign w:val="center"/>
          </w:tcPr>
          <w:p w14:paraId="3192AA2E" w14:textId="77777777" w:rsidR="003D1C5E" w:rsidRPr="006C55AB" w:rsidRDefault="003D1C5E" w:rsidP="009F491D">
            <w:pPr>
              <w:rPr>
                <w:rFonts w:cstheme="majorHAnsi"/>
                <w:i/>
                <w:iCs/>
                <w:sz w:val="20"/>
                <w:szCs w:val="20"/>
              </w:rPr>
            </w:pPr>
            <w:r w:rsidRPr="006C55AB">
              <w:rPr>
                <w:rFonts w:cstheme="majorHAnsi"/>
                <w:i/>
                <w:iCs/>
                <w:sz w:val="20"/>
                <w:szCs w:val="20"/>
              </w:rPr>
              <w:t>Same as BAU</w:t>
            </w:r>
          </w:p>
        </w:tc>
        <w:tc>
          <w:tcPr>
            <w:tcW w:w="5040" w:type="dxa"/>
            <w:vAlign w:val="center"/>
          </w:tcPr>
          <w:p w14:paraId="30D48191" w14:textId="07751426" w:rsidR="003D1C5E" w:rsidRPr="006C55AB" w:rsidRDefault="003D1C5E" w:rsidP="009F491D">
            <w:pPr>
              <w:rPr>
                <w:rFonts w:cstheme="majorHAnsi"/>
                <w:i/>
                <w:iCs/>
                <w:sz w:val="20"/>
                <w:szCs w:val="20"/>
              </w:rPr>
            </w:pPr>
          </w:p>
        </w:tc>
      </w:tr>
      <w:tr w:rsidR="009125BB" w:rsidRPr="006C55AB" w14:paraId="6B7E65C5" w14:textId="77777777" w:rsidTr="009F491D">
        <w:trPr>
          <w:trHeight w:val="440"/>
        </w:trPr>
        <w:tc>
          <w:tcPr>
            <w:tcW w:w="2155" w:type="dxa"/>
            <w:vAlign w:val="center"/>
          </w:tcPr>
          <w:p w14:paraId="0E324F7F" w14:textId="77777777" w:rsidR="009125BB" w:rsidRPr="006C55AB" w:rsidRDefault="009125BB" w:rsidP="009F491D">
            <w:pPr>
              <w:jc w:val="center"/>
              <w:rPr>
                <w:rFonts w:cstheme="majorHAnsi"/>
                <w:sz w:val="20"/>
                <w:szCs w:val="20"/>
              </w:rPr>
            </w:pPr>
            <w:r w:rsidRPr="006C55AB">
              <w:rPr>
                <w:rFonts w:cstheme="majorHAnsi"/>
                <w:sz w:val="20"/>
                <w:szCs w:val="20"/>
              </w:rPr>
              <w:t>Imports/Exports</w:t>
            </w:r>
          </w:p>
        </w:tc>
        <w:tc>
          <w:tcPr>
            <w:tcW w:w="3600" w:type="dxa"/>
            <w:vAlign w:val="center"/>
          </w:tcPr>
          <w:p w14:paraId="3B206C11"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Imported electricity emissions held constant</w:t>
            </w:r>
          </w:p>
        </w:tc>
        <w:tc>
          <w:tcPr>
            <w:tcW w:w="3780" w:type="dxa"/>
            <w:vAlign w:val="center"/>
          </w:tcPr>
          <w:p w14:paraId="65DE931A" w14:textId="77777777" w:rsidR="009125BB" w:rsidRPr="006C55AB" w:rsidRDefault="009125BB" w:rsidP="009F491D">
            <w:pPr>
              <w:rPr>
                <w:rFonts w:cstheme="majorHAnsi"/>
                <w:sz w:val="20"/>
                <w:szCs w:val="20"/>
              </w:rPr>
            </w:pPr>
            <w:r w:rsidRPr="006C55AB">
              <w:rPr>
                <w:rFonts w:cstheme="majorHAnsi"/>
                <w:sz w:val="20"/>
                <w:szCs w:val="20"/>
              </w:rPr>
              <w:t>Assume no reductions in production, reductions in state consumption increase exports</w:t>
            </w:r>
          </w:p>
        </w:tc>
        <w:tc>
          <w:tcPr>
            <w:tcW w:w="5040" w:type="dxa"/>
            <w:vAlign w:val="center"/>
          </w:tcPr>
          <w:p w14:paraId="26BE3EDD" w14:textId="77777777" w:rsidR="009125BB" w:rsidRPr="006C55AB" w:rsidRDefault="009125BB" w:rsidP="009125BB">
            <w:pPr>
              <w:pStyle w:val="ListParagraph"/>
              <w:numPr>
                <w:ilvl w:val="0"/>
                <w:numId w:val="10"/>
              </w:numPr>
              <w:rPr>
                <w:rFonts w:cstheme="majorHAnsi"/>
                <w:sz w:val="20"/>
                <w:szCs w:val="20"/>
              </w:rPr>
            </w:pPr>
            <w:r w:rsidRPr="006C55AB">
              <w:rPr>
                <w:rFonts w:cstheme="majorHAnsi"/>
                <w:sz w:val="20"/>
                <w:szCs w:val="20"/>
              </w:rPr>
              <w:t>Reduce imports from coal and gas plants</w:t>
            </w:r>
          </w:p>
        </w:tc>
      </w:tr>
    </w:tbl>
    <w:p w14:paraId="19CCE699" w14:textId="374F8D4C" w:rsidR="009125BB" w:rsidRPr="006C55AB" w:rsidRDefault="009125BB" w:rsidP="00D22E6C"/>
    <w:p w14:paraId="01EC6C90" w14:textId="2A5CFF50" w:rsidR="00457BD3" w:rsidRPr="006C55AB" w:rsidRDefault="00480EB7" w:rsidP="00480EB7">
      <w:pPr>
        <w:pStyle w:val="Heading2"/>
        <w:rPr>
          <w:rFonts w:asciiTheme="minorHAnsi" w:hAnsiTheme="minorHAnsi"/>
        </w:rPr>
      </w:pPr>
      <w:r w:rsidRPr="006C55AB">
        <w:rPr>
          <w:rFonts w:asciiTheme="minorHAnsi" w:hAnsiTheme="minorHAnsi"/>
        </w:rPr>
        <w:t xml:space="preserve">Detailed </w:t>
      </w:r>
      <w:r w:rsidR="00457BD3" w:rsidRPr="006C55AB">
        <w:rPr>
          <w:rFonts w:asciiTheme="minorHAnsi" w:hAnsiTheme="minorHAnsi"/>
        </w:rPr>
        <w:t xml:space="preserve">Policy Assumptions in the </w:t>
      </w:r>
      <w:r w:rsidR="009A35C8" w:rsidRPr="006C55AB">
        <w:rPr>
          <w:rFonts w:asciiTheme="minorHAnsi" w:hAnsiTheme="minorHAnsi"/>
        </w:rPr>
        <w:t>BAU</w:t>
      </w:r>
      <w:r w:rsidR="00457BD3" w:rsidRPr="006C55AB">
        <w:rPr>
          <w:rFonts w:asciiTheme="minorHAnsi" w:hAnsiTheme="minorHAnsi"/>
        </w:rPr>
        <w:t xml:space="preserve"> Case </w:t>
      </w:r>
    </w:p>
    <w:p w14:paraId="6D328165" w14:textId="77777777" w:rsidR="00480EB7" w:rsidRPr="006C55AB" w:rsidRDefault="001014E5" w:rsidP="00480EB7">
      <w:pPr>
        <w:pStyle w:val="Heading3"/>
      </w:pPr>
      <w:r w:rsidRPr="006C55AB">
        <w:t>Buildings</w:t>
      </w:r>
    </w:p>
    <w:p w14:paraId="6890DD90" w14:textId="5924A09D" w:rsidR="001014E5" w:rsidRPr="006C55AB" w:rsidRDefault="001014E5" w:rsidP="00480EB7">
      <w:pPr>
        <w:pStyle w:val="ListParagraph"/>
        <w:numPr>
          <w:ilvl w:val="0"/>
          <w:numId w:val="10"/>
        </w:numPr>
      </w:pPr>
      <w:r w:rsidRPr="006C55AB">
        <w:rPr>
          <w:b/>
          <w:bCs/>
        </w:rPr>
        <w:t>Energy efficiency</w:t>
      </w:r>
      <w:r w:rsidR="00480EB7" w:rsidRPr="006C55AB">
        <w:rPr>
          <w:b/>
          <w:bCs/>
        </w:rPr>
        <w:t>:</w:t>
      </w:r>
      <w:r w:rsidR="00480EB7" w:rsidRPr="006C55AB">
        <w:t xml:space="preserve"> </w:t>
      </w:r>
      <w:r w:rsidRPr="006C55AB">
        <w:t xml:space="preserve">BAU data includes some endogenous improvement in equipment performance based on external market data (as described </w:t>
      </w:r>
      <w:hyperlink r:id="rId34" w:history="1">
        <w:r w:rsidRPr="006C55AB">
          <w:rPr>
            <w:rStyle w:val="Hyperlink"/>
            <w:rFonts w:cstheme="majorHAnsi"/>
            <w:sz w:val="21"/>
            <w:szCs w:val="21"/>
          </w:rPr>
          <w:t>here</w:t>
        </w:r>
      </w:hyperlink>
      <w:r w:rsidRPr="006C55AB">
        <w:t xml:space="preserve">). It is unclear which, if any, EE policies are explicitly included. Minnesota’s EE policies are </w:t>
      </w:r>
      <w:r w:rsidRPr="006C55AB">
        <w:rPr>
          <w:b/>
          <w:u w:val="single"/>
        </w:rPr>
        <w:t>not</w:t>
      </w:r>
      <w:r w:rsidRPr="006C55AB">
        <w:t xml:space="preserve"> explicitly modeled, included things like building rebates.</w:t>
      </w:r>
    </w:p>
    <w:p w14:paraId="1890BB5A" w14:textId="77777777" w:rsidR="001014E5" w:rsidRPr="006C55AB" w:rsidRDefault="001014E5" w:rsidP="00480EB7">
      <w:pPr>
        <w:pStyle w:val="Heading3"/>
      </w:pPr>
      <w:r w:rsidRPr="006C55AB">
        <w:t>Transportation</w:t>
      </w:r>
    </w:p>
    <w:p w14:paraId="5D0587AB" w14:textId="77777777" w:rsidR="00480EB7" w:rsidRPr="006C55AB" w:rsidRDefault="001014E5" w:rsidP="00480EB7">
      <w:pPr>
        <w:pStyle w:val="ListParagraph"/>
        <w:numPr>
          <w:ilvl w:val="0"/>
          <w:numId w:val="10"/>
        </w:numPr>
      </w:pPr>
      <w:r w:rsidRPr="006C55AB">
        <w:rPr>
          <w:b/>
          <w:bCs/>
        </w:rPr>
        <w:t>Fuel efficiency</w:t>
      </w:r>
      <w:r w:rsidR="00480EB7" w:rsidRPr="006C55AB">
        <w:rPr>
          <w:b/>
          <w:bCs/>
        </w:rPr>
        <w:t>:</w:t>
      </w:r>
      <w:r w:rsidR="00480EB7" w:rsidRPr="006C55AB">
        <w:t xml:space="preserve"> </w:t>
      </w:r>
      <w:r w:rsidRPr="006C55AB">
        <w:t xml:space="preserve">Includes Corporate Average Fuel Economy Standards (CAFE) including the 2021-2025 phase 2 standards. Full text from </w:t>
      </w:r>
      <w:hyperlink r:id="rId35" w:history="1">
        <w:r w:rsidRPr="006C55AB">
          <w:rPr>
            <w:rStyle w:val="Hyperlink"/>
            <w:rFonts w:cstheme="majorHAnsi"/>
            <w:sz w:val="21"/>
            <w:szCs w:val="21"/>
          </w:rPr>
          <w:t>AEO</w:t>
        </w:r>
      </w:hyperlink>
      <w:r w:rsidRPr="006C55AB">
        <w:t>: CAFE standards are increased for model years 2011 through 2016 to meet the final CAFE rulemakings for model years 2011 and 2012 to 2016. CAFE standards are increased for model years 2017 to 2025 to meet final CAFE joint rulemakings for model year 2017 to 2021 and to meet augural CAFE standards for model year 2022 to 2025, which will undergo a midterm evaluation to finalize. CAFE standards are held constant through the end of the projection period.</w:t>
      </w:r>
      <w:r w:rsidR="00480EB7" w:rsidRPr="006C55AB">
        <w:t xml:space="preserve"> </w:t>
      </w:r>
      <w:r w:rsidRPr="006C55AB">
        <w:t>Includes Phase I and Phase II standards for HDVs. Full text from AEO: 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p>
    <w:p w14:paraId="6479B3C1" w14:textId="77777777" w:rsidR="009A35C8" w:rsidRPr="006C55AB" w:rsidRDefault="001014E5" w:rsidP="00480EB7">
      <w:pPr>
        <w:pStyle w:val="ListParagraph"/>
        <w:numPr>
          <w:ilvl w:val="0"/>
          <w:numId w:val="10"/>
        </w:numPr>
      </w:pPr>
      <w:r w:rsidRPr="006C55AB">
        <w:rPr>
          <w:b/>
          <w:bCs/>
        </w:rPr>
        <w:t>EV subsidies</w:t>
      </w:r>
      <w:r w:rsidR="00480EB7" w:rsidRPr="006C55AB">
        <w:rPr>
          <w:b/>
          <w:bCs/>
        </w:rPr>
        <w:t xml:space="preserve">: </w:t>
      </w:r>
      <w:r w:rsidRPr="006C55AB">
        <w:t>Includes federal subsidies for EVs, weighted based on available credits and model availability.</w:t>
      </w:r>
    </w:p>
    <w:p w14:paraId="463710F6" w14:textId="77777777" w:rsidR="009A35C8" w:rsidRPr="006C55AB" w:rsidRDefault="001014E5" w:rsidP="009A35C8">
      <w:pPr>
        <w:rPr>
          <w:b/>
          <w:bCs/>
        </w:rPr>
      </w:pPr>
      <w:r w:rsidRPr="006C55AB">
        <w:rPr>
          <w:b/>
          <w:bCs/>
        </w:rPr>
        <w:t>Industry</w:t>
      </w:r>
    </w:p>
    <w:p w14:paraId="3994B744" w14:textId="77777777" w:rsidR="009A35C8" w:rsidRPr="006C55AB" w:rsidRDefault="001014E5" w:rsidP="009A35C8">
      <w:pPr>
        <w:pStyle w:val="ListParagraph"/>
        <w:numPr>
          <w:ilvl w:val="0"/>
          <w:numId w:val="10"/>
        </w:numPr>
      </w:pPr>
      <w:r w:rsidRPr="006C55AB">
        <w:rPr>
          <w:b/>
          <w:bCs/>
        </w:rPr>
        <w:t>Non-energy emissions</w:t>
      </w:r>
      <w:r w:rsidR="009A35C8" w:rsidRPr="006C55AB">
        <w:rPr>
          <w:b/>
          <w:bCs/>
        </w:rPr>
        <w:t>:</w:t>
      </w:r>
      <w:r w:rsidR="009A35C8" w:rsidRPr="006C55AB">
        <w:t xml:space="preserve"> </w:t>
      </w:r>
      <w:r w:rsidRPr="006C55AB">
        <w:t>No implementation of Kigali Amendment to the Montreal Protocol.</w:t>
      </w:r>
    </w:p>
    <w:p w14:paraId="22A7F33F" w14:textId="77777777" w:rsidR="009A35C8" w:rsidRPr="006C55AB" w:rsidRDefault="001014E5" w:rsidP="009A35C8">
      <w:pPr>
        <w:pStyle w:val="ListParagraph"/>
        <w:numPr>
          <w:ilvl w:val="0"/>
          <w:numId w:val="10"/>
        </w:numPr>
      </w:pPr>
      <w:r w:rsidRPr="006C55AB">
        <w:rPr>
          <w:b/>
          <w:bCs/>
        </w:rPr>
        <w:t>Industry energy</w:t>
      </w:r>
      <w:r w:rsidR="009A35C8" w:rsidRPr="006C55AB">
        <w:rPr>
          <w:b/>
          <w:bCs/>
        </w:rPr>
        <w:t>:</w:t>
      </w:r>
      <w:r w:rsidR="009A35C8" w:rsidRPr="006C55AB">
        <w:t xml:space="preserve"> </w:t>
      </w:r>
      <w:r w:rsidRPr="006C55AB">
        <w:t xml:space="preserve">Data includes some endogenous improvement in equipment performance based on external market data (as described </w:t>
      </w:r>
      <w:hyperlink r:id="rId36" w:history="1">
        <w:r w:rsidRPr="006C55AB">
          <w:rPr>
            <w:rStyle w:val="Hyperlink"/>
            <w:rFonts w:cstheme="majorHAnsi"/>
            <w:sz w:val="21"/>
            <w:szCs w:val="21"/>
          </w:rPr>
          <w:t>here</w:t>
        </w:r>
      </w:hyperlink>
      <w:r w:rsidRPr="006C55AB">
        <w:t xml:space="preserve">). It is unclear which, if any, EE policies are explicitly included. We can assume Minnesota’s EE policies are </w:t>
      </w:r>
      <w:r w:rsidRPr="006C55AB">
        <w:rPr>
          <w:b/>
          <w:u w:val="single"/>
        </w:rPr>
        <w:t>not</w:t>
      </w:r>
      <w:r w:rsidRPr="006C55AB">
        <w:t xml:space="preserve"> explicitly modeled, included things like building rebates.</w:t>
      </w:r>
    </w:p>
    <w:p w14:paraId="1240AEB9" w14:textId="77777777" w:rsidR="009A35C8" w:rsidRPr="006C55AB" w:rsidRDefault="001014E5" w:rsidP="009A35C8">
      <w:r w:rsidRPr="006C55AB">
        <w:rPr>
          <w:b/>
          <w:bCs/>
        </w:rPr>
        <w:t>Electricity</w:t>
      </w:r>
    </w:p>
    <w:p w14:paraId="6EEF3610" w14:textId="77777777" w:rsidR="009A35C8" w:rsidRPr="006C55AB" w:rsidRDefault="001014E5" w:rsidP="009A35C8">
      <w:pPr>
        <w:pStyle w:val="ListParagraph"/>
        <w:numPr>
          <w:ilvl w:val="0"/>
          <w:numId w:val="10"/>
        </w:numPr>
      </w:pPr>
      <w:r w:rsidRPr="006C55AB">
        <w:rPr>
          <w:b/>
          <w:bCs/>
        </w:rPr>
        <w:t>Renewable portfolio standard</w:t>
      </w:r>
      <w:r w:rsidRPr="006C55AB">
        <w:t xml:space="preserve">: Minnesota’s </w:t>
      </w:r>
      <w:hyperlink r:id="rId37" w:history="1">
        <w:r w:rsidRPr="006C55AB">
          <w:rPr>
            <w:rStyle w:val="Hyperlink"/>
            <w:rFonts w:cstheme="majorHAnsi"/>
            <w:sz w:val="21"/>
            <w:szCs w:val="21"/>
          </w:rPr>
          <w:t>Renewables Portfolio Standard</w:t>
        </w:r>
      </w:hyperlink>
      <w:r w:rsidRPr="006C55AB">
        <w:t xml:space="preserve"> is included in the BAU case</w:t>
      </w:r>
    </w:p>
    <w:p w14:paraId="55B2D29D" w14:textId="1D9DF60C" w:rsidR="001014E5" w:rsidRPr="006C55AB" w:rsidRDefault="009A35C8" w:rsidP="009A35C8">
      <w:pPr>
        <w:pStyle w:val="ListParagraph"/>
        <w:numPr>
          <w:ilvl w:val="0"/>
          <w:numId w:val="10"/>
        </w:numPr>
      </w:pPr>
      <w:r w:rsidRPr="006C55AB">
        <w:rPr>
          <w:b/>
          <w:bCs/>
        </w:rPr>
        <w:t>Retirements:</w:t>
      </w:r>
      <w:r w:rsidRPr="006C55AB">
        <w:t xml:space="preserve"> </w:t>
      </w:r>
      <w:r w:rsidR="001014E5" w:rsidRPr="006C55AB">
        <w:t>Assume existing nuclear power plants are retired at the time their current permits expire (Monticello 2030 and Prairie Island 2033/34)</w:t>
      </w:r>
      <w:r w:rsidRPr="006C55AB">
        <w:t>. We</w:t>
      </w:r>
      <w:r w:rsidR="001014E5" w:rsidRPr="006C55AB">
        <w:t xml:space="preserve"> retire </w:t>
      </w:r>
      <w:proofErr w:type="spellStart"/>
      <w:r w:rsidR="001014E5" w:rsidRPr="006C55AB">
        <w:t>Sherco</w:t>
      </w:r>
      <w:proofErr w:type="spellEnd"/>
      <w:r w:rsidR="001014E5" w:rsidRPr="006C55AB">
        <w:t xml:space="preserve"> 3 in</w:t>
      </w:r>
      <w:r w:rsidRPr="006C55AB">
        <w:t xml:space="preserve"> 2034</w:t>
      </w:r>
      <w:r w:rsidR="001014E5" w:rsidRPr="006C55AB">
        <w:t xml:space="preserve"> the BAU scenario</w:t>
      </w:r>
      <w:r w:rsidRPr="006C55AB">
        <w:t>.</w:t>
      </w:r>
    </w:p>
    <w:p w14:paraId="1C97BBFE" w14:textId="4CBB6239" w:rsidR="001014E5" w:rsidRPr="006C55AB" w:rsidRDefault="009A35C8" w:rsidP="00480EB7">
      <w:pPr>
        <w:pStyle w:val="Heading2"/>
        <w:rPr>
          <w:rFonts w:asciiTheme="minorHAnsi" w:hAnsiTheme="minorHAnsi"/>
        </w:rPr>
      </w:pPr>
      <w:r w:rsidRPr="006C55AB">
        <w:rPr>
          <w:rFonts w:asciiTheme="minorHAnsi" w:hAnsiTheme="minorHAnsi"/>
        </w:rPr>
        <w:t xml:space="preserve">DETAILED </w:t>
      </w:r>
      <w:r w:rsidR="001014E5" w:rsidRPr="006C55AB">
        <w:rPr>
          <w:rFonts w:asciiTheme="minorHAnsi" w:hAnsiTheme="minorHAnsi"/>
        </w:rPr>
        <w:t xml:space="preserve">Policy Assumptions in the Reference Case </w:t>
      </w:r>
    </w:p>
    <w:p w14:paraId="0413B29A" w14:textId="77777777" w:rsidR="001014E5" w:rsidRPr="006C55AB" w:rsidRDefault="001014E5" w:rsidP="001014E5">
      <w:pPr>
        <w:rPr>
          <w:rFonts w:eastAsia="Times New Roman" w:cstheme="majorHAnsi"/>
          <w:sz w:val="21"/>
          <w:szCs w:val="21"/>
        </w:rPr>
      </w:pPr>
      <w:r w:rsidRPr="006C55AB">
        <w:rPr>
          <w:rFonts w:eastAsia="Times New Roman" w:cstheme="majorHAnsi"/>
          <w:sz w:val="21"/>
          <w:szCs w:val="21"/>
        </w:rPr>
        <w:t xml:space="preserve">The </w:t>
      </w:r>
      <w:r w:rsidRPr="006C55AB">
        <w:rPr>
          <w:rFonts w:eastAsia="Times New Roman" w:cstheme="majorHAnsi"/>
          <w:b/>
          <w:bCs/>
          <w:sz w:val="21"/>
          <w:szCs w:val="21"/>
        </w:rPr>
        <w:t xml:space="preserve">Reference </w:t>
      </w:r>
      <w:r w:rsidRPr="006C55AB">
        <w:rPr>
          <w:rFonts w:eastAsia="Times New Roman" w:cstheme="majorHAnsi"/>
          <w:sz w:val="21"/>
          <w:szCs w:val="21"/>
        </w:rPr>
        <w:t>policy scenario includes assumptions about energy efficiency and renewable energy in Xcel’s IRP.</w:t>
      </w:r>
    </w:p>
    <w:p w14:paraId="54F6D1D7" w14:textId="77777777" w:rsidR="001014E5" w:rsidRPr="006C55AB" w:rsidRDefault="001014E5" w:rsidP="009A35C8">
      <w:pPr>
        <w:rPr>
          <w:rFonts w:cstheme="majorHAnsi"/>
          <w:b/>
          <w:bCs/>
          <w:sz w:val="21"/>
          <w:szCs w:val="21"/>
        </w:rPr>
      </w:pPr>
      <w:r w:rsidRPr="006C55AB">
        <w:rPr>
          <w:b/>
          <w:bCs/>
        </w:rPr>
        <w:t>Electricity</w:t>
      </w:r>
      <w:r w:rsidRPr="006C55AB">
        <w:rPr>
          <w:rFonts w:cstheme="majorHAnsi"/>
          <w:b/>
          <w:bCs/>
          <w:sz w:val="21"/>
          <w:szCs w:val="21"/>
        </w:rPr>
        <w:t xml:space="preserve">: </w:t>
      </w:r>
    </w:p>
    <w:p w14:paraId="1BDD18F3" w14:textId="77777777" w:rsidR="001014E5" w:rsidRPr="006C55AB" w:rsidRDefault="001014E5" w:rsidP="001014E5">
      <w:pPr>
        <w:numPr>
          <w:ilvl w:val="0"/>
          <w:numId w:val="6"/>
        </w:numPr>
        <w:spacing w:after="0" w:line="240" w:lineRule="auto"/>
        <w:rPr>
          <w:rFonts w:eastAsia="Times New Roman" w:cstheme="majorHAnsi"/>
          <w:sz w:val="21"/>
          <w:szCs w:val="21"/>
        </w:rPr>
      </w:pPr>
      <w:r w:rsidRPr="006C55AB">
        <w:rPr>
          <w:rFonts w:eastAsia="Times New Roman" w:cstheme="majorHAnsi"/>
          <w:sz w:val="21"/>
          <w:szCs w:val="21"/>
        </w:rPr>
        <w:lastRenderedPageBreak/>
        <w:t>Assumes nuclear power plants are extended additional 10 years: Monticello unit operates through 2040, Prairie Island through 2033 (Unit 1) and 2034 (Unit 2)</w:t>
      </w:r>
    </w:p>
    <w:p w14:paraId="0C12E5B7" w14:textId="77777777" w:rsidR="001014E5" w:rsidRPr="006C55AB" w:rsidRDefault="001014E5" w:rsidP="001014E5">
      <w:pPr>
        <w:numPr>
          <w:ilvl w:val="0"/>
          <w:numId w:val="6"/>
        </w:numPr>
        <w:spacing w:after="0" w:line="240" w:lineRule="auto"/>
        <w:rPr>
          <w:rFonts w:eastAsia="Times New Roman" w:cstheme="majorHAnsi"/>
          <w:sz w:val="21"/>
          <w:szCs w:val="21"/>
        </w:rPr>
      </w:pPr>
      <w:r w:rsidRPr="006C55AB">
        <w:rPr>
          <w:rFonts w:eastAsia="Times New Roman" w:cstheme="majorHAnsi"/>
          <w:sz w:val="21"/>
          <w:szCs w:val="21"/>
        </w:rPr>
        <w:t xml:space="preserve">Retire 2 coal units early: King in 2028, </w:t>
      </w:r>
      <w:proofErr w:type="spellStart"/>
      <w:r w:rsidRPr="006C55AB">
        <w:rPr>
          <w:rFonts w:eastAsia="Times New Roman" w:cstheme="majorHAnsi"/>
          <w:sz w:val="21"/>
          <w:szCs w:val="21"/>
        </w:rPr>
        <w:t>Sherco</w:t>
      </w:r>
      <w:proofErr w:type="spellEnd"/>
      <w:r w:rsidRPr="006C55AB">
        <w:rPr>
          <w:rFonts w:eastAsia="Times New Roman" w:cstheme="majorHAnsi"/>
          <w:sz w:val="21"/>
          <w:szCs w:val="21"/>
        </w:rPr>
        <w:t xml:space="preserve"> 3 in 2030</w:t>
      </w:r>
    </w:p>
    <w:p w14:paraId="4C03633D" w14:textId="77777777" w:rsidR="001014E5" w:rsidRPr="006C55AB" w:rsidRDefault="001014E5" w:rsidP="001014E5">
      <w:pPr>
        <w:numPr>
          <w:ilvl w:val="0"/>
          <w:numId w:val="6"/>
        </w:numPr>
        <w:spacing w:after="0" w:line="240" w:lineRule="auto"/>
        <w:rPr>
          <w:rFonts w:eastAsia="Times New Roman" w:cstheme="majorHAnsi"/>
          <w:sz w:val="21"/>
          <w:szCs w:val="21"/>
        </w:rPr>
      </w:pPr>
      <w:r w:rsidRPr="006C55AB">
        <w:rPr>
          <w:rFonts w:eastAsia="Times New Roman" w:cstheme="majorHAnsi"/>
          <w:sz w:val="21"/>
          <w:szCs w:val="21"/>
        </w:rPr>
        <w:t>We assume additional 1500 MW of demand response by 2034 above the BAU case</w:t>
      </w:r>
    </w:p>
    <w:p w14:paraId="3902F91F" w14:textId="2049F80C" w:rsidR="001014E5" w:rsidRPr="006C55AB" w:rsidRDefault="001014E5" w:rsidP="001014E5">
      <w:pPr>
        <w:numPr>
          <w:ilvl w:val="0"/>
          <w:numId w:val="6"/>
        </w:numPr>
        <w:spacing w:after="0" w:line="240" w:lineRule="auto"/>
        <w:rPr>
          <w:rFonts w:eastAsia="Times New Roman" w:cstheme="majorHAnsi"/>
          <w:sz w:val="21"/>
          <w:szCs w:val="21"/>
        </w:rPr>
      </w:pPr>
      <w:r w:rsidRPr="006C55AB">
        <w:rPr>
          <w:rFonts w:eastAsia="Times New Roman" w:cstheme="majorHAnsi"/>
          <w:sz w:val="21"/>
          <w:szCs w:val="21"/>
        </w:rPr>
        <w:t>Clean energy standard adds 1200 MW wind by 2034, 4000 MW of solar by 2034</w:t>
      </w:r>
    </w:p>
    <w:p w14:paraId="50BDB475" w14:textId="77777777" w:rsidR="009A35C8" w:rsidRPr="006C55AB" w:rsidRDefault="009A35C8" w:rsidP="009A35C8">
      <w:pPr>
        <w:spacing w:after="0" w:line="240" w:lineRule="auto"/>
        <w:ind w:left="720"/>
        <w:rPr>
          <w:rFonts w:eastAsia="Times New Roman" w:cstheme="majorHAnsi"/>
          <w:sz w:val="21"/>
          <w:szCs w:val="21"/>
        </w:rPr>
      </w:pPr>
    </w:p>
    <w:p w14:paraId="421BEB8F" w14:textId="113583F6" w:rsidR="001014E5" w:rsidRPr="006C55AB" w:rsidRDefault="009A35C8" w:rsidP="009A35C8">
      <w:pPr>
        <w:rPr>
          <w:b/>
          <w:bCs/>
        </w:rPr>
      </w:pPr>
      <w:r w:rsidRPr="006C55AB">
        <w:rPr>
          <w:b/>
          <w:bCs/>
        </w:rPr>
        <w:t>Buildings</w:t>
      </w:r>
    </w:p>
    <w:p w14:paraId="7DF2B700" w14:textId="2496CD66" w:rsidR="001014E5" w:rsidRPr="006C55AB" w:rsidRDefault="009A35C8" w:rsidP="00D22E6C">
      <w:pPr>
        <w:pStyle w:val="ListParagraph"/>
        <w:numPr>
          <w:ilvl w:val="0"/>
          <w:numId w:val="3"/>
        </w:numPr>
        <w:rPr>
          <w:rFonts w:cstheme="majorHAnsi"/>
          <w:sz w:val="21"/>
          <w:szCs w:val="21"/>
        </w:rPr>
      </w:pPr>
      <w:r w:rsidRPr="006C55AB">
        <w:rPr>
          <w:rFonts w:cstheme="majorHAnsi"/>
          <w:b/>
          <w:bCs/>
          <w:sz w:val="21"/>
          <w:szCs w:val="21"/>
        </w:rPr>
        <w:t xml:space="preserve">Energy efficiency: </w:t>
      </w:r>
      <w:r w:rsidR="001014E5" w:rsidRPr="006C55AB">
        <w:rPr>
          <w:rFonts w:cstheme="majorHAnsi"/>
          <w:sz w:val="21"/>
          <w:szCs w:val="21"/>
        </w:rPr>
        <w:t>Annual BTU electricity savings were calculated based on the energy efficiency improvement forecasted in Xcel’s IRP (about 2-2.5% per year through 2034). The scenario meets these annual BTU targets through the building component and industrial efficiency and retrofit policy levers. Efficiency savings are applied to the residential, commercial, and industrial sectors. We assume efficiency requirements are held constant after 2034, at about 20% below BAU electricity consumption.</w:t>
      </w:r>
    </w:p>
    <w:p w14:paraId="1B552CFC" w14:textId="070462AA" w:rsidR="0034200D" w:rsidRPr="006C55AB" w:rsidRDefault="0034200D" w:rsidP="00457BD3">
      <w:pPr>
        <w:pStyle w:val="Heading1"/>
        <w:rPr>
          <w:rFonts w:asciiTheme="minorHAnsi" w:hAnsiTheme="minorHAnsi"/>
        </w:rPr>
      </w:pPr>
      <w:r w:rsidRPr="006C55AB">
        <w:rPr>
          <w:rFonts w:asciiTheme="minorHAnsi" w:hAnsiTheme="minorHAnsi"/>
        </w:rPr>
        <w:t xml:space="preserve">Defining Targets shown in the tool </w:t>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r w:rsidR="00457BD3" w:rsidRPr="006C55AB">
        <w:rPr>
          <w:rFonts w:asciiTheme="minorHAnsi" w:hAnsiTheme="minorHAnsi"/>
        </w:rPr>
        <w:tab/>
      </w:r>
    </w:p>
    <w:p w14:paraId="367DA565" w14:textId="1C3F2147" w:rsidR="00646EFA" w:rsidRPr="00646EFA" w:rsidRDefault="00646EFA" w:rsidP="00646EFA">
      <w:pPr>
        <w:pStyle w:val="NoSpacing"/>
        <w:rPr>
          <w:sz w:val="20"/>
          <w:szCs w:val="20"/>
        </w:rPr>
      </w:pPr>
      <w:r w:rsidRPr="00646EFA">
        <w:rPr>
          <w:sz w:val="20"/>
          <w:szCs w:val="20"/>
        </w:rPr>
        <w:t>The</w:t>
      </w:r>
      <w:r w:rsidR="002E5BA3">
        <w:rPr>
          <w:sz w:val="20"/>
          <w:szCs w:val="20"/>
        </w:rPr>
        <w:t xml:space="preserve"> EPS model</w:t>
      </w:r>
      <w:r w:rsidRPr="00646EFA">
        <w:rPr>
          <w:sz w:val="20"/>
          <w:szCs w:val="20"/>
        </w:rPr>
        <w:t xml:space="preserve"> shows two greenhouse gas reduction targets. </w:t>
      </w:r>
    </w:p>
    <w:p w14:paraId="5F903B32" w14:textId="15ECC4EC" w:rsidR="0034200D" w:rsidRDefault="003F7A99" w:rsidP="00646EFA">
      <w:pPr>
        <w:pStyle w:val="ListParagraph"/>
        <w:numPr>
          <w:ilvl w:val="0"/>
          <w:numId w:val="13"/>
        </w:numPr>
        <w:rPr>
          <w:rFonts w:cstheme="majorHAnsi"/>
          <w:sz w:val="20"/>
          <w:szCs w:val="20"/>
        </w:rPr>
      </w:pPr>
      <w:r w:rsidRPr="003F7A99">
        <w:rPr>
          <w:rFonts w:cstheme="majorHAnsi"/>
          <w:b/>
          <w:bCs/>
          <w:sz w:val="20"/>
          <w:szCs w:val="20"/>
        </w:rPr>
        <w:t>Minnesota’s targets:</w:t>
      </w:r>
      <w:r>
        <w:rPr>
          <w:rFonts w:cstheme="majorHAnsi"/>
          <w:sz w:val="20"/>
          <w:szCs w:val="20"/>
        </w:rPr>
        <w:t xml:space="preserve"> </w:t>
      </w:r>
      <w:r w:rsidR="00E26018" w:rsidRPr="00646EFA">
        <w:rPr>
          <w:rFonts w:cstheme="majorHAnsi"/>
          <w:sz w:val="20"/>
          <w:szCs w:val="20"/>
        </w:rPr>
        <w:t>Minnesota’s Next Generation Energy Act sets</w:t>
      </w:r>
      <w:r w:rsidR="006C55AB" w:rsidRPr="00646EFA">
        <w:rPr>
          <w:rFonts w:cstheme="majorHAnsi"/>
          <w:sz w:val="20"/>
          <w:szCs w:val="20"/>
        </w:rPr>
        <w:t xml:space="preserve"> economy-wide</w:t>
      </w:r>
      <w:r w:rsidR="00E26018" w:rsidRPr="00646EFA">
        <w:rPr>
          <w:rFonts w:cstheme="majorHAnsi"/>
          <w:sz w:val="20"/>
          <w:szCs w:val="20"/>
        </w:rPr>
        <w:t xml:space="preserve"> greenhouse gas reduction targets</w:t>
      </w:r>
      <w:r w:rsidR="006C55AB" w:rsidRPr="00646EFA">
        <w:rPr>
          <w:rFonts w:cstheme="majorHAnsi"/>
          <w:sz w:val="20"/>
          <w:szCs w:val="20"/>
        </w:rPr>
        <w:t xml:space="preserve">. The act requires the state to reduce greenhouse gas emissions 30% </w:t>
      </w:r>
      <w:r w:rsidR="006C55AB" w:rsidRPr="00646EFA">
        <w:rPr>
          <w:rFonts w:cstheme="majorHAnsi"/>
          <w:sz w:val="20"/>
          <w:szCs w:val="20"/>
        </w:rPr>
        <w:t xml:space="preserve">below 2005 levels </w:t>
      </w:r>
      <w:r w:rsidR="006C55AB" w:rsidRPr="00646EFA">
        <w:rPr>
          <w:rFonts w:cstheme="majorHAnsi"/>
          <w:sz w:val="20"/>
          <w:szCs w:val="20"/>
        </w:rPr>
        <w:t xml:space="preserve">by 2025 and 80% by 2050. </w:t>
      </w:r>
    </w:p>
    <w:p w14:paraId="1E606C6B" w14:textId="7A141507" w:rsidR="0034200D" w:rsidRPr="003F7A99" w:rsidRDefault="003F7A99" w:rsidP="003F7A99">
      <w:pPr>
        <w:pStyle w:val="ListParagraph"/>
        <w:numPr>
          <w:ilvl w:val="0"/>
          <w:numId w:val="13"/>
        </w:numPr>
        <w:rPr>
          <w:rFonts w:cstheme="majorHAnsi"/>
          <w:sz w:val="20"/>
          <w:szCs w:val="20"/>
        </w:rPr>
      </w:pPr>
      <w:r>
        <w:rPr>
          <w:rFonts w:cstheme="majorHAnsi"/>
          <w:b/>
          <w:bCs/>
          <w:sz w:val="20"/>
          <w:szCs w:val="20"/>
        </w:rPr>
        <w:t xml:space="preserve">1.5 targets: </w:t>
      </w:r>
      <w:r>
        <w:rPr>
          <w:rFonts w:cstheme="majorHAnsi"/>
          <w:sz w:val="20"/>
          <w:szCs w:val="20"/>
        </w:rPr>
        <w:t xml:space="preserve">To meet greenhouse gas reduction goals established by the Paris climate accords to cap warming at 1.5 degrees, Minnesota needs to reduce economy-wide greenhouse gas emissions by 60% by 2030. </w:t>
      </w:r>
      <w:r w:rsidR="002060F8">
        <w:rPr>
          <w:rFonts w:cstheme="majorHAnsi"/>
          <w:sz w:val="20"/>
          <w:szCs w:val="20"/>
        </w:rPr>
        <w:t xml:space="preserve">The following table summarizes the assumptions embedded in the 2030 1.5 </w:t>
      </w:r>
      <w:commentRangeStart w:id="2"/>
      <w:r w:rsidR="002060F8">
        <w:rPr>
          <w:rFonts w:cstheme="majorHAnsi"/>
          <w:sz w:val="20"/>
          <w:szCs w:val="20"/>
        </w:rPr>
        <w:t>target</w:t>
      </w:r>
      <w:commentRangeEnd w:id="2"/>
      <w:r w:rsidR="000D176C">
        <w:rPr>
          <w:rStyle w:val="CommentReference"/>
        </w:rPr>
        <w:commentReference w:id="2"/>
      </w:r>
      <w:r w:rsidR="002060F8">
        <w:rPr>
          <w:rFonts w:cstheme="majorHAnsi"/>
          <w:sz w:val="20"/>
          <w:szCs w:val="20"/>
        </w:rPr>
        <w:t xml:space="preserve">. </w:t>
      </w:r>
    </w:p>
    <w:tbl>
      <w:tblPr>
        <w:tblStyle w:val="TableGrid"/>
        <w:tblW w:w="7642" w:type="dxa"/>
        <w:jc w:val="center"/>
        <w:tblLook w:val="04A0" w:firstRow="1" w:lastRow="0" w:firstColumn="1" w:lastColumn="0" w:noHBand="0" w:noVBand="1"/>
      </w:tblPr>
      <w:tblGrid>
        <w:gridCol w:w="2288"/>
        <w:gridCol w:w="5354"/>
      </w:tblGrid>
      <w:tr w:rsidR="0034200D" w:rsidRPr="006C55AB" w14:paraId="78BA27E7" w14:textId="77777777" w:rsidTr="00480EB7">
        <w:trPr>
          <w:trHeight w:val="235"/>
          <w:jc w:val="center"/>
        </w:trPr>
        <w:tc>
          <w:tcPr>
            <w:tcW w:w="2288" w:type="dxa"/>
            <w:shd w:val="clear" w:color="auto" w:fill="A8D08D" w:themeFill="accent6" w:themeFillTint="99"/>
            <w:vAlign w:val="center"/>
          </w:tcPr>
          <w:p w14:paraId="6D379345" w14:textId="77777777" w:rsidR="0034200D" w:rsidRPr="006C55AB" w:rsidRDefault="0034200D" w:rsidP="00480EB7">
            <w:pPr>
              <w:pStyle w:val="NoSpacing"/>
              <w:jc w:val="center"/>
              <w:rPr>
                <w:b/>
                <w:bCs/>
                <w:sz w:val="20"/>
                <w:szCs w:val="20"/>
              </w:rPr>
            </w:pPr>
            <w:r w:rsidRPr="006C55AB">
              <w:rPr>
                <w:b/>
                <w:bCs/>
                <w:sz w:val="20"/>
                <w:szCs w:val="20"/>
              </w:rPr>
              <w:t>Sector</w:t>
            </w:r>
          </w:p>
        </w:tc>
        <w:tc>
          <w:tcPr>
            <w:tcW w:w="5354" w:type="dxa"/>
            <w:shd w:val="clear" w:color="auto" w:fill="A8D08D" w:themeFill="accent6" w:themeFillTint="99"/>
            <w:vAlign w:val="center"/>
          </w:tcPr>
          <w:p w14:paraId="0BDEADB1" w14:textId="77777777" w:rsidR="0034200D" w:rsidRPr="006C55AB" w:rsidRDefault="0034200D" w:rsidP="00287108">
            <w:pPr>
              <w:jc w:val="center"/>
              <w:rPr>
                <w:rFonts w:cstheme="majorHAnsi"/>
                <w:b/>
                <w:bCs/>
                <w:sz w:val="20"/>
                <w:szCs w:val="20"/>
              </w:rPr>
            </w:pPr>
            <w:r w:rsidRPr="006C55AB">
              <w:rPr>
                <w:rFonts w:cstheme="majorHAnsi"/>
                <w:b/>
                <w:bCs/>
                <w:sz w:val="20"/>
                <w:szCs w:val="20"/>
              </w:rPr>
              <w:t xml:space="preserve">2030 1.5C Targets Scenario (2030 </w:t>
            </w:r>
            <w:commentRangeStart w:id="3"/>
            <w:r w:rsidRPr="006C55AB">
              <w:rPr>
                <w:rFonts w:cstheme="majorHAnsi"/>
                <w:b/>
                <w:bCs/>
                <w:sz w:val="20"/>
                <w:szCs w:val="20"/>
              </w:rPr>
              <w:t>metrics</w:t>
            </w:r>
            <w:commentRangeEnd w:id="3"/>
            <w:r w:rsidR="000D176C">
              <w:rPr>
                <w:rStyle w:val="CommentReference"/>
              </w:rPr>
              <w:commentReference w:id="3"/>
            </w:r>
            <w:r w:rsidRPr="006C55AB">
              <w:rPr>
                <w:rFonts w:cstheme="majorHAnsi"/>
                <w:b/>
                <w:bCs/>
                <w:sz w:val="20"/>
                <w:szCs w:val="20"/>
              </w:rPr>
              <w:t>)</w:t>
            </w:r>
          </w:p>
        </w:tc>
      </w:tr>
      <w:tr w:rsidR="0034200D" w:rsidRPr="006C55AB" w14:paraId="3981E7D6" w14:textId="77777777" w:rsidTr="00E421AE">
        <w:trPr>
          <w:trHeight w:val="380"/>
          <w:jc w:val="center"/>
        </w:trPr>
        <w:tc>
          <w:tcPr>
            <w:tcW w:w="2288" w:type="dxa"/>
            <w:shd w:val="clear" w:color="auto" w:fill="E2EFD9" w:themeFill="accent6" w:themeFillTint="33"/>
            <w:vAlign w:val="center"/>
          </w:tcPr>
          <w:p w14:paraId="1899C97F" w14:textId="77777777" w:rsidR="0034200D" w:rsidRPr="006C55AB" w:rsidRDefault="0034200D" w:rsidP="00287108">
            <w:pPr>
              <w:jc w:val="center"/>
              <w:rPr>
                <w:rFonts w:cstheme="majorHAnsi"/>
                <w:sz w:val="20"/>
                <w:szCs w:val="20"/>
              </w:rPr>
            </w:pPr>
            <w:r w:rsidRPr="006C55AB">
              <w:rPr>
                <w:rFonts w:cstheme="majorHAnsi"/>
                <w:sz w:val="20"/>
                <w:szCs w:val="20"/>
              </w:rPr>
              <w:t>Industry</w:t>
            </w:r>
          </w:p>
        </w:tc>
        <w:tc>
          <w:tcPr>
            <w:tcW w:w="5354" w:type="dxa"/>
            <w:shd w:val="clear" w:color="auto" w:fill="auto"/>
            <w:vAlign w:val="center"/>
          </w:tcPr>
          <w:p w14:paraId="3F58F238" w14:textId="77777777" w:rsidR="0034200D" w:rsidRPr="006C55AB" w:rsidRDefault="0034200D" w:rsidP="0034200D">
            <w:pPr>
              <w:pStyle w:val="ListParagraph"/>
              <w:numPr>
                <w:ilvl w:val="0"/>
                <w:numId w:val="10"/>
              </w:numPr>
              <w:rPr>
                <w:rFonts w:cstheme="majorHAnsi"/>
                <w:sz w:val="20"/>
                <w:szCs w:val="20"/>
              </w:rPr>
            </w:pPr>
            <w:r w:rsidRPr="006C55AB">
              <w:rPr>
                <w:rFonts w:cstheme="majorHAnsi"/>
                <w:sz w:val="20"/>
                <w:szCs w:val="20"/>
              </w:rPr>
              <w:t>8% efficiency gains in all industries (by 2035)</w:t>
            </w:r>
          </w:p>
          <w:p w14:paraId="52512EDA" w14:textId="77777777" w:rsidR="0034200D" w:rsidRPr="006C55AB" w:rsidRDefault="0034200D" w:rsidP="0034200D">
            <w:pPr>
              <w:pStyle w:val="ListParagraph"/>
              <w:numPr>
                <w:ilvl w:val="0"/>
                <w:numId w:val="10"/>
              </w:numPr>
              <w:rPr>
                <w:rFonts w:cstheme="majorHAnsi"/>
                <w:sz w:val="20"/>
                <w:szCs w:val="20"/>
              </w:rPr>
            </w:pPr>
            <w:r w:rsidRPr="006C55AB">
              <w:rPr>
                <w:rFonts w:cstheme="majorHAnsi"/>
                <w:sz w:val="20"/>
                <w:szCs w:val="20"/>
              </w:rPr>
              <w:t>100$/ton carbon tax</w:t>
            </w:r>
          </w:p>
          <w:p w14:paraId="0F7F44B4" w14:textId="77777777" w:rsidR="0034200D" w:rsidRPr="006C55AB" w:rsidRDefault="0034200D" w:rsidP="0034200D">
            <w:pPr>
              <w:pStyle w:val="ListParagraph"/>
              <w:numPr>
                <w:ilvl w:val="0"/>
                <w:numId w:val="10"/>
              </w:numPr>
              <w:rPr>
                <w:rFonts w:cstheme="majorHAnsi"/>
                <w:sz w:val="20"/>
                <w:szCs w:val="20"/>
              </w:rPr>
            </w:pPr>
            <w:commentRangeStart w:id="4"/>
            <w:r w:rsidRPr="006C55AB">
              <w:rPr>
                <w:rFonts w:cstheme="majorHAnsi"/>
                <w:sz w:val="20"/>
                <w:szCs w:val="20"/>
              </w:rPr>
              <w:t>70% reduction of methane leakage</w:t>
            </w:r>
            <w:commentRangeEnd w:id="4"/>
            <w:r w:rsidRPr="006C55AB">
              <w:rPr>
                <w:rStyle w:val="CommentReference"/>
                <w:sz w:val="20"/>
                <w:szCs w:val="20"/>
              </w:rPr>
              <w:commentReference w:id="4"/>
            </w:r>
          </w:p>
          <w:p w14:paraId="207B6943" w14:textId="77777777" w:rsidR="0034200D" w:rsidRPr="006C55AB" w:rsidRDefault="0034200D" w:rsidP="0034200D">
            <w:pPr>
              <w:pStyle w:val="ListParagraph"/>
              <w:numPr>
                <w:ilvl w:val="0"/>
                <w:numId w:val="10"/>
              </w:numPr>
              <w:rPr>
                <w:rFonts w:cstheme="majorHAnsi"/>
                <w:sz w:val="20"/>
                <w:szCs w:val="20"/>
              </w:rPr>
            </w:pPr>
            <w:r w:rsidRPr="006C55AB">
              <w:rPr>
                <w:rFonts w:cstheme="majorHAnsi"/>
                <w:sz w:val="20"/>
                <w:szCs w:val="20"/>
              </w:rPr>
              <w:t>77% reduction of F-gas emissions by 2050</w:t>
            </w:r>
          </w:p>
        </w:tc>
      </w:tr>
      <w:tr w:rsidR="0034200D" w:rsidRPr="006C55AB" w14:paraId="2BC400C9" w14:textId="77777777" w:rsidTr="00E421AE">
        <w:trPr>
          <w:trHeight w:val="541"/>
          <w:jc w:val="center"/>
        </w:trPr>
        <w:tc>
          <w:tcPr>
            <w:tcW w:w="2288" w:type="dxa"/>
            <w:shd w:val="clear" w:color="auto" w:fill="E2EFD9" w:themeFill="accent6" w:themeFillTint="33"/>
            <w:vAlign w:val="center"/>
          </w:tcPr>
          <w:p w14:paraId="47A7D4EF" w14:textId="77777777" w:rsidR="0034200D" w:rsidRPr="006C55AB" w:rsidRDefault="0034200D" w:rsidP="00287108">
            <w:pPr>
              <w:jc w:val="center"/>
              <w:rPr>
                <w:rFonts w:cstheme="majorHAnsi"/>
                <w:sz w:val="20"/>
                <w:szCs w:val="20"/>
              </w:rPr>
            </w:pPr>
            <w:r w:rsidRPr="006C55AB">
              <w:rPr>
                <w:rFonts w:cstheme="majorHAnsi"/>
                <w:sz w:val="20"/>
                <w:szCs w:val="20"/>
              </w:rPr>
              <w:t>Electricity</w:t>
            </w:r>
          </w:p>
        </w:tc>
        <w:tc>
          <w:tcPr>
            <w:tcW w:w="5354" w:type="dxa"/>
            <w:shd w:val="clear" w:color="auto" w:fill="auto"/>
            <w:vAlign w:val="center"/>
          </w:tcPr>
          <w:p w14:paraId="2AFDEF3A" w14:textId="77777777" w:rsidR="0034200D" w:rsidRPr="006C55AB" w:rsidRDefault="0034200D" w:rsidP="0034200D">
            <w:pPr>
              <w:pStyle w:val="ListParagraph"/>
              <w:numPr>
                <w:ilvl w:val="0"/>
                <w:numId w:val="9"/>
              </w:numPr>
              <w:rPr>
                <w:rFonts w:cstheme="majorHAnsi"/>
                <w:sz w:val="20"/>
                <w:szCs w:val="20"/>
              </w:rPr>
            </w:pPr>
            <w:r w:rsidRPr="006C55AB">
              <w:rPr>
                <w:rFonts w:cstheme="majorHAnsi"/>
                <w:sz w:val="20"/>
                <w:szCs w:val="20"/>
              </w:rPr>
              <w:t>90% Clean Energy Standard</w:t>
            </w:r>
          </w:p>
          <w:p w14:paraId="6ACF4914" w14:textId="77777777" w:rsidR="0034200D" w:rsidRPr="006C55AB" w:rsidRDefault="0034200D" w:rsidP="0034200D">
            <w:pPr>
              <w:pStyle w:val="ListParagraph"/>
              <w:numPr>
                <w:ilvl w:val="0"/>
                <w:numId w:val="9"/>
              </w:numPr>
              <w:rPr>
                <w:rFonts w:cstheme="majorHAnsi"/>
                <w:sz w:val="20"/>
                <w:szCs w:val="20"/>
              </w:rPr>
            </w:pPr>
            <w:r w:rsidRPr="006C55AB">
              <w:rPr>
                <w:rFonts w:cstheme="majorHAnsi"/>
                <w:sz w:val="20"/>
                <w:szCs w:val="20"/>
              </w:rPr>
              <w:t>$100/ton carbon tax</w:t>
            </w:r>
          </w:p>
          <w:p w14:paraId="2D336945" w14:textId="77777777" w:rsidR="0034200D" w:rsidRPr="006C55AB" w:rsidRDefault="0034200D" w:rsidP="0034200D">
            <w:pPr>
              <w:pStyle w:val="ListParagraph"/>
              <w:numPr>
                <w:ilvl w:val="0"/>
                <w:numId w:val="9"/>
              </w:numPr>
              <w:rPr>
                <w:rFonts w:cstheme="majorHAnsi"/>
                <w:sz w:val="20"/>
                <w:szCs w:val="20"/>
              </w:rPr>
            </w:pPr>
            <w:r w:rsidRPr="006C55AB">
              <w:rPr>
                <w:rFonts w:cstheme="majorHAnsi"/>
                <w:sz w:val="20"/>
                <w:szCs w:val="20"/>
              </w:rPr>
              <w:t>Increase demand response and transmission</w:t>
            </w:r>
          </w:p>
          <w:p w14:paraId="285A5036" w14:textId="77777777" w:rsidR="0034200D" w:rsidRPr="006C55AB" w:rsidRDefault="0034200D" w:rsidP="0034200D">
            <w:pPr>
              <w:pStyle w:val="ListParagraph"/>
              <w:numPr>
                <w:ilvl w:val="0"/>
                <w:numId w:val="9"/>
              </w:numPr>
              <w:rPr>
                <w:rFonts w:cstheme="majorHAnsi"/>
                <w:sz w:val="20"/>
                <w:szCs w:val="20"/>
              </w:rPr>
            </w:pPr>
            <w:r w:rsidRPr="006C55AB">
              <w:rPr>
                <w:rFonts w:cstheme="majorHAnsi"/>
                <w:sz w:val="20"/>
                <w:szCs w:val="20"/>
              </w:rPr>
              <w:t>No new natural gas plants after 2030</w:t>
            </w:r>
          </w:p>
        </w:tc>
      </w:tr>
      <w:tr w:rsidR="0034200D" w:rsidRPr="006C55AB" w14:paraId="5D347B48" w14:textId="77777777" w:rsidTr="00E421AE">
        <w:trPr>
          <w:trHeight w:val="455"/>
          <w:jc w:val="center"/>
        </w:trPr>
        <w:tc>
          <w:tcPr>
            <w:tcW w:w="2288" w:type="dxa"/>
            <w:shd w:val="clear" w:color="auto" w:fill="E2EFD9" w:themeFill="accent6" w:themeFillTint="33"/>
            <w:vAlign w:val="center"/>
          </w:tcPr>
          <w:p w14:paraId="195ED858" w14:textId="77777777" w:rsidR="0034200D" w:rsidRPr="006C55AB" w:rsidRDefault="0034200D" w:rsidP="00287108">
            <w:pPr>
              <w:jc w:val="center"/>
              <w:rPr>
                <w:rFonts w:cstheme="majorHAnsi"/>
                <w:sz w:val="20"/>
                <w:szCs w:val="20"/>
              </w:rPr>
            </w:pPr>
            <w:r w:rsidRPr="006C55AB">
              <w:rPr>
                <w:rFonts w:cstheme="majorHAnsi"/>
                <w:sz w:val="20"/>
                <w:szCs w:val="20"/>
              </w:rPr>
              <w:t>Buildings</w:t>
            </w:r>
          </w:p>
        </w:tc>
        <w:tc>
          <w:tcPr>
            <w:tcW w:w="5354" w:type="dxa"/>
            <w:shd w:val="clear" w:color="auto" w:fill="auto"/>
            <w:vAlign w:val="center"/>
          </w:tcPr>
          <w:p w14:paraId="5D67FFE5" w14:textId="77777777" w:rsidR="0034200D" w:rsidRPr="006C55AB" w:rsidRDefault="0034200D" w:rsidP="0034200D">
            <w:pPr>
              <w:pStyle w:val="ListParagraph"/>
              <w:numPr>
                <w:ilvl w:val="0"/>
                <w:numId w:val="9"/>
              </w:numPr>
              <w:rPr>
                <w:rFonts w:cstheme="majorHAnsi"/>
                <w:sz w:val="20"/>
                <w:szCs w:val="20"/>
              </w:rPr>
            </w:pPr>
            <w:r w:rsidRPr="006C55AB">
              <w:rPr>
                <w:rFonts w:cstheme="majorHAnsi"/>
                <w:sz w:val="20"/>
                <w:szCs w:val="20"/>
              </w:rPr>
              <w:t>All new appliance sales are electric</w:t>
            </w:r>
          </w:p>
          <w:p w14:paraId="79D0E029" w14:textId="77777777" w:rsidR="0034200D" w:rsidRPr="006C55AB" w:rsidRDefault="0034200D" w:rsidP="0034200D">
            <w:pPr>
              <w:pStyle w:val="ListParagraph"/>
              <w:numPr>
                <w:ilvl w:val="0"/>
                <w:numId w:val="10"/>
              </w:numPr>
              <w:rPr>
                <w:rFonts w:cstheme="majorHAnsi"/>
                <w:sz w:val="20"/>
                <w:szCs w:val="20"/>
              </w:rPr>
            </w:pPr>
            <w:r w:rsidRPr="006C55AB">
              <w:rPr>
                <w:rFonts w:cstheme="majorHAnsi"/>
                <w:sz w:val="20"/>
                <w:szCs w:val="20"/>
              </w:rPr>
              <w:t>Retrofit 25% of existing buildings</w:t>
            </w:r>
          </w:p>
        </w:tc>
      </w:tr>
      <w:tr w:rsidR="0034200D" w:rsidRPr="006C55AB" w14:paraId="13B641B3" w14:textId="77777777" w:rsidTr="00E421AE">
        <w:trPr>
          <w:trHeight w:val="696"/>
          <w:jc w:val="center"/>
        </w:trPr>
        <w:tc>
          <w:tcPr>
            <w:tcW w:w="2288" w:type="dxa"/>
            <w:shd w:val="clear" w:color="auto" w:fill="E2EFD9" w:themeFill="accent6" w:themeFillTint="33"/>
            <w:vAlign w:val="center"/>
          </w:tcPr>
          <w:p w14:paraId="416A52B2" w14:textId="77777777" w:rsidR="0034200D" w:rsidRPr="006C55AB" w:rsidRDefault="0034200D" w:rsidP="00287108">
            <w:pPr>
              <w:jc w:val="center"/>
              <w:rPr>
                <w:rFonts w:cstheme="majorHAnsi"/>
                <w:sz w:val="20"/>
                <w:szCs w:val="20"/>
              </w:rPr>
            </w:pPr>
            <w:r w:rsidRPr="006C55AB">
              <w:rPr>
                <w:rFonts w:cstheme="majorHAnsi"/>
                <w:sz w:val="20"/>
                <w:szCs w:val="20"/>
              </w:rPr>
              <w:t>On-Road Transportation</w:t>
            </w:r>
          </w:p>
        </w:tc>
        <w:tc>
          <w:tcPr>
            <w:tcW w:w="5354" w:type="dxa"/>
            <w:shd w:val="clear" w:color="auto" w:fill="auto"/>
            <w:vAlign w:val="center"/>
          </w:tcPr>
          <w:p w14:paraId="08770388" w14:textId="77777777" w:rsidR="0034200D" w:rsidRPr="006C55AB" w:rsidRDefault="0034200D" w:rsidP="0034200D">
            <w:pPr>
              <w:pStyle w:val="ListParagraph"/>
              <w:numPr>
                <w:ilvl w:val="0"/>
                <w:numId w:val="10"/>
              </w:numPr>
              <w:rPr>
                <w:rFonts w:cstheme="majorHAnsi"/>
                <w:sz w:val="20"/>
                <w:szCs w:val="20"/>
              </w:rPr>
            </w:pPr>
            <w:r w:rsidRPr="006C55AB">
              <w:rPr>
                <w:rFonts w:cstheme="majorHAnsi"/>
                <w:sz w:val="20"/>
                <w:szCs w:val="20"/>
              </w:rPr>
              <w:t>100% new light duty vehicles &amp; buses are electric</w:t>
            </w:r>
          </w:p>
          <w:p w14:paraId="58CF3279" w14:textId="77777777" w:rsidR="0034200D" w:rsidRPr="006C55AB" w:rsidRDefault="0034200D" w:rsidP="0034200D">
            <w:pPr>
              <w:pStyle w:val="ListParagraph"/>
              <w:numPr>
                <w:ilvl w:val="0"/>
                <w:numId w:val="10"/>
              </w:numPr>
              <w:rPr>
                <w:rFonts w:cstheme="majorHAnsi"/>
                <w:sz w:val="20"/>
                <w:szCs w:val="20"/>
              </w:rPr>
            </w:pPr>
            <w:r w:rsidRPr="006C55AB">
              <w:rPr>
                <w:rFonts w:cstheme="majorHAnsi"/>
                <w:sz w:val="20"/>
                <w:szCs w:val="20"/>
              </w:rPr>
              <w:t>40% of all new freight HDVs electric and 20% hydrogen</w:t>
            </w:r>
          </w:p>
          <w:p w14:paraId="1FD04365" w14:textId="77777777" w:rsidR="0034200D" w:rsidRPr="006C55AB" w:rsidRDefault="0034200D" w:rsidP="0034200D">
            <w:pPr>
              <w:pStyle w:val="ListParagraph"/>
              <w:numPr>
                <w:ilvl w:val="0"/>
                <w:numId w:val="10"/>
              </w:numPr>
              <w:rPr>
                <w:rFonts w:cstheme="majorHAnsi"/>
                <w:sz w:val="20"/>
                <w:szCs w:val="20"/>
              </w:rPr>
            </w:pPr>
            <w:r w:rsidRPr="006C55AB">
              <w:rPr>
                <w:rFonts w:cstheme="majorHAnsi"/>
                <w:sz w:val="20"/>
                <w:szCs w:val="20"/>
              </w:rPr>
              <w:t xml:space="preserve">13% reduction of vehicles miles traveled </w:t>
            </w:r>
            <w:r w:rsidRPr="006C55AB">
              <w:rPr>
                <w:rFonts w:cstheme="majorHAnsi"/>
                <w:sz w:val="20"/>
                <w:szCs w:val="20"/>
                <w:highlight w:val="yellow"/>
              </w:rPr>
              <w:t>from 2020 levels</w:t>
            </w:r>
          </w:p>
        </w:tc>
      </w:tr>
      <w:tr w:rsidR="0034200D" w:rsidRPr="006C55AB" w14:paraId="5F41FEE8" w14:textId="77777777" w:rsidTr="00E421AE">
        <w:trPr>
          <w:trHeight w:val="512"/>
          <w:jc w:val="center"/>
        </w:trPr>
        <w:tc>
          <w:tcPr>
            <w:tcW w:w="2288" w:type="dxa"/>
            <w:shd w:val="clear" w:color="auto" w:fill="E2EFD9" w:themeFill="accent6" w:themeFillTint="33"/>
            <w:vAlign w:val="center"/>
          </w:tcPr>
          <w:p w14:paraId="520338DB" w14:textId="77777777" w:rsidR="0034200D" w:rsidRPr="006C55AB" w:rsidRDefault="0034200D" w:rsidP="00287108">
            <w:pPr>
              <w:jc w:val="center"/>
              <w:rPr>
                <w:rFonts w:cstheme="majorHAnsi"/>
                <w:sz w:val="20"/>
                <w:szCs w:val="20"/>
              </w:rPr>
            </w:pPr>
            <w:r w:rsidRPr="006C55AB">
              <w:rPr>
                <w:rFonts w:cstheme="majorHAnsi"/>
                <w:sz w:val="20"/>
                <w:szCs w:val="20"/>
              </w:rPr>
              <w:t>Land use/Agriculture</w:t>
            </w:r>
          </w:p>
        </w:tc>
        <w:tc>
          <w:tcPr>
            <w:tcW w:w="5354" w:type="dxa"/>
            <w:shd w:val="clear" w:color="auto" w:fill="auto"/>
            <w:vAlign w:val="center"/>
          </w:tcPr>
          <w:p w14:paraId="52248CFF" w14:textId="43008189" w:rsidR="0034200D" w:rsidRPr="006C55AB" w:rsidRDefault="0034200D" w:rsidP="00287108">
            <w:pPr>
              <w:rPr>
                <w:rFonts w:cstheme="majorHAnsi"/>
                <w:i/>
                <w:iCs/>
                <w:sz w:val="20"/>
                <w:szCs w:val="20"/>
              </w:rPr>
            </w:pPr>
            <w:r w:rsidRPr="006C55AB">
              <w:rPr>
                <w:rFonts w:cstheme="majorHAnsi"/>
                <w:i/>
                <w:iCs/>
                <w:sz w:val="20"/>
                <w:szCs w:val="20"/>
              </w:rPr>
              <w:t>Same as BAU</w:t>
            </w:r>
          </w:p>
        </w:tc>
      </w:tr>
      <w:tr w:rsidR="0034200D" w:rsidRPr="006C55AB" w14:paraId="41B03D3B" w14:textId="77777777" w:rsidTr="00E421AE">
        <w:trPr>
          <w:trHeight w:val="281"/>
          <w:jc w:val="center"/>
        </w:trPr>
        <w:tc>
          <w:tcPr>
            <w:tcW w:w="2288" w:type="dxa"/>
            <w:shd w:val="clear" w:color="auto" w:fill="E2EFD9" w:themeFill="accent6" w:themeFillTint="33"/>
            <w:vAlign w:val="center"/>
          </w:tcPr>
          <w:p w14:paraId="01DCF62F" w14:textId="77777777" w:rsidR="0034200D" w:rsidRPr="006C55AB" w:rsidRDefault="0034200D" w:rsidP="00287108">
            <w:pPr>
              <w:jc w:val="center"/>
              <w:rPr>
                <w:rFonts w:cstheme="majorHAnsi"/>
                <w:sz w:val="20"/>
                <w:szCs w:val="20"/>
              </w:rPr>
            </w:pPr>
            <w:r w:rsidRPr="006C55AB">
              <w:rPr>
                <w:rFonts w:cstheme="majorHAnsi"/>
                <w:sz w:val="20"/>
                <w:szCs w:val="20"/>
              </w:rPr>
              <w:t>Imports/Exports</w:t>
            </w:r>
          </w:p>
        </w:tc>
        <w:tc>
          <w:tcPr>
            <w:tcW w:w="5354" w:type="dxa"/>
            <w:shd w:val="clear" w:color="auto" w:fill="auto"/>
            <w:vAlign w:val="center"/>
          </w:tcPr>
          <w:p w14:paraId="061A8014" w14:textId="77777777" w:rsidR="0034200D" w:rsidRPr="006C55AB" w:rsidRDefault="0034200D" w:rsidP="0034200D">
            <w:pPr>
              <w:pStyle w:val="ListParagraph"/>
              <w:numPr>
                <w:ilvl w:val="0"/>
                <w:numId w:val="10"/>
              </w:numPr>
              <w:rPr>
                <w:rFonts w:cstheme="majorHAnsi"/>
                <w:sz w:val="20"/>
                <w:szCs w:val="20"/>
              </w:rPr>
            </w:pPr>
            <w:r w:rsidRPr="006C55AB">
              <w:rPr>
                <w:rFonts w:cstheme="majorHAnsi"/>
                <w:sz w:val="20"/>
                <w:szCs w:val="20"/>
              </w:rPr>
              <w:t>Reduce imports from coal and gas plants</w:t>
            </w:r>
          </w:p>
        </w:tc>
      </w:tr>
    </w:tbl>
    <w:p w14:paraId="664DAA03" w14:textId="2C5979B5" w:rsidR="00555E3F" w:rsidRPr="006C55AB" w:rsidRDefault="00555E3F" w:rsidP="00555E3F">
      <w:pPr>
        <w:pStyle w:val="Heading1"/>
        <w:rPr>
          <w:rFonts w:asciiTheme="minorHAnsi" w:hAnsiTheme="minorHAnsi"/>
        </w:rPr>
      </w:pPr>
      <w:r w:rsidRPr="006C55AB">
        <w:rPr>
          <w:rFonts w:asciiTheme="minorHAnsi" w:hAnsiTheme="minorHAnsi"/>
        </w:rPr>
        <w:t>Calculating Policy Impacts</w:t>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p>
    <w:p w14:paraId="61EEAF5A" w14:textId="1735347B" w:rsidR="002060F8" w:rsidRDefault="002060F8" w:rsidP="002060F8">
      <w:r>
        <w:t>The Energy Policy Simulator is a</w:t>
      </w:r>
      <w:r w:rsidRPr="002060F8">
        <w:t xml:space="preserve"> non-partisan, open-source, and peer-reviewed model</w:t>
      </w:r>
      <w:r w:rsidR="00AA1DB7">
        <w:t xml:space="preserve">. The EPS </w:t>
      </w:r>
      <w:r>
        <w:t xml:space="preserve">was developed to evaluate </w:t>
      </w:r>
      <w:r w:rsidRPr="002060F8">
        <w:t>the impacts of climate and energy policies on emissions, costs and savings, and fuel consumption.</w:t>
      </w:r>
      <w:r w:rsidR="001C0F78">
        <w:t xml:space="preserve"> </w:t>
      </w:r>
      <w:r w:rsidR="001C0F78">
        <w:t xml:space="preserve">The EPS model is used by policymakers to select and refine climate legislation. For example, the </w:t>
      </w:r>
      <w:r w:rsidR="001C0F78">
        <w:lastRenderedPageBreak/>
        <w:t>EPS model was used to assess the impact of climate policies for the U.S. House Select Committee on the Climate Crisis.</w:t>
      </w:r>
      <w:r w:rsidR="001C0F78">
        <w:rPr>
          <w:rStyle w:val="FootnoteReference"/>
        </w:rPr>
        <w:footnoteReference w:id="2"/>
      </w:r>
      <w:r w:rsidR="000A3DE2">
        <w:t xml:space="preserve"> </w:t>
      </w:r>
      <w:r>
        <w:t>EPS users input climate policies</w:t>
      </w:r>
      <w:r w:rsidR="001C0F78">
        <w:t xml:space="preserve"> </w:t>
      </w:r>
      <w:r>
        <w:t xml:space="preserve">and the model </w:t>
      </w:r>
      <w:r w:rsidR="001C0F78">
        <w:t xml:space="preserve">then </w:t>
      </w:r>
      <w:r>
        <w:t>analyzes interacting</w:t>
      </w:r>
      <w:r w:rsidR="001C0F78">
        <w:t xml:space="preserve"> policy</w:t>
      </w:r>
      <w:r>
        <w:t xml:space="preserve"> </w:t>
      </w:r>
      <w:r w:rsidR="001C0F78">
        <w:t>impacts</w:t>
      </w:r>
      <w:r>
        <w:t xml:space="preserve"> to forecast environmental and economic outcomes. The model generates a variety of </w:t>
      </w:r>
      <w:r w:rsidR="001C0F78">
        <w:t xml:space="preserve">data </w:t>
      </w:r>
      <w:r>
        <w:t xml:space="preserve">outputs including greenhouse gas emissions, criteria pollutant emissions, capital and operating </w:t>
      </w:r>
      <w:r w:rsidR="00D24EA6">
        <w:t>cash flow changes, and macroeconomic changes to GDP and jobs.</w:t>
      </w:r>
      <w:r w:rsidR="001C0F78">
        <w:t xml:space="preserve"> </w:t>
      </w:r>
      <w:r w:rsidR="00721E69">
        <w:t>RMI and Energy Innovation are currently developing EPS models for 20 U.S. states.</w:t>
      </w:r>
    </w:p>
    <w:p w14:paraId="233E9E6D" w14:textId="180495D7" w:rsidR="001C0F78" w:rsidRDefault="001C0F78" w:rsidP="002060F8">
      <w:r>
        <w:t xml:space="preserve">The EPS model is available for download online </w:t>
      </w:r>
      <w:hyperlink r:id="rId38" w:history="1">
        <w:r w:rsidRPr="001C0F78">
          <w:rPr>
            <w:rStyle w:val="Hyperlink"/>
          </w:rPr>
          <w:t>here</w:t>
        </w:r>
      </w:hyperlink>
      <w:r>
        <w:t>.</w:t>
      </w:r>
      <w:r>
        <w:rPr>
          <w:rStyle w:val="FootnoteReference"/>
        </w:rPr>
        <w:footnoteReference w:id="3"/>
      </w:r>
      <w:r>
        <w:t xml:space="preserve"> And full documentation on methodology and assumptions are available online </w:t>
      </w:r>
      <w:hyperlink r:id="rId39" w:history="1">
        <w:r w:rsidRPr="001C0F78">
          <w:rPr>
            <w:rStyle w:val="Hyperlink"/>
          </w:rPr>
          <w:t>here</w:t>
        </w:r>
      </w:hyperlink>
      <w:r>
        <w:t>.</w:t>
      </w:r>
      <w:r>
        <w:rPr>
          <w:rStyle w:val="FootnoteReference"/>
        </w:rPr>
        <w:footnoteReference w:id="4"/>
      </w:r>
      <w:r>
        <w:t xml:space="preserve"> </w:t>
      </w:r>
    </w:p>
    <w:p w14:paraId="22FF93C4" w14:textId="48E48A36" w:rsidR="0034200D" w:rsidRPr="006C55AB" w:rsidRDefault="000B551A" w:rsidP="002237FD">
      <w:pPr>
        <w:pStyle w:val="Heading1"/>
      </w:pPr>
      <w:r>
        <w:t>Contact</w:t>
      </w:r>
      <w:r>
        <w:tab/>
      </w:r>
      <w:r>
        <w:tab/>
      </w:r>
      <w:r>
        <w:tab/>
      </w:r>
      <w:r>
        <w:tab/>
      </w:r>
      <w:r>
        <w:tab/>
      </w:r>
      <w:r>
        <w:tab/>
      </w:r>
      <w:r>
        <w:tab/>
      </w:r>
      <w:r>
        <w:tab/>
      </w:r>
      <w:r>
        <w:tab/>
      </w:r>
      <w:r>
        <w:tab/>
      </w:r>
      <w:r>
        <w:tab/>
      </w:r>
      <w:r>
        <w:tab/>
      </w:r>
      <w:r>
        <w:tab/>
      </w:r>
      <w:r>
        <w:tab/>
      </w:r>
      <w:r>
        <w:tab/>
      </w:r>
      <w:r>
        <w:tab/>
      </w:r>
      <w:r>
        <w:tab/>
      </w:r>
      <w:r>
        <w:tab/>
      </w:r>
      <w:r>
        <w:tab/>
      </w:r>
    </w:p>
    <w:p w14:paraId="35A798DA" w14:textId="66F5B69D" w:rsidR="002237FD" w:rsidRDefault="002237FD" w:rsidP="002237FD">
      <w:r>
        <w:t>For further information on the EPS</w:t>
      </w:r>
      <w:r w:rsidR="000B551A">
        <w:t xml:space="preserve">, contact us here </w:t>
      </w:r>
      <w:hyperlink r:id="rId40" w:history="1">
        <w:r w:rsidR="000B551A" w:rsidRPr="007679EE">
          <w:rPr>
            <w:rStyle w:val="Hyperlink"/>
          </w:rPr>
          <w:t>policy@energyinnovation.org</w:t>
        </w:r>
      </w:hyperlink>
      <w:r w:rsidR="000B551A">
        <w:t xml:space="preserve">. </w:t>
      </w:r>
      <w:r w:rsidR="00D83561">
        <w:t xml:space="preserve">If you have questions about using the EPS, we recommend first watching our video series, available </w:t>
      </w:r>
      <w:hyperlink r:id="rId41" w:history="1">
        <w:r w:rsidR="00D83561" w:rsidRPr="00D83561">
          <w:rPr>
            <w:rStyle w:val="Hyperlink"/>
          </w:rPr>
          <w:t>here</w:t>
        </w:r>
      </w:hyperlink>
      <w:r w:rsidR="00D83561">
        <w:t>.</w:t>
      </w:r>
      <w:r w:rsidR="00D83561">
        <w:rPr>
          <w:rStyle w:val="FootnoteReference"/>
        </w:rPr>
        <w:footnoteReference w:id="5"/>
      </w:r>
      <w:r w:rsidR="00D83561">
        <w:t xml:space="preserve"> </w:t>
      </w:r>
    </w:p>
    <w:p w14:paraId="4EFEEF90" w14:textId="77777777" w:rsidR="002237FD" w:rsidRPr="006C55AB" w:rsidRDefault="002237FD" w:rsidP="002237FD"/>
    <w:p w14:paraId="5F979431" w14:textId="551D0AD8" w:rsidR="00FD749E" w:rsidRPr="006C55AB" w:rsidRDefault="00FD749E">
      <w:pPr>
        <w:rPr>
          <w:color w:val="ED7D31" w:themeColor="accent2"/>
        </w:rPr>
      </w:pPr>
    </w:p>
    <w:p w14:paraId="5635E1A6" w14:textId="77777777" w:rsidR="00FD749E" w:rsidRPr="006C55AB" w:rsidRDefault="00FD749E">
      <w:pPr>
        <w:rPr>
          <w:rFonts w:cstheme="majorHAnsi"/>
          <w:sz w:val="20"/>
          <w:szCs w:val="20"/>
        </w:rPr>
      </w:pPr>
    </w:p>
    <w:sectPr w:rsidR="00FD749E" w:rsidRPr="006C55AB" w:rsidSect="00BD4EC8">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livia Ashmoore" w:date="2020-11-10T14:26:00Z" w:initials="OA">
    <w:p w14:paraId="4D0FDB57" w14:textId="1E929579" w:rsidR="008008BF" w:rsidRDefault="008008BF">
      <w:pPr>
        <w:pStyle w:val="CommentText"/>
      </w:pPr>
      <w:r>
        <w:rPr>
          <w:rStyle w:val="CommentReference"/>
        </w:rPr>
        <w:annotationRef/>
      </w:r>
      <w:r>
        <w:t>Update name later?</w:t>
      </w:r>
    </w:p>
  </w:comment>
  <w:comment w:id="1" w:author="Olivia Ashmoore" w:date="2020-11-10T09:28:00Z" w:initials="OA">
    <w:p w14:paraId="0EA2ABA1" w14:textId="5130C9BD" w:rsidR="003D1C5E" w:rsidRDefault="003D1C5E">
      <w:pPr>
        <w:pStyle w:val="CommentText"/>
      </w:pPr>
      <w:r>
        <w:rPr>
          <w:rStyle w:val="CommentReference"/>
        </w:rPr>
        <w:annotationRef/>
      </w:r>
      <w:r>
        <w:t>RMI needs to update after finalizing 1.5 scenario</w:t>
      </w:r>
    </w:p>
  </w:comment>
  <w:comment w:id="2" w:author="Olivia Ashmoore" w:date="2020-11-10T15:18:00Z" w:initials="OA">
    <w:p w14:paraId="38B267F9" w14:textId="7B8172A5" w:rsidR="000D176C" w:rsidRDefault="000D176C">
      <w:pPr>
        <w:pStyle w:val="CommentText"/>
      </w:pPr>
      <w:r>
        <w:rPr>
          <w:rStyle w:val="CommentReference"/>
        </w:rPr>
        <w:annotationRef/>
      </w:r>
      <w:r>
        <w:t>RMI - update</w:t>
      </w:r>
    </w:p>
  </w:comment>
  <w:comment w:id="3" w:author="Olivia Ashmoore" w:date="2020-11-10T15:18:00Z" w:initials="OA">
    <w:p w14:paraId="301811B6" w14:textId="7B9490D5" w:rsidR="000D176C" w:rsidRDefault="000D176C">
      <w:pPr>
        <w:pStyle w:val="CommentText"/>
      </w:pPr>
      <w:r>
        <w:rPr>
          <w:rStyle w:val="CommentReference"/>
        </w:rPr>
        <w:annotationRef/>
      </w:r>
      <w:r>
        <w:t>RMI update</w:t>
      </w:r>
    </w:p>
  </w:comment>
  <w:comment w:id="4" w:author="Zack Subin" w:date="2020-11-06T14:41:00Z" w:initials="ZS">
    <w:p w14:paraId="2129E298" w14:textId="77777777" w:rsidR="0034200D" w:rsidRDefault="0034200D" w:rsidP="0034200D">
      <w:pPr>
        <w:pStyle w:val="CommentText"/>
      </w:pPr>
      <w:r>
        <w:rPr>
          <w:rStyle w:val="CommentReference"/>
        </w:rPr>
        <w:annotationRef/>
      </w:r>
      <w:r>
        <w:t>Same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0FDB57" w15:done="0"/>
  <w15:commentEx w15:paraId="0EA2ABA1" w15:done="0"/>
  <w15:commentEx w15:paraId="38B267F9" w15:done="0"/>
  <w15:commentEx w15:paraId="301811B6" w15:done="0"/>
  <w15:commentEx w15:paraId="2129E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218D" w16cex:dateUtc="2020-11-10T22:26:00Z"/>
  <w16cex:commentExtensible w16cex:durableId="2354DBA7" w16cex:dateUtc="2020-11-10T17:28:00Z"/>
  <w16cex:commentExtensible w16cex:durableId="23552DAD" w16cex:dateUtc="2020-11-10T23:18:00Z"/>
  <w16cex:commentExtensible w16cex:durableId="23552DB4" w16cex:dateUtc="2020-11-10T23:18:00Z"/>
  <w16cex:commentExtensible w16cex:durableId="234FDF35" w16cex:dateUtc="2020-11-0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0FDB57" w16cid:durableId="2355218D"/>
  <w16cid:commentId w16cid:paraId="0EA2ABA1" w16cid:durableId="2354DBA7"/>
  <w16cid:commentId w16cid:paraId="38B267F9" w16cid:durableId="23552DAD"/>
  <w16cid:commentId w16cid:paraId="301811B6" w16cid:durableId="23552DB4"/>
  <w16cid:commentId w16cid:paraId="2129E298" w16cid:durableId="234FD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D0A7F" w14:textId="77777777" w:rsidR="00876432" w:rsidRDefault="00876432" w:rsidP="007165D8">
      <w:pPr>
        <w:spacing w:after="0" w:line="240" w:lineRule="auto"/>
      </w:pPr>
      <w:r>
        <w:separator/>
      </w:r>
    </w:p>
  </w:endnote>
  <w:endnote w:type="continuationSeparator" w:id="0">
    <w:p w14:paraId="3FBC7294" w14:textId="77777777" w:rsidR="00876432" w:rsidRDefault="00876432" w:rsidP="0071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121BF" w14:textId="77777777" w:rsidR="00876432" w:rsidRDefault="00876432" w:rsidP="007165D8">
      <w:pPr>
        <w:spacing w:after="0" w:line="240" w:lineRule="auto"/>
      </w:pPr>
      <w:r>
        <w:separator/>
      </w:r>
    </w:p>
  </w:footnote>
  <w:footnote w:type="continuationSeparator" w:id="0">
    <w:p w14:paraId="4AB3554E" w14:textId="77777777" w:rsidR="00876432" w:rsidRDefault="00876432" w:rsidP="007165D8">
      <w:pPr>
        <w:spacing w:after="0" w:line="240" w:lineRule="auto"/>
      </w:pPr>
      <w:r>
        <w:continuationSeparator/>
      </w:r>
    </w:p>
  </w:footnote>
  <w:footnote w:id="1">
    <w:p w14:paraId="25C43AEE" w14:textId="28A543C0" w:rsidR="007165D8" w:rsidRPr="007165D8" w:rsidRDefault="007165D8">
      <w:pPr>
        <w:pStyle w:val="FootnoteText"/>
        <w:rPr>
          <w:lang w:val="en-GB"/>
        </w:rPr>
      </w:pPr>
      <w:r>
        <w:rPr>
          <w:rStyle w:val="FootnoteReference"/>
        </w:rPr>
        <w:footnoteRef/>
      </w:r>
      <w:r>
        <w:t xml:space="preserve"> </w:t>
      </w:r>
      <w:r w:rsidRPr="007165D8">
        <w:t>https://www.pca.state.mn.us/air/greenhouse-gas-emissions-data</w:t>
      </w:r>
    </w:p>
  </w:footnote>
  <w:footnote w:id="2">
    <w:p w14:paraId="7909ED90" w14:textId="77777777" w:rsidR="001C0F78" w:rsidRPr="001C0F78" w:rsidRDefault="001C0F78" w:rsidP="001C0F78">
      <w:pPr>
        <w:pStyle w:val="FootnoteText"/>
        <w:rPr>
          <w:lang w:val="en-GB"/>
        </w:rPr>
      </w:pPr>
      <w:r>
        <w:rPr>
          <w:rStyle w:val="FootnoteReference"/>
        </w:rPr>
        <w:footnoteRef/>
      </w:r>
      <w:r>
        <w:t xml:space="preserve"> </w:t>
      </w:r>
      <w:r w:rsidRPr="001C0F78">
        <w:t>https://energyinnovation.org/2020/07/28/hal-harveys-insights-and-updates-congressional-climate-plan-is-a-bet-your-country-moment/</w:t>
      </w:r>
    </w:p>
  </w:footnote>
  <w:footnote w:id="3">
    <w:p w14:paraId="1A97117B" w14:textId="7CDE9506" w:rsidR="001C0F78" w:rsidRPr="001C0F78" w:rsidRDefault="001C0F78">
      <w:pPr>
        <w:pStyle w:val="FootnoteText"/>
        <w:rPr>
          <w:lang w:val="en-GB"/>
        </w:rPr>
      </w:pPr>
      <w:r>
        <w:rPr>
          <w:rStyle w:val="FootnoteReference"/>
        </w:rPr>
        <w:footnoteRef/>
      </w:r>
      <w:r>
        <w:t xml:space="preserve"> </w:t>
      </w:r>
      <w:r w:rsidRPr="001C0F78">
        <w:t>https://us.energypolicy.solutions/docs/download.html</w:t>
      </w:r>
    </w:p>
  </w:footnote>
  <w:footnote w:id="4">
    <w:p w14:paraId="02F520BE" w14:textId="43A15136" w:rsidR="001C0F78" w:rsidRPr="001C0F78" w:rsidRDefault="001C0F78">
      <w:pPr>
        <w:pStyle w:val="FootnoteText"/>
        <w:rPr>
          <w:lang w:val="en-GB"/>
        </w:rPr>
      </w:pPr>
      <w:r>
        <w:rPr>
          <w:rStyle w:val="FootnoteReference"/>
        </w:rPr>
        <w:footnoteRef/>
      </w:r>
      <w:r>
        <w:t xml:space="preserve"> </w:t>
      </w:r>
      <w:r w:rsidRPr="001C0F78">
        <w:t>https://us.energypolicy.solutions/docs/index.html</w:t>
      </w:r>
    </w:p>
  </w:footnote>
  <w:footnote w:id="5">
    <w:p w14:paraId="7E87EEE7" w14:textId="5D4A644F" w:rsidR="00D83561" w:rsidRPr="00D83561" w:rsidRDefault="00D83561">
      <w:pPr>
        <w:pStyle w:val="FootnoteText"/>
        <w:rPr>
          <w:lang w:val="en-GB"/>
        </w:rPr>
      </w:pPr>
      <w:r>
        <w:rPr>
          <w:rStyle w:val="FootnoteReference"/>
        </w:rPr>
        <w:footnoteRef/>
      </w:r>
      <w:r>
        <w:t xml:space="preserve"> </w:t>
      </w:r>
      <w:r w:rsidRPr="00D83561">
        <w:t>https://us.energypolicy.solutions/docs/video-series.html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0C9C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E58E4"/>
    <w:multiLevelType w:val="hybridMultilevel"/>
    <w:tmpl w:val="4814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A3668"/>
    <w:multiLevelType w:val="hybridMultilevel"/>
    <w:tmpl w:val="DFC0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67869"/>
    <w:multiLevelType w:val="hybridMultilevel"/>
    <w:tmpl w:val="723AA130"/>
    <w:lvl w:ilvl="0" w:tplc="5C34B22E">
      <w:numFmt w:val="bullet"/>
      <w:pStyle w:val="Heading2"/>
      <w:lvlText w:val=""/>
      <w:lvlJc w:val="left"/>
      <w:pPr>
        <w:ind w:left="360" w:hanging="360"/>
      </w:pPr>
      <w:rPr>
        <w:rFonts w:ascii="Wingdings 3" w:eastAsiaTheme="majorEastAsia" w:hAnsi="Wingdings 3" w:cstheme="majorHAns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B33797"/>
    <w:multiLevelType w:val="hybridMultilevel"/>
    <w:tmpl w:val="868C1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C06DE"/>
    <w:multiLevelType w:val="hybridMultilevel"/>
    <w:tmpl w:val="45B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57BAA"/>
    <w:multiLevelType w:val="hybridMultilevel"/>
    <w:tmpl w:val="98A21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71D52"/>
    <w:multiLevelType w:val="hybridMultilevel"/>
    <w:tmpl w:val="1C9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0"/>
  </w:num>
  <w:num w:numId="4">
    <w:abstractNumId w:val="2"/>
  </w:num>
  <w:num w:numId="5">
    <w:abstractNumId w:val="10"/>
  </w:num>
  <w:num w:numId="6">
    <w:abstractNumId w:val="12"/>
  </w:num>
  <w:num w:numId="7">
    <w:abstractNumId w:val="6"/>
  </w:num>
  <w:num w:numId="8">
    <w:abstractNumId w:val="9"/>
  </w:num>
  <w:num w:numId="9">
    <w:abstractNumId w:val="5"/>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ivia Ashmoore">
    <w15:presenceInfo w15:providerId="AD" w15:userId="S::olivia@energyinnovation.onmicrosoft.com::75aa6550-3462-4480-900f-0bd2e542e876"/>
  </w15:person>
  <w15:person w15:author="Zack Subin">
    <w15:presenceInfo w15:providerId="AD" w15:userId="S::zsubin@rmi.org::e2d1fcbf-49f2-4163-abe8-dde432bc2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C8"/>
    <w:rsid w:val="0007276F"/>
    <w:rsid w:val="000A3DE2"/>
    <w:rsid w:val="000B551A"/>
    <w:rsid w:val="000D176C"/>
    <w:rsid w:val="001014E5"/>
    <w:rsid w:val="001C0F78"/>
    <w:rsid w:val="002060F8"/>
    <w:rsid w:val="002237FD"/>
    <w:rsid w:val="002E5BA3"/>
    <w:rsid w:val="00326B20"/>
    <w:rsid w:val="0034200D"/>
    <w:rsid w:val="003A532E"/>
    <w:rsid w:val="003D0262"/>
    <w:rsid w:val="003D192F"/>
    <w:rsid w:val="003D1C5E"/>
    <w:rsid w:val="003F7A99"/>
    <w:rsid w:val="00457BD3"/>
    <w:rsid w:val="00480EB7"/>
    <w:rsid w:val="0049650B"/>
    <w:rsid w:val="004A13D3"/>
    <w:rsid w:val="004F409C"/>
    <w:rsid w:val="005146BC"/>
    <w:rsid w:val="00555E3F"/>
    <w:rsid w:val="005D64B7"/>
    <w:rsid w:val="005F42D8"/>
    <w:rsid w:val="0061267F"/>
    <w:rsid w:val="00643E76"/>
    <w:rsid w:val="00646EFA"/>
    <w:rsid w:val="006C55AB"/>
    <w:rsid w:val="006E38CA"/>
    <w:rsid w:val="006F13AB"/>
    <w:rsid w:val="0070151B"/>
    <w:rsid w:val="00707379"/>
    <w:rsid w:val="007165D8"/>
    <w:rsid w:val="00721E69"/>
    <w:rsid w:val="007502FC"/>
    <w:rsid w:val="007751B5"/>
    <w:rsid w:val="008008BF"/>
    <w:rsid w:val="00803941"/>
    <w:rsid w:val="0081754A"/>
    <w:rsid w:val="00835E6A"/>
    <w:rsid w:val="00876432"/>
    <w:rsid w:val="009125BB"/>
    <w:rsid w:val="0095582C"/>
    <w:rsid w:val="009A35C8"/>
    <w:rsid w:val="009C27E2"/>
    <w:rsid w:val="00A03E3D"/>
    <w:rsid w:val="00AA1DB7"/>
    <w:rsid w:val="00B058E1"/>
    <w:rsid w:val="00BD06D1"/>
    <w:rsid w:val="00BD4EC8"/>
    <w:rsid w:val="00C464B8"/>
    <w:rsid w:val="00C537C6"/>
    <w:rsid w:val="00CF1F60"/>
    <w:rsid w:val="00D07D26"/>
    <w:rsid w:val="00D22E6C"/>
    <w:rsid w:val="00D24EA6"/>
    <w:rsid w:val="00D40247"/>
    <w:rsid w:val="00D6573C"/>
    <w:rsid w:val="00D83561"/>
    <w:rsid w:val="00DC69B8"/>
    <w:rsid w:val="00DE0857"/>
    <w:rsid w:val="00E13000"/>
    <w:rsid w:val="00E26018"/>
    <w:rsid w:val="00E421AE"/>
    <w:rsid w:val="00E65292"/>
    <w:rsid w:val="00E92414"/>
    <w:rsid w:val="00F37FFE"/>
    <w:rsid w:val="00F77898"/>
    <w:rsid w:val="00FD749E"/>
    <w:rsid w:val="00FF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366"/>
  <w15:chartTrackingRefBased/>
  <w15:docId w15:val="{DDA6D543-B271-4052-87A0-D4781A8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9E"/>
  </w:style>
  <w:style w:type="paragraph" w:styleId="Heading1">
    <w:name w:val="heading 1"/>
    <w:basedOn w:val="Normal"/>
    <w:next w:val="Normal"/>
    <w:link w:val="Heading1Char"/>
    <w:uiPriority w:val="9"/>
    <w:qFormat/>
    <w:rsid w:val="009C27E2"/>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480EB7"/>
    <w:pPr>
      <w:keepNext/>
      <w:keepLines/>
      <w:numPr>
        <w:numId w:val="12"/>
      </w:numPr>
      <w:shd w:val="clear" w:color="auto" w:fill="8EAADB" w:themeFill="accent1" w:themeFillTint="99"/>
      <w:spacing w:before="40" w:after="120"/>
      <w:outlineLvl w:val="1"/>
    </w:pPr>
    <w:rPr>
      <w:rFonts w:asciiTheme="majorHAnsi" w:eastAsiaTheme="majorEastAsia" w:hAnsiTheme="majorHAnsi" w:cstheme="majorHAnsi"/>
      <w:b/>
      <w:caps/>
      <w:sz w:val="24"/>
      <w:szCs w:val="24"/>
      <w:shd w:val="clear" w:color="auto" w:fill="8EAADB" w:themeFill="accent1" w:themeFillTint="99"/>
    </w:rPr>
  </w:style>
  <w:style w:type="paragraph" w:styleId="Heading3">
    <w:name w:val="heading 3"/>
    <w:basedOn w:val="Normal"/>
    <w:next w:val="Normal"/>
    <w:link w:val="Heading3Char"/>
    <w:uiPriority w:val="9"/>
    <w:unhideWhenUsed/>
    <w:qFormat/>
    <w:rsid w:val="00480EB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2"/>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480EB7"/>
    <w:rPr>
      <w:rFonts w:asciiTheme="majorHAnsi" w:eastAsiaTheme="majorEastAsia" w:hAnsiTheme="majorHAnsi" w:cstheme="majorHAnsi"/>
      <w:b/>
      <w:caps/>
      <w:sz w:val="24"/>
      <w:szCs w:val="24"/>
      <w:shd w:val="clear" w:color="auto" w:fill="8EAADB" w:themeFill="accent1" w:themeFillTint="99"/>
    </w:rPr>
  </w:style>
  <w:style w:type="paragraph" w:styleId="ListParagraph">
    <w:name w:val="List Paragraph"/>
    <w:basedOn w:val="Normal"/>
    <w:uiPriority w:val="34"/>
    <w:qFormat/>
    <w:rsid w:val="00BD4EC8"/>
    <w:pPr>
      <w:ind w:left="720"/>
      <w:contextualSpacing/>
    </w:pPr>
  </w:style>
  <w:style w:type="character" w:styleId="Hyperlink">
    <w:name w:val="Hyperlink"/>
    <w:basedOn w:val="DefaultParagraphFont"/>
    <w:uiPriority w:val="99"/>
    <w:unhideWhenUsed/>
    <w:rsid w:val="00BD4EC8"/>
    <w:rPr>
      <w:color w:val="0563C1" w:themeColor="hyperlink"/>
      <w:u w:val="single"/>
    </w:rPr>
  </w:style>
  <w:style w:type="character" w:styleId="CommentReference">
    <w:name w:val="annotation reference"/>
    <w:basedOn w:val="DefaultParagraphFont"/>
    <w:uiPriority w:val="99"/>
    <w:semiHidden/>
    <w:unhideWhenUsed/>
    <w:rsid w:val="00BD4EC8"/>
    <w:rPr>
      <w:sz w:val="16"/>
      <w:szCs w:val="16"/>
    </w:rPr>
  </w:style>
  <w:style w:type="paragraph" w:styleId="CommentText">
    <w:name w:val="annotation text"/>
    <w:basedOn w:val="Normal"/>
    <w:link w:val="CommentTextChar"/>
    <w:uiPriority w:val="99"/>
    <w:semiHidden/>
    <w:unhideWhenUsed/>
    <w:rsid w:val="00BD4EC8"/>
    <w:pPr>
      <w:spacing w:line="240" w:lineRule="auto"/>
    </w:pPr>
    <w:rPr>
      <w:sz w:val="20"/>
      <w:szCs w:val="20"/>
    </w:rPr>
  </w:style>
  <w:style w:type="character" w:customStyle="1" w:styleId="CommentTextChar">
    <w:name w:val="Comment Text Char"/>
    <w:basedOn w:val="DefaultParagraphFont"/>
    <w:link w:val="CommentText"/>
    <w:uiPriority w:val="99"/>
    <w:semiHidden/>
    <w:rsid w:val="00BD4EC8"/>
    <w:rPr>
      <w:sz w:val="20"/>
      <w:szCs w:val="20"/>
    </w:rPr>
  </w:style>
  <w:style w:type="paragraph" w:styleId="BalloonText">
    <w:name w:val="Balloon Text"/>
    <w:basedOn w:val="Normal"/>
    <w:link w:val="BalloonTextChar"/>
    <w:uiPriority w:val="99"/>
    <w:semiHidden/>
    <w:unhideWhenUsed/>
    <w:rsid w:val="00BD4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8"/>
    <w:rPr>
      <w:rFonts w:ascii="Segoe UI" w:hAnsi="Segoe UI" w:cs="Segoe UI"/>
      <w:sz w:val="18"/>
      <w:szCs w:val="18"/>
    </w:rPr>
  </w:style>
  <w:style w:type="paragraph" w:styleId="NormalWeb">
    <w:name w:val="Normal (Web)"/>
    <w:basedOn w:val="Normal"/>
    <w:uiPriority w:val="99"/>
    <w:semiHidden/>
    <w:unhideWhenUsed/>
    <w:rsid w:val="00BD4E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7D26"/>
    <w:rPr>
      <w:color w:val="954F72" w:themeColor="followedHyperlink"/>
      <w:u w:val="single"/>
    </w:rPr>
  </w:style>
  <w:style w:type="character" w:customStyle="1" w:styleId="UnresolvedMention1">
    <w:name w:val="Unresolved Mention1"/>
    <w:basedOn w:val="DefaultParagraphFont"/>
    <w:uiPriority w:val="99"/>
    <w:semiHidden/>
    <w:unhideWhenUsed/>
    <w:rsid w:val="00BD06D1"/>
    <w:rPr>
      <w:color w:val="605E5C"/>
      <w:shd w:val="clear" w:color="auto" w:fill="E1DFDD"/>
    </w:rPr>
  </w:style>
  <w:style w:type="table" w:styleId="TableGrid">
    <w:name w:val="Table Grid"/>
    <w:basedOn w:val="TableNormal"/>
    <w:uiPriority w:val="39"/>
    <w:rsid w:val="00D2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2E6C"/>
    <w:pPr>
      <w:spacing w:after="0" w:line="240" w:lineRule="auto"/>
    </w:pPr>
  </w:style>
  <w:style w:type="character" w:customStyle="1" w:styleId="normaltextrun">
    <w:name w:val="normaltextrun"/>
    <w:basedOn w:val="DefaultParagraphFont"/>
    <w:rsid w:val="00D22E6C"/>
  </w:style>
  <w:style w:type="paragraph" w:styleId="CommentSubject">
    <w:name w:val="annotation subject"/>
    <w:basedOn w:val="CommentText"/>
    <w:next w:val="CommentText"/>
    <w:link w:val="CommentSubjectChar"/>
    <w:uiPriority w:val="99"/>
    <w:semiHidden/>
    <w:unhideWhenUsed/>
    <w:rsid w:val="0034200D"/>
    <w:rPr>
      <w:b/>
      <w:bCs/>
    </w:rPr>
  </w:style>
  <w:style w:type="character" w:customStyle="1" w:styleId="CommentSubjectChar">
    <w:name w:val="Comment Subject Char"/>
    <w:basedOn w:val="CommentTextChar"/>
    <w:link w:val="CommentSubject"/>
    <w:uiPriority w:val="99"/>
    <w:semiHidden/>
    <w:rsid w:val="0034200D"/>
    <w:rPr>
      <w:b/>
      <w:bCs/>
      <w:sz w:val="20"/>
      <w:szCs w:val="20"/>
    </w:rPr>
  </w:style>
  <w:style w:type="paragraph" w:styleId="FootnoteText">
    <w:name w:val="footnote text"/>
    <w:basedOn w:val="Normal"/>
    <w:link w:val="FootnoteTextChar"/>
    <w:uiPriority w:val="99"/>
    <w:semiHidden/>
    <w:unhideWhenUsed/>
    <w:rsid w:val="00716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65D8"/>
    <w:rPr>
      <w:sz w:val="20"/>
      <w:szCs w:val="20"/>
    </w:rPr>
  </w:style>
  <w:style w:type="character" w:styleId="FootnoteReference">
    <w:name w:val="footnote reference"/>
    <w:basedOn w:val="DefaultParagraphFont"/>
    <w:uiPriority w:val="99"/>
    <w:semiHidden/>
    <w:unhideWhenUsed/>
    <w:rsid w:val="007165D8"/>
    <w:rPr>
      <w:vertAlign w:val="superscript"/>
    </w:rPr>
  </w:style>
  <w:style w:type="character" w:customStyle="1" w:styleId="Heading3Char">
    <w:name w:val="Heading 3 Char"/>
    <w:basedOn w:val="DefaultParagraphFont"/>
    <w:link w:val="Heading3"/>
    <w:uiPriority w:val="9"/>
    <w:rsid w:val="00480EB7"/>
    <w:rPr>
      <w:b/>
      <w:bCs/>
    </w:rPr>
  </w:style>
  <w:style w:type="character" w:styleId="UnresolvedMention">
    <w:name w:val="Unresolved Mention"/>
    <w:basedOn w:val="DefaultParagraphFont"/>
    <w:uiPriority w:val="99"/>
    <w:semiHidden/>
    <w:unhideWhenUsed/>
    <w:rsid w:val="001C0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8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state/seds/seds-data-fuel.php?sid=US" TargetMode="External"/><Relationship Id="rId18" Type="http://schemas.openxmlformats.org/officeDocument/2006/relationships/hyperlink" Target="https://www.epa.gov/statelocalenergy/state-co2-emissions-fossil-fuel-combustion-1990-2017" TargetMode="External"/><Relationship Id="rId26" Type="http://schemas.openxmlformats.org/officeDocument/2006/relationships/hyperlink" Target="https://www.pca.state.mn.us/air/greenhouse-gas-emissions-data" TargetMode="External"/><Relationship Id="rId39" Type="http://schemas.openxmlformats.org/officeDocument/2006/relationships/hyperlink" Target="https://us.energypolicy.solutions/docs/index.html" TargetMode="External"/><Relationship Id="rId21" Type="http://schemas.openxmlformats.org/officeDocument/2006/relationships/hyperlink" Target="https://ghgdata.epa.gov/ghgp/main.do" TargetMode="External"/><Relationship Id="rId34" Type="http://schemas.openxmlformats.org/officeDocument/2006/relationships/hyperlink" Target="https://www.nrel.gov/docs/fy18osti/70485.pdf" TargetMode="External"/><Relationship Id="rId42" Type="http://schemas.openxmlformats.org/officeDocument/2006/relationships/fontTable" Target="fontTable.xm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w.eia.gov/state/seds/seds-data-fuel.php?sid=US" TargetMode="External"/><Relationship Id="rId20" Type="http://schemas.openxmlformats.org/officeDocument/2006/relationships/hyperlink" Target="https://www.epa.gov/global-mitigation-non-co2-greenhouse-gases/global-non-co2-greenhouse-gas-emission-projections" TargetMode="External"/><Relationship Id="rId29" Type="http://schemas.openxmlformats.org/officeDocument/2006/relationships/hyperlink" Target="https://www.epa.gov/statelocalenergy/state-co2-emissions-fossil-fuel-combustion-1990-2017" TargetMode="External"/><Relationship Id="rId41" Type="http://schemas.openxmlformats.org/officeDocument/2006/relationships/hyperlink" Target="https://us.energypolicy.solutions/docs/video-seri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statelocalenergy/state-co2-emissions-fossil-fuel-combustion-1990-2017" TargetMode="External"/><Relationship Id="rId24" Type="http://schemas.openxmlformats.org/officeDocument/2006/relationships/hyperlink" Target="https://www.pca.state.mn.us/air/greenhouse-gas-emissions-data" TargetMode="External"/><Relationship Id="rId32" Type="http://schemas.microsoft.com/office/2016/09/relationships/commentsIds" Target="commentsIds.xml"/><Relationship Id="rId37" Type="http://schemas.openxmlformats.org/officeDocument/2006/relationships/hyperlink" Target="https://programs.dsireusa.org/system/program/detail/2401" TargetMode="External"/><Relationship Id="rId40" Type="http://schemas.openxmlformats.org/officeDocument/2006/relationships/hyperlink" Target="mailto:policy@energyinnovation.org" TargetMode="External"/><Relationship Id="rId5" Type="http://schemas.openxmlformats.org/officeDocument/2006/relationships/footnotes" Target="footnotes.xml"/><Relationship Id="rId15" Type="http://schemas.openxmlformats.org/officeDocument/2006/relationships/hyperlink" Target="https://www.eia.gov/outlooks/aeo/tables_ref.php" TargetMode="External"/><Relationship Id="rId23" Type="http://schemas.openxmlformats.org/officeDocument/2006/relationships/hyperlink" Target="https://www.ethree.com/wp-content/uploads/2020/01/MN_PATHWAYS_Final-Report_2019-06-26.pdf" TargetMode="External"/><Relationship Id="rId28" Type="http://schemas.openxmlformats.org/officeDocument/2006/relationships/hyperlink" Target="https://www.epa.gov/statelocalenergy/state-co2-emissions-fossil-fuel-combustion-1990-2017" TargetMode="External"/><Relationship Id="rId36" Type="http://schemas.openxmlformats.org/officeDocument/2006/relationships/hyperlink" Target="https://www.nrel.gov/docs/fy18osti/70485.pdf" TargetMode="Externa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epa.gov/statelocalenergy/state-co2-emissions-fossil-fuel-combustion-1990-2017" TargetMode="External"/><Relationship Id="rId31" Type="http://schemas.microsoft.com/office/2011/relationships/commentsExtended" Target="commentsExtended.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ia.gov/electricity/state/minnesota/state_tables.php" TargetMode="External"/><Relationship Id="rId14" Type="http://schemas.openxmlformats.org/officeDocument/2006/relationships/hyperlink" Target="https://www.epa.gov/statelocalenergy/state-co2-emissions-fossil-fuel-combustion-1990-2017" TargetMode="External"/><Relationship Id="rId22" Type="http://schemas.openxmlformats.org/officeDocument/2006/relationships/hyperlink" Target="https://www.epa.gov/statelocalenergy/download-state-inventory-and-projection-tool" TargetMode="External"/><Relationship Id="rId27" Type="http://schemas.openxmlformats.org/officeDocument/2006/relationships/hyperlink" Target="https://www.nrel.gov/analysis/electrification-futures.html" TargetMode="External"/><Relationship Id="rId30" Type="http://schemas.openxmlformats.org/officeDocument/2006/relationships/comments" Target="comments.xml"/><Relationship Id="rId35" Type="http://schemas.openxmlformats.org/officeDocument/2006/relationships/hyperlink" Target="https://www.eia.gov/outlooks/aeo/assumptions/pdf/summary.pdf" TargetMode="External"/><Relationship Id="rId43" Type="http://schemas.microsoft.com/office/2011/relationships/people" Target="people.xml"/><Relationship Id="rId8" Type="http://schemas.openxmlformats.org/officeDocument/2006/relationships/hyperlink" Target="https://www.eia.gov/electricity/data/eia860/" TargetMode="External"/><Relationship Id="rId3" Type="http://schemas.openxmlformats.org/officeDocument/2006/relationships/settings" Target="settings.xml"/><Relationship Id="rId12" Type="http://schemas.openxmlformats.org/officeDocument/2006/relationships/hyperlink" Target="https://www.nrel.gov/analysis/electrification-futures.html" TargetMode="External"/><Relationship Id="rId17" Type="http://schemas.openxmlformats.org/officeDocument/2006/relationships/hyperlink" Target="https://www.census.gov/programs-surveys/cbp/data/tables.html" TargetMode="External"/><Relationship Id="rId25" Type="http://schemas.openxmlformats.org/officeDocument/2006/relationships/hyperlink" Target="https://www.ethree.com/wp-content/uploads/2020/01/MN_PATHWAYS_Final-Report_2019-06-26.pdf" TargetMode="External"/><Relationship Id="rId33" Type="http://schemas.microsoft.com/office/2018/08/relationships/commentsExtensible" Target="commentsExtensible.xml"/><Relationship Id="rId38" Type="http://schemas.openxmlformats.org/officeDocument/2006/relationships/hyperlink" Target="https://us.energypolicy.solutions/docs/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Ashmoore</dc:creator>
  <cp:keywords/>
  <dc:description/>
  <cp:lastModifiedBy>Olivia Ashmoore</cp:lastModifiedBy>
  <cp:revision>30</cp:revision>
  <dcterms:created xsi:type="dcterms:W3CDTF">2020-11-10T17:22:00Z</dcterms:created>
  <dcterms:modified xsi:type="dcterms:W3CDTF">2020-11-10T23:23:00Z</dcterms:modified>
</cp:coreProperties>
</file>