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37A61" w14:textId="77777777" w:rsidR="00F407E9" w:rsidRDefault="000F68CA">
      <w:pPr>
        <w:rPr>
          <w:b/>
          <w:sz w:val="32"/>
          <w:szCs w:val="32"/>
        </w:rPr>
      </w:pPr>
      <w:r>
        <w:rPr>
          <w:b/>
          <w:sz w:val="32"/>
          <w:szCs w:val="32"/>
        </w:rPr>
        <w:t>Nevada Energy Policy Simulator (EPS) Summary Documentation</w:t>
      </w:r>
    </w:p>
    <w:p w14:paraId="096AA1E6" w14:textId="77777777" w:rsidR="00F407E9" w:rsidRDefault="000F68CA">
      <w:pPr>
        <w:pStyle w:val="Heading1"/>
        <w:shd w:val="clear" w:color="auto" w:fill="1F4E79"/>
        <w:rPr>
          <w:sz w:val="28"/>
          <w:szCs w:val="28"/>
        </w:rPr>
      </w:pPr>
      <w:r>
        <w:rPr>
          <w:sz w:val="28"/>
          <w:szCs w:val="28"/>
        </w:rPr>
        <w:t xml:space="preserve">Estimating Economy-wide Emissions for </w:t>
      </w:r>
      <w:r>
        <w:rPr>
          <w:sz w:val="28"/>
          <w:szCs w:val="28"/>
        </w:rPr>
        <w:t>Nevada</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5AD1B30B" w14:textId="77777777" w:rsidR="00F407E9" w:rsidRDefault="000F68CA">
      <w:r>
        <w:t>The Nevada Energy Policy Simulator (EPS) accounts for emissions produced in the following sectors: electricity generation, building energy consumption, industrial energy consumption, industrial process emissions, agriculture process emissions, land use cha</w:t>
      </w:r>
      <w:r>
        <w:t xml:space="preserve">nge, and transportation. </w:t>
      </w:r>
    </w:p>
    <w:p w14:paraId="39CE9991" w14:textId="77777777" w:rsidR="00F407E9" w:rsidRDefault="000F68CA">
      <w:r>
        <w:t>Our primary sources are federal data sets from the Environmental Protection Agency (EPA), Energy Information Association (EIA), and the National Renewable Energy Lab (NREL). The table below summarizes our data sources and methodol</w:t>
      </w:r>
      <w:r>
        <w:t>ogy.</w:t>
      </w:r>
    </w:p>
    <w:p w14:paraId="45E63115" w14:textId="77777777" w:rsidR="00F407E9" w:rsidRDefault="000F68CA">
      <w:pPr>
        <w:pStyle w:val="Heading2"/>
        <w:numPr>
          <w:ilvl w:val="0"/>
          <w:numId w:val="3"/>
        </w:numPr>
      </w:pPr>
      <w:r>
        <w:t>DATA SOURCES</w:t>
      </w:r>
      <w:r>
        <w:tab/>
      </w:r>
      <w:r>
        <w:tab/>
      </w:r>
      <w:r>
        <w:tab/>
      </w:r>
      <w:r>
        <w:tab/>
      </w:r>
      <w:r>
        <w:tab/>
      </w:r>
      <w:r>
        <w:tab/>
      </w:r>
      <w:r>
        <w:tab/>
      </w:r>
    </w:p>
    <w:tbl>
      <w:tblPr>
        <w:tblStyle w:val="a"/>
        <w:tblW w:w="14390" w:type="dxa"/>
        <w:tblLayout w:type="fixed"/>
        <w:tblLook w:val="0400" w:firstRow="0" w:lastRow="0" w:firstColumn="0" w:lastColumn="0" w:noHBand="0" w:noVBand="1"/>
      </w:tblPr>
      <w:tblGrid>
        <w:gridCol w:w="1710"/>
        <w:gridCol w:w="2455"/>
        <w:gridCol w:w="2741"/>
        <w:gridCol w:w="3723"/>
        <w:gridCol w:w="3761"/>
      </w:tblGrid>
      <w:tr w:rsidR="00F407E9" w14:paraId="51CC25BC" w14:textId="77777777">
        <w:trPr>
          <w:trHeight w:val="20"/>
        </w:trPr>
        <w:tc>
          <w:tcPr>
            <w:tcW w:w="1710" w:type="dxa"/>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tcPr>
          <w:p w14:paraId="2AF5D191" w14:textId="77777777" w:rsidR="00F407E9" w:rsidRDefault="000F68CA">
            <w:pPr>
              <w:pBdr>
                <w:top w:val="nil"/>
                <w:left w:val="nil"/>
                <w:bottom w:val="nil"/>
                <w:right w:val="nil"/>
                <w:between w:val="nil"/>
              </w:pBdr>
              <w:spacing w:after="0" w:line="240" w:lineRule="auto"/>
              <w:rPr>
                <w:color w:val="000000"/>
                <w:sz w:val="20"/>
                <w:szCs w:val="20"/>
              </w:rPr>
            </w:pPr>
            <w:r>
              <w:rPr>
                <w:b/>
                <w:color w:val="000000"/>
                <w:sz w:val="20"/>
                <w:szCs w:val="20"/>
              </w:rPr>
              <w:t>Sector</w:t>
            </w:r>
          </w:p>
        </w:tc>
        <w:tc>
          <w:tcPr>
            <w:tcW w:w="2455" w:type="dxa"/>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tcPr>
          <w:p w14:paraId="33756079" w14:textId="77777777" w:rsidR="00F407E9" w:rsidRDefault="000F68CA">
            <w:pPr>
              <w:pBdr>
                <w:top w:val="nil"/>
                <w:left w:val="nil"/>
                <w:bottom w:val="nil"/>
                <w:right w:val="nil"/>
                <w:between w:val="nil"/>
              </w:pBdr>
              <w:spacing w:after="0" w:line="240" w:lineRule="auto"/>
              <w:rPr>
                <w:color w:val="000000"/>
                <w:sz w:val="20"/>
                <w:szCs w:val="20"/>
              </w:rPr>
            </w:pPr>
            <w:r>
              <w:rPr>
                <w:b/>
                <w:color w:val="000000"/>
                <w:sz w:val="20"/>
                <w:szCs w:val="20"/>
              </w:rPr>
              <w:t>Subsectors</w:t>
            </w:r>
          </w:p>
        </w:tc>
        <w:tc>
          <w:tcPr>
            <w:tcW w:w="2741" w:type="dxa"/>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tcPr>
          <w:p w14:paraId="3902CFA9" w14:textId="77777777" w:rsidR="00F407E9" w:rsidRDefault="000F68CA">
            <w:pPr>
              <w:pBdr>
                <w:top w:val="nil"/>
                <w:left w:val="nil"/>
                <w:bottom w:val="nil"/>
                <w:right w:val="nil"/>
                <w:between w:val="nil"/>
              </w:pBdr>
              <w:spacing w:after="0" w:line="240" w:lineRule="auto"/>
              <w:rPr>
                <w:color w:val="000000"/>
                <w:sz w:val="20"/>
                <w:szCs w:val="20"/>
              </w:rPr>
            </w:pPr>
            <w:r>
              <w:rPr>
                <w:b/>
                <w:color w:val="000000"/>
                <w:sz w:val="20"/>
                <w:szCs w:val="20"/>
              </w:rPr>
              <w:t>Source</w:t>
            </w:r>
          </w:p>
        </w:tc>
        <w:tc>
          <w:tcPr>
            <w:tcW w:w="3723" w:type="dxa"/>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tcPr>
          <w:p w14:paraId="3BE547BC" w14:textId="77777777" w:rsidR="00F407E9" w:rsidRDefault="000F68CA">
            <w:pPr>
              <w:pBdr>
                <w:top w:val="nil"/>
                <w:left w:val="nil"/>
                <w:bottom w:val="nil"/>
                <w:right w:val="nil"/>
                <w:between w:val="nil"/>
              </w:pBdr>
              <w:spacing w:after="0" w:line="240" w:lineRule="auto"/>
              <w:rPr>
                <w:color w:val="000000"/>
                <w:sz w:val="20"/>
                <w:szCs w:val="20"/>
              </w:rPr>
            </w:pPr>
            <w:r>
              <w:rPr>
                <w:b/>
                <w:color w:val="000000"/>
                <w:sz w:val="20"/>
                <w:szCs w:val="20"/>
              </w:rPr>
              <w:t>Methodology</w:t>
            </w:r>
          </w:p>
        </w:tc>
        <w:tc>
          <w:tcPr>
            <w:tcW w:w="3761" w:type="dxa"/>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tcPr>
          <w:p w14:paraId="65FDB9C2" w14:textId="77777777" w:rsidR="00F407E9" w:rsidRDefault="000F68CA">
            <w:pPr>
              <w:pBdr>
                <w:top w:val="nil"/>
                <w:left w:val="nil"/>
                <w:bottom w:val="nil"/>
                <w:right w:val="nil"/>
                <w:between w:val="nil"/>
              </w:pBdr>
              <w:spacing w:after="0" w:line="240" w:lineRule="auto"/>
              <w:rPr>
                <w:color w:val="000000"/>
                <w:sz w:val="20"/>
                <w:szCs w:val="20"/>
              </w:rPr>
            </w:pPr>
            <w:r>
              <w:rPr>
                <w:b/>
                <w:color w:val="000000"/>
                <w:sz w:val="20"/>
                <w:szCs w:val="20"/>
              </w:rPr>
              <w:t>Benchmarking Sources for Comparisons</w:t>
            </w:r>
          </w:p>
        </w:tc>
      </w:tr>
      <w:tr w:rsidR="00F407E9" w14:paraId="7AD80269" w14:textId="77777777">
        <w:trPr>
          <w:trHeight w:val="20"/>
        </w:trPr>
        <w:tc>
          <w:tcPr>
            <w:tcW w:w="1710" w:type="dxa"/>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14:paraId="1FD08A78" w14:textId="77777777" w:rsidR="00F407E9" w:rsidRDefault="000F68CA">
            <w:pPr>
              <w:pBdr>
                <w:top w:val="nil"/>
                <w:left w:val="nil"/>
                <w:bottom w:val="nil"/>
                <w:right w:val="nil"/>
                <w:between w:val="nil"/>
              </w:pBdr>
              <w:spacing w:after="0" w:line="240" w:lineRule="auto"/>
              <w:rPr>
                <w:color w:val="000000"/>
                <w:sz w:val="20"/>
                <w:szCs w:val="20"/>
              </w:rPr>
            </w:pPr>
            <w:r>
              <w:rPr>
                <w:color w:val="000000"/>
                <w:sz w:val="20"/>
                <w:szCs w:val="20"/>
              </w:rPr>
              <w:t>ELECTRICITY</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5CEA06" w14:textId="77777777" w:rsidR="00F407E9" w:rsidRDefault="000F68CA">
            <w:pPr>
              <w:pBdr>
                <w:top w:val="nil"/>
                <w:left w:val="nil"/>
                <w:bottom w:val="nil"/>
                <w:right w:val="nil"/>
                <w:between w:val="nil"/>
              </w:pBdr>
              <w:spacing w:after="0" w:line="240" w:lineRule="auto"/>
              <w:rPr>
                <w:color w:val="000000"/>
                <w:sz w:val="20"/>
                <w:szCs w:val="20"/>
              </w:rPr>
            </w:pPr>
            <w:r>
              <w:rPr>
                <w:color w:val="000000"/>
                <w:sz w:val="20"/>
                <w:szCs w:val="20"/>
              </w:rPr>
              <w:t>In-state capacity and generation; out of state imports</w:t>
            </w:r>
          </w:p>
        </w:tc>
        <w:tc>
          <w:tcPr>
            <w:tcW w:w="2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8AA625" w14:textId="77777777" w:rsidR="00F407E9" w:rsidRDefault="000F68CA">
            <w:pPr>
              <w:pBdr>
                <w:top w:val="nil"/>
                <w:left w:val="nil"/>
                <w:bottom w:val="nil"/>
                <w:right w:val="nil"/>
                <w:between w:val="nil"/>
              </w:pBdr>
              <w:spacing w:after="0" w:line="240" w:lineRule="auto"/>
              <w:rPr>
                <w:color w:val="000000"/>
                <w:sz w:val="20"/>
                <w:szCs w:val="20"/>
              </w:rPr>
            </w:pPr>
            <w:r>
              <w:rPr>
                <w:color w:val="000000"/>
                <w:sz w:val="20"/>
                <w:szCs w:val="20"/>
              </w:rPr>
              <w:t xml:space="preserve">For capacity and generation: EIA’s </w:t>
            </w:r>
            <w:hyperlink r:id="rId7">
              <w:r>
                <w:rPr>
                  <w:color w:val="1155CC"/>
                  <w:sz w:val="20"/>
                  <w:szCs w:val="20"/>
                  <w:u w:val="single"/>
                </w:rPr>
                <w:t>Form 923</w:t>
              </w:r>
            </w:hyperlink>
            <w:r>
              <w:rPr>
                <w:color w:val="000000"/>
                <w:sz w:val="20"/>
                <w:szCs w:val="20"/>
              </w:rPr>
              <w:t xml:space="preserve"> and EIA’s </w:t>
            </w:r>
            <w:hyperlink r:id="rId8">
              <w:r>
                <w:rPr>
                  <w:color w:val="1155CC"/>
                  <w:sz w:val="20"/>
                  <w:szCs w:val="20"/>
                  <w:u w:val="single"/>
                </w:rPr>
                <w:t>Form 860</w:t>
              </w:r>
            </w:hyperlink>
          </w:p>
          <w:p w14:paraId="7B14BB98" w14:textId="77777777" w:rsidR="00F407E9" w:rsidRDefault="00F407E9">
            <w:pPr>
              <w:spacing w:after="0"/>
              <w:rPr>
                <w:sz w:val="20"/>
                <w:szCs w:val="20"/>
              </w:rPr>
            </w:pPr>
          </w:p>
          <w:p w14:paraId="656DB49F" w14:textId="77777777" w:rsidR="00F407E9" w:rsidRDefault="000F68CA">
            <w:pPr>
              <w:pBdr>
                <w:top w:val="nil"/>
                <w:left w:val="nil"/>
                <w:bottom w:val="nil"/>
                <w:right w:val="nil"/>
                <w:between w:val="nil"/>
              </w:pBdr>
              <w:spacing w:after="0" w:line="240" w:lineRule="auto"/>
              <w:rPr>
                <w:color w:val="000000"/>
                <w:sz w:val="20"/>
                <w:szCs w:val="20"/>
              </w:rPr>
            </w:pPr>
            <w:r>
              <w:rPr>
                <w:color w:val="000000"/>
                <w:sz w:val="20"/>
                <w:szCs w:val="20"/>
              </w:rPr>
              <w:t xml:space="preserve">For imports/exports: EIA’s State Electricity Profiles </w:t>
            </w:r>
            <w:hyperlink r:id="rId9">
              <w:r>
                <w:rPr>
                  <w:color w:val="1155CC"/>
                  <w:sz w:val="20"/>
                  <w:szCs w:val="20"/>
                  <w:u w:val="single"/>
                </w:rPr>
                <w:t>Table 10</w:t>
              </w:r>
            </w:hyperlink>
            <w:r>
              <w:rPr>
                <w:sz w:val="20"/>
                <w:szCs w:val="20"/>
              </w:rPr>
              <w:t>. </w:t>
            </w:r>
          </w:p>
          <w:p w14:paraId="3CB72216" w14:textId="77777777" w:rsidR="00F407E9" w:rsidRDefault="00F407E9">
            <w:pPr>
              <w:spacing w:after="0"/>
              <w:rPr>
                <w:sz w:val="20"/>
                <w:szCs w:val="20"/>
              </w:rPr>
            </w:pPr>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3762A" w14:textId="77777777" w:rsidR="00F407E9" w:rsidRDefault="000F68CA">
            <w:pPr>
              <w:pBdr>
                <w:top w:val="nil"/>
                <w:left w:val="nil"/>
                <w:bottom w:val="nil"/>
                <w:right w:val="nil"/>
                <w:between w:val="nil"/>
              </w:pBdr>
              <w:spacing w:after="0" w:line="240" w:lineRule="auto"/>
              <w:rPr>
                <w:color w:val="000000"/>
                <w:sz w:val="20"/>
                <w:szCs w:val="20"/>
              </w:rPr>
            </w:pPr>
            <w:r>
              <w:rPr>
                <w:color w:val="000000"/>
                <w:sz w:val="20"/>
                <w:szCs w:val="20"/>
              </w:rPr>
              <w:t>Added all utility-owned generation and capacity in-state. No scaling needed.</w:t>
            </w:r>
          </w:p>
          <w:p w14:paraId="11F910BD" w14:textId="77777777" w:rsidR="00F407E9" w:rsidRDefault="00F407E9">
            <w:pPr>
              <w:pBdr>
                <w:top w:val="nil"/>
                <w:left w:val="nil"/>
                <w:bottom w:val="nil"/>
                <w:right w:val="nil"/>
                <w:between w:val="nil"/>
              </w:pBdr>
              <w:spacing w:after="0" w:line="240" w:lineRule="auto"/>
              <w:rPr>
                <w:color w:val="000000"/>
                <w:sz w:val="20"/>
                <w:szCs w:val="20"/>
              </w:rPr>
            </w:pPr>
          </w:p>
          <w:p w14:paraId="1B03D038" w14:textId="77777777" w:rsidR="00F407E9" w:rsidRDefault="000F68CA">
            <w:pPr>
              <w:pBdr>
                <w:top w:val="nil"/>
                <w:left w:val="nil"/>
                <w:bottom w:val="nil"/>
                <w:right w:val="nil"/>
                <w:between w:val="nil"/>
              </w:pBdr>
              <w:spacing w:after="0" w:line="240" w:lineRule="auto"/>
              <w:rPr>
                <w:color w:val="000000"/>
                <w:sz w:val="20"/>
                <w:szCs w:val="20"/>
              </w:rPr>
            </w:pPr>
            <w:r>
              <w:rPr>
                <w:sz w:val="20"/>
                <w:szCs w:val="20"/>
              </w:rPr>
              <w:t>Imports and exports are held co</w:t>
            </w:r>
            <w:r>
              <w:rPr>
                <w:sz w:val="20"/>
                <w:szCs w:val="20"/>
              </w:rPr>
              <w:t xml:space="preserve">nstant. </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57B89A" w14:textId="77777777" w:rsidR="00F407E9" w:rsidRDefault="000F68CA">
            <w:pPr>
              <w:spacing w:after="0" w:line="240" w:lineRule="auto"/>
              <w:rPr>
                <w:sz w:val="20"/>
                <w:szCs w:val="20"/>
              </w:rPr>
            </w:pPr>
            <w:r>
              <w:rPr>
                <w:sz w:val="20"/>
                <w:szCs w:val="20"/>
              </w:rPr>
              <w:t>Emissions - EPA “</w:t>
            </w:r>
            <w:hyperlink r:id="rId10">
              <w:r>
                <w:rPr>
                  <w:color w:val="1155CC"/>
                  <w:sz w:val="20"/>
                  <w:szCs w:val="20"/>
                  <w:u w:val="single"/>
                </w:rPr>
                <w:t>State CO2 Emissions from Fossil Fuel Combustion, 1990-2017</w:t>
              </w:r>
            </w:hyperlink>
            <w:r>
              <w:rPr>
                <w:sz w:val="20"/>
                <w:szCs w:val="20"/>
              </w:rPr>
              <w:t>” &amp;</w:t>
            </w:r>
          </w:p>
          <w:p w14:paraId="4C51D7FE" w14:textId="77777777" w:rsidR="00F407E9" w:rsidRDefault="000F68CA">
            <w:pPr>
              <w:spacing w:after="0" w:line="240" w:lineRule="auto"/>
              <w:rPr>
                <w:sz w:val="20"/>
                <w:szCs w:val="20"/>
              </w:rPr>
            </w:pPr>
            <w:r>
              <w:rPr>
                <w:sz w:val="20"/>
                <w:szCs w:val="20"/>
              </w:rPr>
              <w:t>AEO “</w:t>
            </w:r>
            <w:hyperlink r:id="rId11">
              <w:r>
                <w:rPr>
                  <w:color w:val="1155CC"/>
                  <w:sz w:val="20"/>
                  <w:szCs w:val="20"/>
                  <w:u w:val="single"/>
                </w:rPr>
                <w:t>State CO2 Emissions from Fossil Fuel Combustion</w:t>
              </w:r>
            </w:hyperlink>
            <w:r>
              <w:rPr>
                <w:sz w:val="20"/>
                <w:szCs w:val="20"/>
              </w:rPr>
              <w:t>”</w:t>
            </w:r>
          </w:p>
        </w:tc>
      </w:tr>
      <w:tr w:rsidR="00F407E9" w14:paraId="4D54C05E" w14:textId="77777777">
        <w:trPr>
          <w:trHeight w:val="20"/>
        </w:trPr>
        <w:tc>
          <w:tcPr>
            <w:tcW w:w="1710" w:type="dxa"/>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14:paraId="4BE17FDD" w14:textId="77777777" w:rsidR="00F407E9" w:rsidRDefault="000F68CA">
            <w:pPr>
              <w:pBdr>
                <w:top w:val="nil"/>
                <w:left w:val="nil"/>
                <w:bottom w:val="nil"/>
                <w:right w:val="nil"/>
                <w:between w:val="nil"/>
              </w:pBdr>
              <w:spacing w:after="0" w:line="240" w:lineRule="auto"/>
              <w:rPr>
                <w:color w:val="000000"/>
                <w:sz w:val="20"/>
                <w:szCs w:val="20"/>
              </w:rPr>
            </w:pPr>
            <w:r>
              <w:rPr>
                <w:color w:val="000000"/>
                <w:sz w:val="20"/>
                <w:szCs w:val="20"/>
              </w:rPr>
              <w:t>BUILDING ENERGY USE</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F315BB" w14:textId="77777777" w:rsidR="00F407E9" w:rsidRDefault="000F68CA">
            <w:pPr>
              <w:pBdr>
                <w:top w:val="nil"/>
                <w:left w:val="nil"/>
                <w:bottom w:val="nil"/>
                <w:right w:val="nil"/>
                <w:between w:val="nil"/>
              </w:pBdr>
              <w:spacing w:after="0" w:line="240" w:lineRule="auto"/>
              <w:rPr>
                <w:color w:val="000000"/>
                <w:sz w:val="20"/>
                <w:szCs w:val="20"/>
              </w:rPr>
            </w:pPr>
            <w:r>
              <w:rPr>
                <w:color w:val="000000"/>
                <w:sz w:val="20"/>
                <w:szCs w:val="20"/>
              </w:rPr>
              <w:t>All energy use, all building components, residential and commercial buildings</w:t>
            </w:r>
          </w:p>
        </w:tc>
        <w:tc>
          <w:tcPr>
            <w:tcW w:w="2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5759C" w14:textId="77777777" w:rsidR="00F407E9" w:rsidRDefault="000F68CA">
            <w:pPr>
              <w:pBdr>
                <w:top w:val="nil"/>
                <w:left w:val="nil"/>
                <w:bottom w:val="nil"/>
                <w:right w:val="nil"/>
                <w:between w:val="nil"/>
              </w:pBdr>
              <w:spacing w:after="0" w:line="240" w:lineRule="auto"/>
              <w:rPr>
                <w:color w:val="000000"/>
                <w:sz w:val="20"/>
                <w:szCs w:val="20"/>
              </w:rPr>
            </w:pPr>
            <w:hyperlink r:id="rId12">
              <w:r>
                <w:rPr>
                  <w:color w:val="1155CC"/>
                  <w:sz w:val="20"/>
                  <w:szCs w:val="20"/>
                  <w:u w:val="single"/>
                </w:rPr>
                <w:t>NREL Electrification Futures Study - Reference Scenario</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CDB0DF" w14:textId="77777777" w:rsidR="00F407E9" w:rsidRDefault="000F68CA">
            <w:pPr>
              <w:pBdr>
                <w:top w:val="nil"/>
                <w:left w:val="nil"/>
                <w:bottom w:val="nil"/>
                <w:right w:val="nil"/>
                <w:between w:val="nil"/>
              </w:pBdr>
              <w:spacing w:after="0" w:line="240" w:lineRule="auto"/>
              <w:rPr>
                <w:color w:val="000000"/>
                <w:sz w:val="20"/>
                <w:szCs w:val="20"/>
              </w:rPr>
            </w:pPr>
            <w:r>
              <w:rPr>
                <w:color w:val="000000"/>
                <w:sz w:val="20"/>
                <w:szCs w:val="20"/>
              </w:rPr>
              <w:t>No scaling needed. NREL reports total energy</w:t>
            </w:r>
            <w:r>
              <w:rPr>
                <w:color w:val="000000"/>
                <w:sz w:val="20"/>
                <w:szCs w:val="20"/>
              </w:rPr>
              <w:t xml:space="preserve"> use by fuel type and demand technology in </w:t>
            </w:r>
            <w:r>
              <w:rPr>
                <w:sz w:val="20"/>
                <w:szCs w:val="20"/>
              </w:rPr>
              <w:t>NV</w:t>
            </w:r>
            <w:r>
              <w:rPr>
                <w:color w:val="000000"/>
                <w:sz w:val="20"/>
                <w:szCs w:val="20"/>
              </w:rPr>
              <w:t xml:space="preserve"> for each year 2017-2050.</w:t>
            </w:r>
          </w:p>
        </w:tc>
        <w:tc>
          <w:tcPr>
            <w:tcW w:w="376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0734A0" w14:textId="77777777" w:rsidR="00F407E9" w:rsidRDefault="000F68CA">
            <w:pPr>
              <w:spacing w:after="0" w:line="240" w:lineRule="auto"/>
              <w:rPr>
                <w:sz w:val="20"/>
                <w:szCs w:val="20"/>
              </w:rPr>
            </w:pPr>
            <w:r>
              <w:rPr>
                <w:sz w:val="20"/>
                <w:szCs w:val="20"/>
              </w:rPr>
              <w:t>Energy Use - EIA’s “</w:t>
            </w:r>
            <w:hyperlink r:id="rId13">
              <w:r>
                <w:rPr>
                  <w:color w:val="1155CC"/>
                  <w:sz w:val="20"/>
                  <w:szCs w:val="20"/>
                  <w:u w:val="single"/>
                </w:rPr>
                <w:t>State Energy Data Systems</w:t>
              </w:r>
            </w:hyperlink>
            <w:r>
              <w:rPr>
                <w:sz w:val="20"/>
                <w:szCs w:val="20"/>
              </w:rPr>
              <w:t>” 2018</w:t>
            </w:r>
          </w:p>
          <w:p w14:paraId="317AC142" w14:textId="77777777" w:rsidR="00F407E9" w:rsidRDefault="000F68CA">
            <w:pPr>
              <w:spacing w:after="0" w:line="240" w:lineRule="auto"/>
              <w:rPr>
                <w:sz w:val="20"/>
                <w:szCs w:val="20"/>
              </w:rPr>
            </w:pPr>
            <w:r>
              <w:rPr>
                <w:sz w:val="20"/>
                <w:szCs w:val="20"/>
              </w:rPr>
              <w:t>CO2 Emissions - AEO “</w:t>
            </w:r>
            <w:hyperlink r:id="rId14">
              <w:r>
                <w:rPr>
                  <w:color w:val="1155CC"/>
                  <w:sz w:val="20"/>
                  <w:szCs w:val="20"/>
                  <w:u w:val="single"/>
                </w:rPr>
                <w:t>State CO2 Emissions from Fossil Fuel Combustion</w:t>
              </w:r>
            </w:hyperlink>
            <w:r>
              <w:rPr>
                <w:sz w:val="20"/>
                <w:szCs w:val="20"/>
              </w:rPr>
              <w:t>”</w:t>
            </w:r>
          </w:p>
        </w:tc>
      </w:tr>
      <w:tr w:rsidR="00F407E9" w14:paraId="358593D0" w14:textId="77777777">
        <w:trPr>
          <w:trHeight w:val="20"/>
        </w:trPr>
        <w:tc>
          <w:tcPr>
            <w:tcW w:w="1710" w:type="dxa"/>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14:paraId="4764A340" w14:textId="77777777" w:rsidR="00F407E9" w:rsidRDefault="000F68CA">
            <w:pPr>
              <w:pBdr>
                <w:top w:val="nil"/>
                <w:left w:val="nil"/>
                <w:bottom w:val="nil"/>
                <w:right w:val="nil"/>
                <w:between w:val="nil"/>
              </w:pBdr>
              <w:spacing w:after="0" w:line="240" w:lineRule="auto"/>
              <w:rPr>
                <w:color w:val="000000"/>
                <w:sz w:val="20"/>
                <w:szCs w:val="20"/>
              </w:rPr>
            </w:pPr>
            <w:r>
              <w:rPr>
                <w:color w:val="000000"/>
                <w:sz w:val="20"/>
                <w:szCs w:val="20"/>
              </w:rPr>
              <w:t>INDUSTRIAL ENERGY USE</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D7A490" w14:textId="77777777" w:rsidR="00F407E9" w:rsidRDefault="000F68CA">
            <w:pPr>
              <w:pBdr>
                <w:top w:val="nil"/>
                <w:left w:val="nil"/>
                <w:bottom w:val="nil"/>
                <w:right w:val="nil"/>
                <w:between w:val="nil"/>
              </w:pBdr>
              <w:spacing w:after="0" w:line="240" w:lineRule="auto"/>
              <w:rPr>
                <w:color w:val="000000"/>
                <w:sz w:val="20"/>
                <w:szCs w:val="20"/>
              </w:rPr>
            </w:pPr>
            <w:r>
              <w:rPr>
                <w:color w:val="000000"/>
                <w:sz w:val="20"/>
                <w:szCs w:val="20"/>
              </w:rPr>
              <w:t>All fuel use for industrial sector</w:t>
            </w:r>
          </w:p>
        </w:tc>
        <w:tc>
          <w:tcPr>
            <w:tcW w:w="2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D1321B" w14:textId="77777777" w:rsidR="00F407E9" w:rsidRDefault="000F68CA">
            <w:pPr>
              <w:pBdr>
                <w:top w:val="nil"/>
                <w:left w:val="nil"/>
                <w:bottom w:val="nil"/>
                <w:right w:val="nil"/>
                <w:between w:val="nil"/>
              </w:pBdr>
              <w:spacing w:after="0" w:line="240" w:lineRule="auto"/>
              <w:rPr>
                <w:color w:val="000000"/>
                <w:sz w:val="20"/>
                <w:szCs w:val="20"/>
              </w:rPr>
            </w:pPr>
            <w:hyperlink r:id="rId15">
              <w:r>
                <w:rPr>
                  <w:color w:val="1155CC"/>
                  <w:sz w:val="20"/>
                  <w:szCs w:val="20"/>
                  <w:u w:val="single"/>
                </w:rPr>
                <w:t>Energy Information Association’s Annual Energy Outlook tables on Industrial Energy Use</w:t>
              </w:r>
            </w:hyperlink>
            <w:r>
              <w:rPr>
                <w:color w:val="000000"/>
                <w:sz w:val="20"/>
                <w:szCs w:val="20"/>
              </w:rPr>
              <w:t xml:space="preserve"> &amp;</w:t>
            </w:r>
          </w:p>
          <w:p w14:paraId="1D7C1126" w14:textId="77777777" w:rsidR="00F407E9" w:rsidRDefault="000F68CA">
            <w:pPr>
              <w:pBdr>
                <w:top w:val="nil"/>
                <w:left w:val="nil"/>
                <w:bottom w:val="nil"/>
                <w:right w:val="nil"/>
                <w:between w:val="nil"/>
              </w:pBdr>
              <w:spacing w:after="0" w:line="240" w:lineRule="auto"/>
              <w:rPr>
                <w:color w:val="000000"/>
                <w:sz w:val="20"/>
                <w:szCs w:val="20"/>
              </w:rPr>
            </w:pPr>
            <w:r>
              <w:rPr>
                <w:color w:val="000000"/>
                <w:sz w:val="20"/>
                <w:szCs w:val="20"/>
              </w:rPr>
              <w:t>EIA’s “</w:t>
            </w:r>
            <w:hyperlink r:id="rId16">
              <w:r>
                <w:rPr>
                  <w:color w:val="1155CC"/>
                  <w:sz w:val="20"/>
                  <w:szCs w:val="20"/>
                  <w:u w:val="single"/>
                </w:rPr>
                <w:t>State Energy Data Systems</w:t>
              </w:r>
            </w:hyperlink>
            <w:r>
              <w:rPr>
                <w:color w:val="000000"/>
                <w:sz w:val="20"/>
                <w:szCs w:val="20"/>
              </w:rPr>
              <w:t>”</w:t>
            </w:r>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AAA264" w14:textId="77777777" w:rsidR="00F407E9" w:rsidRDefault="000F68CA">
            <w:pPr>
              <w:pBdr>
                <w:top w:val="nil"/>
                <w:left w:val="nil"/>
                <w:bottom w:val="nil"/>
                <w:right w:val="nil"/>
                <w:between w:val="nil"/>
              </w:pBdr>
              <w:spacing w:after="0" w:line="240" w:lineRule="auto"/>
              <w:rPr>
                <w:color w:val="000000"/>
                <w:sz w:val="20"/>
                <w:szCs w:val="20"/>
              </w:rPr>
            </w:pPr>
            <w:r>
              <w:rPr>
                <w:color w:val="000000"/>
                <w:sz w:val="20"/>
                <w:szCs w:val="20"/>
              </w:rPr>
              <w:t>Scaled down by Census Data (</w:t>
            </w:r>
            <w:hyperlink r:id="rId17">
              <w:r>
                <w:rPr>
                  <w:color w:val="1155CC"/>
                  <w:sz w:val="20"/>
                  <w:szCs w:val="20"/>
                  <w:u w:val="single"/>
                </w:rPr>
                <w:t>County Business Patterns</w:t>
              </w:r>
            </w:hyperlink>
            <w:r>
              <w:rPr>
                <w:color w:val="000000"/>
                <w:sz w:val="20"/>
                <w:szCs w:val="20"/>
              </w:rPr>
              <w:t>) employment by industrial subsector and state compared to national employment by industrial sector</w:t>
            </w:r>
          </w:p>
        </w:tc>
        <w:tc>
          <w:tcPr>
            <w:tcW w:w="376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24AA07" w14:textId="77777777" w:rsidR="00F407E9" w:rsidRDefault="000F68CA">
            <w:pPr>
              <w:spacing w:after="0" w:line="240" w:lineRule="auto"/>
              <w:rPr>
                <w:sz w:val="20"/>
                <w:szCs w:val="20"/>
              </w:rPr>
            </w:pPr>
            <w:r>
              <w:rPr>
                <w:sz w:val="20"/>
                <w:szCs w:val="20"/>
              </w:rPr>
              <w:t>Energy Use - NREL Electrification Futures and EIA’s “</w:t>
            </w:r>
            <w:hyperlink r:id="rId18">
              <w:r>
                <w:rPr>
                  <w:color w:val="1155CC"/>
                  <w:sz w:val="20"/>
                  <w:szCs w:val="20"/>
                  <w:u w:val="single"/>
                </w:rPr>
                <w:t>State Energy Data Systems</w:t>
              </w:r>
            </w:hyperlink>
            <w:r>
              <w:rPr>
                <w:sz w:val="20"/>
                <w:szCs w:val="20"/>
              </w:rPr>
              <w:t>”</w:t>
            </w:r>
          </w:p>
          <w:p w14:paraId="459B7DE6" w14:textId="77777777" w:rsidR="00F407E9" w:rsidRDefault="000F68CA">
            <w:pPr>
              <w:spacing w:after="0" w:line="240" w:lineRule="auto"/>
              <w:rPr>
                <w:sz w:val="20"/>
                <w:szCs w:val="20"/>
              </w:rPr>
            </w:pPr>
            <w:r>
              <w:rPr>
                <w:sz w:val="20"/>
                <w:szCs w:val="20"/>
              </w:rPr>
              <w:t>Emissions - EPA “</w:t>
            </w:r>
            <w:hyperlink r:id="rId19">
              <w:r>
                <w:rPr>
                  <w:color w:val="1155CC"/>
                  <w:sz w:val="20"/>
                  <w:szCs w:val="20"/>
                  <w:u w:val="single"/>
                </w:rPr>
                <w:t>State CO2 Emissions from Fossil Fuel Combustion, 1990-2017</w:t>
              </w:r>
            </w:hyperlink>
            <w:r>
              <w:rPr>
                <w:sz w:val="20"/>
                <w:szCs w:val="20"/>
              </w:rPr>
              <w:t>” &amp;</w:t>
            </w:r>
          </w:p>
          <w:p w14:paraId="7939B299" w14:textId="77777777" w:rsidR="00F407E9" w:rsidRDefault="000F68CA">
            <w:pPr>
              <w:spacing w:after="0" w:line="240" w:lineRule="auto"/>
              <w:rPr>
                <w:sz w:val="20"/>
                <w:szCs w:val="20"/>
              </w:rPr>
            </w:pPr>
            <w:r>
              <w:rPr>
                <w:sz w:val="20"/>
                <w:szCs w:val="20"/>
              </w:rPr>
              <w:t>AEO “</w:t>
            </w:r>
            <w:hyperlink r:id="rId20">
              <w:r>
                <w:rPr>
                  <w:color w:val="1155CC"/>
                  <w:sz w:val="20"/>
                  <w:szCs w:val="20"/>
                  <w:u w:val="single"/>
                </w:rPr>
                <w:t>State CO2 Emissions from Fossil Fuel Combustion</w:t>
              </w:r>
            </w:hyperlink>
            <w:r>
              <w:rPr>
                <w:sz w:val="20"/>
                <w:szCs w:val="20"/>
              </w:rPr>
              <w:t>”</w:t>
            </w:r>
          </w:p>
        </w:tc>
      </w:tr>
      <w:tr w:rsidR="00F407E9" w14:paraId="0E1FE894" w14:textId="77777777">
        <w:trPr>
          <w:trHeight w:val="20"/>
        </w:trPr>
        <w:tc>
          <w:tcPr>
            <w:tcW w:w="1710" w:type="dxa"/>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14:paraId="608472B2" w14:textId="77777777" w:rsidR="00F407E9" w:rsidRDefault="000F68CA">
            <w:pPr>
              <w:pBdr>
                <w:top w:val="nil"/>
                <w:left w:val="nil"/>
                <w:bottom w:val="nil"/>
                <w:right w:val="nil"/>
                <w:between w:val="nil"/>
              </w:pBdr>
              <w:spacing w:after="0" w:line="240" w:lineRule="auto"/>
              <w:rPr>
                <w:color w:val="000000"/>
                <w:sz w:val="20"/>
                <w:szCs w:val="20"/>
              </w:rPr>
            </w:pPr>
            <w:r>
              <w:rPr>
                <w:color w:val="000000"/>
                <w:sz w:val="20"/>
                <w:szCs w:val="20"/>
              </w:rPr>
              <w:t>INDUSTRIAL PROCESS EMISSIONS</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30F23A" w14:textId="77777777" w:rsidR="00F407E9" w:rsidRDefault="000F68CA">
            <w:pPr>
              <w:pBdr>
                <w:top w:val="nil"/>
                <w:left w:val="nil"/>
                <w:bottom w:val="nil"/>
                <w:right w:val="nil"/>
                <w:between w:val="nil"/>
              </w:pBdr>
              <w:spacing w:after="0" w:line="240" w:lineRule="auto"/>
              <w:rPr>
                <w:color w:val="000000"/>
                <w:sz w:val="20"/>
                <w:szCs w:val="20"/>
              </w:rPr>
            </w:pPr>
            <w:r>
              <w:rPr>
                <w:color w:val="000000"/>
                <w:sz w:val="20"/>
                <w:szCs w:val="20"/>
              </w:rPr>
              <w:t>Process Emissions</w:t>
            </w:r>
          </w:p>
        </w:tc>
        <w:tc>
          <w:tcPr>
            <w:tcW w:w="2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C9738F" w14:textId="77777777" w:rsidR="00F407E9" w:rsidRDefault="000F68CA">
            <w:pPr>
              <w:pBdr>
                <w:top w:val="nil"/>
                <w:left w:val="nil"/>
                <w:bottom w:val="nil"/>
                <w:right w:val="nil"/>
                <w:between w:val="nil"/>
              </w:pBdr>
              <w:spacing w:after="0" w:line="240" w:lineRule="auto"/>
              <w:rPr>
                <w:color w:val="000000"/>
                <w:sz w:val="20"/>
                <w:szCs w:val="20"/>
              </w:rPr>
            </w:pPr>
            <w:hyperlink r:id="rId21">
              <w:r>
                <w:rPr>
                  <w:color w:val="1155CC"/>
                  <w:sz w:val="20"/>
                  <w:szCs w:val="20"/>
                  <w:u w:val="single"/>
                </w:rPr>
                <w:t>EPA Global Non-CO2 Greenhouse Gas Emissions Projections &amp; Mitigation Potential: 2015-2050</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6322A4" w14:textId="77777777" w:rsidR="00F407E9" w:rsidRDefault="000F68CA">
            <w:pPr>
              <w:pBdr>
                <w:top w:val="nil"/>
                <w:left w:val="nil"/>
                <w:bottom w:val="nil"/>
                <w:right w:val="nil"/>
                <w:between w:val="nil"/>
              </w:pBdr>
              <w:spacing w:after="0" w:line="240" w:lineRule="auto"/>
              <w:rPr>
                <w:color w:val="000000"/>
                <w:sz w:val="20"/>
                <w:szCs w:val="20"/>
              </w:rPr>
            </w:pPr>
            <w:r>
              <w:rPr>
                <w:color w:val="000000"/>
                <w:sz w:val="20"/>
                <w:szCs w:val="20"/>
              </w:rPr>
              <w:t>Scaled down US data to state data using a variety of sources, including data from EPA</w:t>
            </w:r>
            <w:r>
              <w:rPr>
                <w:color w:val="000000"/>
                <w:sz w:val="20"/>
                <w:szCs w:val="20"/>
              </w:rPr>
              <w:t xml:space="preserve">’s </w:t>
            </w:r>
            <w:hyperlink r:id="rId22">
              <w:r>
                <w:rPr>
                  <w:color w:val="1155CC"/>
                  <w:sz w:val="20"/>
                  <w:szCs w:val="20"/>
                  <w:u w:val="single"/>
                </w:rPr>
                <w:t xml:space="preserve">FLIGHT </w:t>
              </w:r>
            </w:hyperlink>
            <w:r>
              <w:rPr>
                <w:color w:val="000000"/>
                <w:sz w:val="20"/>
                <w:szCs w:val="20"/>
              </w:rPr>
              <w:t xml:space="preserve">tool and </w:t>
            </w:r>
            <w:hyperlink r:id="rId23">
              <w:r>
                <w:rPr>
                  <w:color w:val="1155CC"/>
                  <w:sz w:val="20"/>
                  <w:szCs w:val="20"/>
                  <w:u w:val="single"/>
                </w:rPr>
                <w:t xml:space="preserve">EPA’s State Inventory Tool Output </w:t>
              </w:r>
              <w:proofErr w:type="spellStart"/>
              <w:r>
                <w:rPr>
                  <w:color w:val="1155CC"/>
                  <w:sz w:val="20"/>
                  <w:szCs w:val="20"/>
                  <w:u w:val="single"/>
                </w:rPr>
                <w:t>Dataframe</w:t>
              </w:r>
              <w:proofErr w:type="spellEnd"/>
              <w:r>
                <w:rPr>
                  <w:color w:val="1155CC"/>
                  <w:sz w:val="20"/>
                  <w:szCs w:val="20"/>
                  <w:u w:val="single"/>
                </w:rPr>
                <w:t> </w:t>
              </w:r>
            </w:hyperlink>
          </w:p>
        </w:tc>
        <w:tc>
          <w:tcPr>
            <w:tcW w:w="376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34EAC8" w14:textId="77777777" w:rsidR="00F407E9" w:rsidRDefault="000F68CA">
            <w:pPr>
              <w:spacing w:after="0" w:line="240" w:lineRule="auto"/>
              <w:rPr>
                <w:sz w:val="20"/>
                <w:szCs w:val="20"/>
              </w:rPr>
            </w:pPr>
            <w:r>
              <w:rPr>
                <w:sz w:val="20"/>
                <w:szCs w:val="20"/>
              </w:rPr>
              <w:t xml:space="preserve">The Center for Climate Strategies’ </w:t>
            </w:r>
            <w:r>
              <w:rPr>
                <w:sz w:val="20"/>
                <w:szCs w:val="20"/>
              </w:rPr>
              <w:t>“</w:t>
            </w:r>
            <w:hyperlink r:id="rId24">
              <w:r>
                <w:rPr>
                  <w:color w:val="1155CC"/>
                  <w:sz w:val="20"/>
                  <w:szCs w:val="20"/>
                  <w:u w:val="single"/>
                </w:rPr>
                <w:t>Nevada Greenhouse Gas Inventory and Forecast</w:t>
              </w:r>
            </w:hyperlink>
            <w:r>
              <w:rPr>
                <w:sz w:val="20"/>
                <w:szCs w:val="20"/>
              </w:rPr>
              <w:t>”</w:t>
            </w:r>
          </w:p>
        </w:tc>
      </w:tr>
      <w:tr w:rsidR="00F407E9" w14:paraId="46B84E40" w14:textId="77777777">
        <w:trPr>
          <w:trHeight w:val="20"/>
        </w:trPr>
        <w:tc>
          <w:tcPr>
            <w:tcW w:w="1710" w:type="dxa"/>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14:paraId="792A3B25" w14:textId="77777777" w:rsidR="00F407E9" w:rsidRDefault="000F68CA">
            <w:pPr>
              <w:pBdr>
                <w:top w:val="nil"/>
                <w:left w:val="nil"/>
                <w:bottom w:val="nil"/>
                <w:right w:val="nil"/>
                <w:between w:val="nil"/>
              </w:pBdr>
              <w:spacing w:after="0" w:line="240" w:lineRule="auto"/>
              <w:rPr>
                <w:color w:val="000000"/>
                <w:sz w:val="20"/>
                <w:szCs w:val="20"/>
              </w:rPr>
            </w:pPr>
            <w:r>
              <w:rPr>
                <w:sz w:val="20"/>
                <w:szCs w:val="20"/>
              </w:rPr>
              <w:lastRenderedPageBreak/>
              <w:t xml:space="preserve">AGRICULTURE, </w:t>
            </w:r>
            <w:r>
              <w:rPr>
                <w:color w:val="000000"/>
                <w:sz w:val="20"/>
                <w:szCs w:val="20"/>
              </w:rPr>
              <w:t>LAND USE AND FORESTRY</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2C0249" w14:textId="77777777" w:rsidR="00F407E9" w:rsidRDefault="000F68CA">
            <w:pPr>
              <w:spacing w:after="0"/>
              <w:rPr>
                <w:sz w:val="20"/>
                <w:szCs w:val="20"/>
              </w:rPr>
            </w:pPr>
            <w:r>
              <w:rPr>
                <w:sz w:val="20"/>
                <w:szCs w:val="20"/>
              </w:rPr>
              <w:t>Livestock emissions</w:t>
            </w:r>
          </w:p>
          <w:p w14:paraId="07609080" w14:textId="77777777" w:rsidR="00F407E9" w:rsidRDefault="000F68CA">
            <w:pPr>
              <w:spacing w:after="0"/>
              <w:rPr>
                <w:sz w:val="20"/>
                <w:szCs w:val="20"/>
              </w:rPr>
            </w:pPr>
            <w:r>
              <w:rPr>
                <w:sz w:val="20"/>
                <w:szCs w:val="20"/>
              </w:rPr>
              <w:t>Natural carbon sinks and sources (LULUCF)</w:t>
            </w:r>
          </w:p>
        </w:tc>
        <w:tc>
          <w:tcPr>
            <w:tcW w:w="2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943A25" w14:textId="77777777" w:rsidR="00F407E9" w:rsidRDefault="000F68CA">
            <w:pPr>
              <w:pBdr>
                <w:top w:val="nil"/>
                <w:left w:val="nil"/>
                <w:bottom w:val="nil"/>
                <w:right w:val="nil"/>
                <w:between w:val="nil"/>
              </w:pBdr>
              <w:spacing w:after="0" w:line="240" w:lineRule="auto"/>
              <w:rPr>
                <w:sz w:val="20"/>
                <w:szCs w:val="20"/>
              </w:rPr>
            </w:pPr>
            <w:r>
              <w:rPr>
                <w:sz w:val="20"/>
                <w:szCs w:val="20"/>
              </w:rPr>
              <w:t>EPA “</w:t>
            </w:r>
            <w:hyperlink r:id="rId25">
              <w:r>
                <w:rPr>
                  <w:color w:val="1155CC"/>
                  <w:sz w:val="20"/>
                  <w:szCs w:val="20"/>
                  <w:u w:val="single"/>
                </w:rPr>
                <w:t>State Inventory and Projection Tool</w:t>
              </w:r>
            </w:hyperlink>
            <w:r>
              <w:rPr>
                <w:sz w:val="20"/>
                <w:szCs w:val="20"/>
              </w:rPr>
              <w:t>”</w:t>
            </w:r>
          </w:p>
          <w:p w14:paraId="37876765" w14:textId="77777777" w:rsidR="00F407E9" w:rsidRDefault="000F68CA">
            <w:pPr>
              <w:pBdr>
                <w:top w:val="nil"/>
                <w:left w:val="nil"/>
                <w:bottom w:val="nil"/>
                <w:right w:val="nil"/>
                <w:between w:val="nil"/>
              </w:pBdr>
              <w:spacing w:after="0" w:line="240" w:lineRule="auto"/>
              <w:rPr>
                <w:sz w:val="20"/>
                <w:szCs w:val="20"/>
              </w:rPr>
            </w:pPr>
            <w:r>
              <w:rPr>
                <w:sz w:val="20"/>
                <w:szCs w:val="20"/>
              </w:rPr>
              <w:t>“</w:t>
            </w:r>
            <w:hyperlink r:id="rId26">
              <w:r>
                <w:rPr>
                  <w:color w:val="1155CC"/>
                  <w:sz w:val="20"/>
                  <w:szCs w:val="20"/>
                  <w:u w:val="single"/>
                </w:rPr>
                <w:t>Nevada Statewide Greenhouse Gas Emissions Inventory and Projections</w:t>
              </w:r>
            </w:hyperlink>
            <w:r>
              <w:rPr>
                <w:sz w:val="20"/>
                <w:szCs w:val="20"/>
              </w:rPr>
              <w:t>”</w:t>
            </w:r>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96723E" w14:textId="77777777" w:rsidR="00F407E9" w:rsidRDefault="00F407E9">
            <w:pPr>
              <w:pBdr>
                <w:top w:val="nil"/>
                <w:left w:val="nil"/>
                <w:bottom w:val="nil"/>
                <w:right w:val="nil"/>
                <w:between w:val="nil"/>
              </w:pBdr>
              <w:spacing w:after="0" w:line="240" w:lineRule="auto"/>
              <w:rPr>
                <w:color w:val="000000"/>
                <w:sz w:val="20"/>
                <w:szCs w:val="20"/>
              </w:rPr>
            </w:pPr>
          </w:p>
        </w:tc>
        <w:tc>
          <w:tcPr>
            <w:tcW w:w="376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A9AB97" w14:textId="77777777" w:rsidR="00F407E9" w:rsidRDefault="000F68CA">
            <w:pPr>
              <w:spacing w:after="0" w:line="240" w:lineRule="auto"/>
              <w:rPr>
                <w:sz w:val="20"/>
                <w:szCs w:val="20"/>
              </w:rPr>
            </w:pPr>
            <w:r>
              <w:rPr>
                <w:sz w:val="20"/>
                <w:szCs w:val="20"/>
              </w:rPr>
              <w:t>Emissions - EPA “</w:t>
            </w:r>
            <w:hyperlink r:id="rId27">
              <w:r>
                <w:rPr>
                  <w:color w:val="1155CC"/>
                  <w:sz w:val="20"/>
                  <w:szCs w:val="20"/>
                  <w:u w:val="single"/>
                </w:rPr>
                <w:t>State CO2 Emissions from Fossil Fuel Combustion, 1990-2017</w:t>
              </w:r>
            </w:hyperlink>
            <w:r>
              <w:rPr>
                <w:sz w:val="20"/>
                <w:szCs w:val="20"/>
              </w:rPr>
              <w:t>” &amp;</w:t>
            </w:r>
          </w:p>
          <w:p w14:paraId="36286505" w14:textId="77777777" w:rsidR="00F407E9" w:rsidRDefault="000F68CA">
            <w:pPr>
              <w:spacing w:after="0" w:line="240" w:lineRule="auto"/>
              <w:rPr>
                <w:sz w:val="20"/>
                <w:szCs w:val="20"/>
              </w:rPr>
            </w:pPr>
            <w:r>
              <w:rPr>
                <w:sz w:val="20"/>
                <w:szCs w:val="20"/>
              </w:rPr>
              <w:t>AEO “</w:t>
            </w:r>
            <w:hyperlink r:id="rId28">
              <w:r>
                <w:rPr>
                  <w:color w:val="1155CC"/>
                  <w:sz w:val="20"/>
                  <w:szCs w:val="20"/>
                  <w:u w:val="single"/>
                </w:rPr>
                <w:t>State CO2 Emissions from Fossil Fuel Combustion</w:t>
              </w:r>
            </w:hyperlink>
            <w:r>
              <w:rPr>
                <w:sz w:val="20"/>
                <w:szCs w:val="20"/>
              </w:rPr>
              <w:t>”</w:t>
            </w:r>
          </w:p>
        </w:tc>
      </w:tr>
      <w:tr w:rsidR="00F407E9" w14:paraId="5508917F" w14:textId="77777777">
        <w:trPr>
          <w:trHeight w:val="20"/>
        </w:trPr>
        <w:tc>
          <w:tcPr>
            <w:tcW w:w="1710" w:type="dxa"/>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14:paraId="279EDA7F" w14:textId="77777777" w:rsidR="00F407E9" w:rsidRDefault="000F68CA">
            <w:pPr>
              <w:pBdr>
                <w:top w:val="nil"/>
                <w:left w:val="nil"/>
                <w:bottom w:val="nil"/>
                <w:right w:val="nil"/>
                <w:between w:val="nil"/>
              </w:pBdr>
              <w:spacing w:after="0" w:line="240" w:lineRule="auto"/>
              <w:rPr>
                <w:color w:val="000000"/>
                <w:sz w:val="20"/>
                <w:szCs w:val="20"/>
              </w:rPr>
            </w:pPr>
            <w:r>
              <w:rPr>
                <w:color w:val="000000"/>
                <w:sz w:val="20"/>
                <w:szCs w:val="20"/>
              </w:rPr>
              <w:t>TRANSPORTATION</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310D89" w14:textId="77777777" w:rsidR="00F407E9" w:rsidRDefault="000F68CA">
            <w:pPr>
              <w:pBdr>
                <w:top w:val="nil"/>
                <w:left w:val="nil"/>
                <w:bottom w:val="nil"/>
                <w:right w:val="nil"/>
                <w:between w:val="nil"/>
              </w:pBdr>
              <w:spacing w:after="0" w:line="240" w:lineRule="auto"/>
              <w:rPr>
                <w:color w:val="000000"/>
                <w:sz w:val="20"/>
                <w:szCs w:val="20"/>
              </w:rPr>
            </w:pPr>
            <w:r>
              <w:rPr>
                <w:color w:val="000000"/>
                <w:sz w:val="20"/>
                <w:szCs w:val="20"/>
              </w:rPr>
              <w:t>All energy use, vehicle miles</w:t>
            </w:r>
          </w:p>
        </w:tc>
        <w:tc>
          <w:tcPr>
            <w:tcW w:w="2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E0FA9D" w14:textId="77777777" w:rsidR="00F407E9" w:rsidRDefault="000F68CA">
            <w:pPr>
              <w:pBdr>
                <w:top w:val="nil"/>
                <w:left w:val="nil"/>
                <w:bottom w:val="nil"/>
                <w:right w:val="nil"/>
                <w:between w:val="nil"/>
              </w:pBdr>
              <w:spacing w:after="0" w:line="240" w:lineRule="auto"/>
              <w:rPr>
                <w:color w:val="000000"/>
                <w:sz w:val="20"/>
                <w:szCs w:val="20"/>
              </w:rPr>
            </w:pPr>
            <w:hyperlink r:id="rId29">
              <w:r>
                <w:rPr>
                  <w:color w:val="1155CC"/>
                  <w:sz w:val="20"/>
                  <w:szCs w:val="20"/>
                  <w:u w:val="single"/>
                </w:rPr>
                <w:t>Energy Information Association’s Annual Energy Outlook tables on Industrial Energy Use</w:t>
              </w:r>
            </w:hyperlink>
            <w:r>
              <w:rPr>
                <w:sz w:val="20"/>
                <w:szCs w:val="20"/>
              </w:rPr>
              <w:t xml:space="preserve"> &amp;</w:t>
            </w:r>
            <w:r>
              <w:t xml:space="preserve"> </w:t>
            </w:r>
            <w:hyperlink r:id="rId30">
              <w:r>
                <w:rPr>
                  <w:color w:val="1155CC"/>
                  <w:sz w:val="20"/>
                  <w:szCs w:val="20"/>
                  <w:u w:val="single"/>
                </w:rPr>
                <w:t>NREL Electrification Futures Study - Reference Scenario</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B3B91" w14:textId="77777777" w:rsidR="00F407E9" w:rsidRDefault="000F68CA">
            <w:pPr>
              <w:pBdr>
                <w:top w:val="nil"/>
                <w:left w:val="nil"/>
                <w:bottom w:val="nil"/>
                <w:right w:val="nil"/>
                <w:between w:val="nil"/>
              </w:pBdr>
              <w:spacing w:after="0" w:line="240" w:lineRule="auto"/>
              <w:rPr>
                <w:sz w:val="20"/>
                <w:szCs w:val="20"/>
              </w:rPr>
            </w:pPr>
            <w:r>
              <w:rPr>
                <w:sz w:val="20"/>
                <w:szCs w:val="20"/>
              </w:rPr>
              <w:t>Scaled down US data, using NREL t</w:t>
            </w:r>
            <w:r>
              <w:rPr>
                <w:sz w:val="20"/>
                <w:szCs w:val="20"/>
              </w:rPr>
              <w:t>o find the proportion of national vehicle stock and service demand in NV.</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28FE0C" w14:textId="77777777" w:rsidR="00F407E9" w:rsidRDefault="000F68CA">
            <w:pPr>
              <w:spacing w:after="0" w:line="240" w:lineRule="auto"/>
              <w:rPr>
                <w:sz w:val="20"/>
                <w:szCs w:val="20"/>
              </w:rPr>
            </w:pPr>
            <w:r>
              <w:rPr>
                <w:sz w:val="20"/>
                <w:szCs w:val="20"/>
              </w:rPr>
              <w:t>Emissions - EPA “</w:t>
            </w:r>
            <w:hyperlink r:id="rId31">
              <w:r>
                <w:rPr>
                  <w:color w:val="1155CC"/>
                  <w:sz w:val="20"/>
                  <w:szCs w:val="20"/>
                  <w:u w:val="single"/>
                </w:rPr>
                <w:t>State CO2 Emissions from Fossil Fuel Combustion, 1990-20</w:t>
              </w:r>
              <w:r>
                <w:rPr>
                  <w:color w:val="1155CC"/>
                  <w:sz w:val="20"/>
                  <w:szCs w:val="20"/>
                  <w:u w:val="single"/>
                </w:rPr>
                <w:t>17</w:t>
              </w:r>
            </w:hyperlink>
            <w:r>
              <w:rPr>
                <w:sz w:val="20"/>
                <w:szCs w:val="20"/>
              </w:rPr>
              <w:t>” &amp;</w:t>
            </w:r>
          </w:p>
          <w:p w14:paraId="0DA6DA12" w14:textId="77777777" w:rsidR="00F407E9" w:rsidRDefault="000F68CA">
            <w:pPr>
              <w:spacing w:after="0" w:line="240" w:lineRule="auto"/>
              <w:rPr>
                <w:sz w:val="20"/>
                <w:szCs w:val="20"/>
              </w:rPr>
            </w:pPr>
            <w:r>
              <w:rPr>
                <w:sz w:val="20"/>
                <w:szCs w:val="20"/>
              </w:rPr>
              <w:t>AEO “</w:t>
            </w:r>
            <w:hyperlink r:id="rId32">
              <w:r>
                <w:rPr>
                  <w:color w:val="1155CC"/>
                  <w:sz w:val="20"/>
                  <w:szCs w:val="20"/>
                  <w:u w:val="single"/>
                </w:rPr>
                <w:t>State CO2 Emissions from Fossil Fuel Combustion</w:t>
              </w:r>
            </w:hyperlink>
            <w:r>
              <w:rPr>
                <w:sz w:val="20"/>
                <w:szCs w:val="20"/>
              </w:rPr>
              <w:t>”</w:t>
            </w:r>
          </w:p>
        </w:tc>
      </w:tr>
    </w:tbl>
    <w:p w14:paraId="44C28E60" w14:textId="77777777" w:rsidR="00F407E9" w:rsidRDefault="00F407E9">
      <w:pPr>
        <w:rPr>
          <w:sz w:val="20"/>
          <w:szCs w:val="20"/>
        </w:rPr>
      </w:pPr>
    </w:p>
    <w:p w14:paraId="76DCDF86" w14:textId="77777777" w:rsidR="00F407E9" w:rsidRDefault="000F68CA">
      <w:pPr>
        <w:pStyle w:val="Heading1"/>
        <w:shd w:val="clear" w:color="auto" w:fill="1F4E79"/>
        <w:rPr>
          <w:sz w:val="28"/>
          <w:szCs w:val="28"/>
        </w:rPr>
      </w:pPr>
      <w:r>
        <w:rPr>
          <w:sz w:val="28"/>
          <w:szCs w:val="28"/>
        </w:rPr>
        <w:t xml:space="preserve">Understanding the </w:t>
      </w:r>
      <w:r>
        <w:rPr>
          <w:sz w:val="28"/>
          <w:szCs w:val="28"/>
        </w:rPr>
        <w:t>Business-as-Usual</w:t>
      </w:r>
      <w:r>
        <w:rPr>
          <w:sz w:val="28"/>
          <w:szCs w:val="28"/>
        </w:rPr>
        <w:t xml:space="preserve"> Projections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1278120A" w14:textId="77777777" w:rsidR="00F407E9" w:rsidRDefault="00F407E9">
      <w:pPr>
        <w:rPr>
          <w:b/>
        </w:rPr>
      </w:pPr>
    </w:p>
    <w:p w14:paraId="2358D4F0" w14:textId="77777777" w:rsidR="00F407E9" w:rsidRDefault="000F68CA">
      <w:r>
        <w:t xml:space="preserve">The Nevada EPS model includes several built-in reference scenarios. The first is a </w:t>
      </w:r>
      <w:r>
        <w:rPr>
          <w:b/>
        </w:rPr>
        <w:t>business-as-usual (BAU) scenario</w:t>
      </w:r>
      <w:r>
        <w:t xml:space="preserve">, which represents all policy that is currently enacted in Nevada. Once these policies are implemented, they will become part of the </w:t>
      </w:r>
      <w:r>
        <w:rPr>
          <w:b/>
        </w:rPr>
        <w:t>BAU scen</w:t>
      </w:r>
      <w:r>
        <w:rPr>
          <w:b/>
        </w:rPr>
        <w:t>ario</w:t>
      </w:r>
      <w:r>
        <w:t xml:space="preserve">. </w:t>
      </w:r>
    </w:p>
    <w:p w14:paraId="21EDC3B8" w14:textId="77777777" w:rsidR="00F407E9" w:rsidRDefault="000F68CA">
      <w:r>
        <w:rPr>
          <w:b/>
        </w:rPr>
        <w:t>Business-as-Usual:</w:t>
      </w:r>
      <w:r>
        <w:t xml:space="preserve"> Energy Innovation and RMI built a forecast of Nevada’s economy-wide greenhouse gas emissions through 2050 using publicly available, national models of energy consumption (EIA’s Annual Energy Outlook, NREL’s Electrification Future </w:t>
      </w:r>
      <w:r>
        <w:t xml:space="preserve">Study). The BAU Scenario is the model’s foundation, capturing projected changes based on economic growth, technology and cost changes, and existing policy commitments.  </w:t>
      </w:r>
    </w:p>
    <w:p w14:paraId="397A3D17" w14:textId="77777777" w:rsidR="00F407E9" w:rsidRDefault="00F407E9"/>
    <w:p w14:paraId="21866DA1" w14:textId="77777777" w:rsidR="00F407E9" w:rsidRDefault="000F68CA">
      <w:pPr>
        <w:numPr>
          <w:ilvl w:val="0"/>
          <w:numId w:val="3"/>
        </w:numPr>
      </w:pPr>
      <w:r>
        <w:br w:type="page"/>
      </w:r>
    </w:p>
    <w:p w14:paraId="3D287DE6" w14:textId="77777777" w:rsidR="00F407E9" w:rsidRDefault="000F68CA">
      <w:pPr>
        <w:pStyle w:val="Heading2"/>
        <w:ind w:left="0"/>
      </w:pPr>
      <w:r>
        <w:lastRenderedPageBreak/>
        <w:t>SUMMARY OF POLICY ASSUMPTIONS</w:t>
      </w:r>
    </w:p>
    <w:tbl>
      <w:tblPr>
        <w:tblStyle w:val="a0"/>
        <w:tblW w:w="14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5"/>
        <w:gridCol w:w="12645"/>
      </w:tblGrid>
      <w:tr w:rsidR="00F407E9" w14:paraId="6A0C223F" w14:textId="77777777">
        <w:trPr>
          <w:trHeight w:val="368"/>
        </w:trPr>
        <w:tc>
          <w:tcPr>
            <w:tcW w:w="1665" w:type="dxa"/>
            <w:shd w:val="clear" w:color="auto" w:fill="A8D08D"/>
            <w:vAlign w:val="center"/>
          </w:tcPr>
          <w:p w14:paraId="5572B42C" w14:textId="77777777" w:rsidR="00F407E9" w:rsidRDefault="000F68CA">
            <w:pPr>
              <w:rPr>
                <w:sz w:val="20"/>
                <w:szCs w:val="20"/>
              </w:rPr>
            </w:pPr>
            <w:r>
              <w:rPr>
                <w:sz w:val="20"/>
                <w:szCs w:val="20"/>
              </w:rPr>
              <w:t>Sector</w:t>
            </w:r>
          </w:p>
        </w:tc>
        <w:tc>
          <w:tcPr>
            <w:tcW w:w="12645" w:type="dxa"/>
            <w:shd w:val="clear" w:color="auto" w:fill="A8D08D"/>
            <w:vAlign w:val="center"/>
          </w:tcPr>
          <w:p w14:paraId="2C76F119" w14:textId="77777777" w:rsidR="00F407E9" w:rsidRDefault="000F68CA">
            <w:pPr>
              <w:rPr>
                <w:sz w:val="20"/>
                <w:szCs w:val="20"/>
              </w:rPr>
            </w:pPr>
            <w:r>
              <w:rPr>
                <w:sz w:val="20"/>
                <w:szCs w:val="20"/>
              </w:rPr>
              <w:t>BAU Scenario</w:t>
            </w:r>
          </w:p>
        </w:tc>
      </w:tr>
      <w:tr w:rsidR="00F407E9" w14:paraId="4D499213" w14:textId="77777777">
        <w:trPr>
          <w:trHeight w:val="845"/>
        </w:trPr>
        <w:tc>
          <w:tcPr>
            <w:tcW w:w="1665" w:type="dxa"/>
            <w:vAlign w:val="center"/>
          </w:tcPr>
          <w:p w14:paraId="6E8AC6BE" w14:textId="77777777" w:rsidR="00F407E9" w:rsidRDefault="000F68CA">
            <w:pPr>
              <w:rPr>
                <w:sz w:val="20"/>
                <w:szCs w:val="20"/>
              </w:rPr>
            </w:pPr>
            <w:r>
              <w:rPr>
                <w:sz w:val="20"/>
                <w:szCs w:val="20"/>
              </w:rPr>
              <w:t>Electricity</w:t>
            </w:r>
          </w:p>
        </w:tc>
        <w:tc>
          <w:tcPr>
            <w:tcW w:w="12645" w:type="dxa"/>
            <w:vAlign w:val="center"/>
          </w:tcPr>
          <w:p w14:paraId="5CF74A87" w14:textId="77777777" w:rsidR="00F407E9" w:rsidRDefault="000F68CA">
            <w:pPr>
              <w:numPr>
                <w:ilvl w:val="0"/>
                <w:numId w:val="4"/>
              </w:numPr>
              <w:rPr>
                <w:sz w:val="20"/>
                <w:szCs w:val="20"/>
              </w:rPr>
            </w:pPr>
            <w:r>
              <w:rPr>
                <w:sz w:val="20"/>
                <w:szCs w:val="20"/>
              </w:rPr>
              <w:t xml:space="preserve">Includes Nevada’s </w:t>
            </w:r>
            <w:hyperlink r:id="rId33">
              <w:r>
                <w:rPr>
                  <w:color w:val="1155CC"/>
                  <w:sz w:val="20"/>
                  <w:szCs w:val="20"/>
                  <w:u w:val="single"/>
                </w:rPr>
                <w:t>Renewable Portfolio Standard</w:t>
              </w:r>
            </w:hyperlink>
          </w:p>
          <w:p w14:paraId="15F2FF47" w14:textId="77777777" w:rsidR="00F407E9" w:rsidRDefault="000F68CA">
            <w:pPr>
              <w:numPr>
                <w:ilvl w:val="0"/>
                <w:numId w:val="4"/>
              </w:numPr>
              <w:rPr>
                <w:sz w:val="20"/>
                <w:szCs w:val="20"/>
              </w:rPr>
            </w:pPr>
            <w:r>
              <w:rPr>
                <w:sz w:val="20"/>
                <w:szCs w:val="20"/>
              </w:rPr>
              <w:t xml:space="preserve">Assumes all currently planned retirements are completed on time (North </w:t>
            </w:r>
            <w:proofErr w:type="spellStart"/>
            <w:r>
              <w:rPr>
                <w:sz w:val="20"/>
                <w:szCs w:val="20"/>
              </w:rPr>
              <w:t>Valmy</w:t>
            </w:r>
            <w:proofErr w:type="spellEnd"/>
            <w:r>
              <w:rPr>
                <w:sz w:val="20"/>
                <w:szCs w:val="20"/>
              </w:rPr>
              <w:t xml:space="preserve"> Unit 1 by 2021, Unit 2 by 2025)</w:t>
            </w:r>
          </w:p>
          <w:p w14:paraId="2637FF4A" w14:textId="77777777" w:rsidR="00F407E9" w:rsidRDefault="000F68CA">
            <w:pPr>
              <w:numPr>
                <w:ilvl w:val="0"/>
                <w:numId w:val="4"/>
              </w:numPr>
              <w:rPr>
                <w:sz w:val="20"/>
                <w:szCs w:val="20"/>
              </w:rPr>
            </w:pPr>
            <w:r>
              <w:rPr>
                <w:sz w:val="20"/>
                <w:szCs w:val="20"/>
              </w:rPr>
              <w:t>Energy storage target of 1</w:t>
            </w:r>
            <w:r>
              <w:rPr>
                <w:sz w:val="20"/>
                <w:szCs w:val="20"/>
              </w:rPr>
              <w:t>00MW by 2021 (pursuant to Docket No. 17-07014)</w:t>
            </w:r>
          </w:p>
        </w:tc>
      </w:tr>
      <w:tr w:rsidR="00F407E9" w14:paraId="6DA2D59D" w14:textId="77777777">
        <w:trPr>
          <w:trHeight w:val="710"/>
        </w:trPr>
        <w:tc>
          <w:tcPr>
            <w:tcW w:w="1665" w:type="dxa"/>
            <w:vAlign w:val="center"/>
          </w:tcPr>
          <w:p w14:paraId="1A75B4BA" w14:textId="77777777" w:rsidR="00F407E9" w:rsidRDefault="000F68CA">
            <w:pPr>
              <w:rPr>
                <w:sz w:val="20"/>
                <w:szCs w:val="20"/>
              </w:rPr>
            </w:pPr>
            <w:r>
              <w:rPr>
                <w:sz w:val="20"/>
                <w:szCs w:val="20"/>
              </w:rPr>
              <w:t>Buildings</w:t>
            </w:r>
          </w:p>
        </w:tc>
        <w:tc>
          <w:tcPr>
            <w:tcW w:w="12645" w:type="dxa"/>
            <w:vAlign w:val="center"/>
          </w:tcPr>
          <w:p w14:paraId="30A30489" w14:textId="77777777" w:rsidR="00F407E9" w:rsidRDefault="000F68CA">
            <w:pPr>
              <w:numPr>
                <w:ilvl w:val="0"/>
                <w:numId w:val="4"/>
              </w:numPr>
              <w:rPr>
                <w:sz w:val="20"/>
                <w:szCs w:val="20"/>
              </w:rPr>
            </w:pPr>
            <w:r>
              <w:rPr>
                <w:sz w:val="20"/>
                <w:szCs w:val="20"/>
              </w:rPr>
              <w:t>From EIA’s Annual Energy Outlook and NREL</w:t>
            </w:r>
          </w:p>
          <w:p w14:paraId="78F1C1C0" w14:textId="77777777" w:rsidR="00F407E9" w:rsidRDefault="000F68CA">
            <w:pPr>
              <w:numPr>
                <w:ilvl w:val="0"/>
                <w:numId w:val="4"/>
              </w:numPr>
              <w:rPr>
                <w:sz w:val="20"/>
                <w:szCs w:val="20"/>
              </w:rPr>
            </w:pPr>
            <w:hyperlink r:id="rId34">
              <w:r>
                <w:rPr>
                  <w:color w:val="1155CC"/>
                  <w:sz w:val="20"/>
                  <w:szCs w:val="20"/>
                  <w:u w:val="single"/>
                </w:rPr>
                <w:t>Assumes some equipment performance improvements over time</w:t>
              </w:r>
            </w:hyperlink>
            <w:r>
              <w:rPr>
                <w:sz w:val="20"/>
                <w:szCs w:val="20"/>
              </w:rPr>
              <w:t xml:space="preserve">, based on market data (described </w:t>
            </w:r>
            <w:hyperlink r:id="rId35">
              <w:r>
                <w:rPr>
                  <w:color w:val="1155CC"/>
                  <w:sz w:val="20"/>
                  <w:szCs w:val="20"/>
                  <w:u w:val="single"/>
                </w:rPr>
                <w:t>here</w:t>
              </w:r>
            </w:hyperlink>
            <w:r>
              <w:rPr>
                <w:sz w:val="20"/>
                <w:szCs w:val="20"/>
              </w:rPr>
              <w:t>)</w:t>
            </w:r>
            <w:r>
              <w:rPr>
                <w:sz w:val="20"/>
                <w:szCs w:val="20"/>
                <w:vertAlign w:val="superscript"/>
              </w:rPr>
              <w:footnoteReference w:id="1"/>
            </w:r>
          </w:p>
        </w:tc>
      </w:tr>
      <w:tr w:rsidR="00F407E9" w14:paraId="4C7EF0DB" w14:textId="77777777">
        <w:trPr>
          <w:trHeight w:val="1088"/>
        </w:trPr>
        <w:tc>
          <w:tcPr>
            <w:tcW w:w="1665" w:type="dxa"/>
            <w:vAlign w:val="center"/>
          </w:tcPr>
          <w:p w14:paraId="1AE9D369" w14:textId="77777777" w:rsidR="00F407E9" w:rsidRDefault="000F68CA">
            <w:pPr>
              <w:rPr>
                <w:sz w:val="20"/>
                <w:szCs w:val="20"/>
              </w:rPr>
            </w:pPr>
            <w:r>
              <w:rPr>
                <w:sz w:val="20"/>
                <w:szCs w:val="20"/>
              </w:rPr>
              <w:t>On-Road Transportation</w:t>
            </w:r>
          </w:p>
        </w:tc>
        <w:tc>
          <w:tcPr>
            <w:tcW w:w="12645" w:type="dxa"/>
            <w:vAlign w:val="center"/>
          </w:tcPr>
          <w:p w14:paraId="176021DD" w14:textId="77777777" w:rsidR="00F407E9" w:rsidRDefault="000F68CA">
            <w:pPr>
              <w:numPr>
                <w:ilvl w:val="0"/>
                <w:numId w:val="4"/>
              </w:numPr>
              <w:rPr>
                <w:sz w:val="20"/>
                <w:szCs w:val="20"/>
              </w:rPr>
            </w:pPr>
            <w:r>
              <w:rPr>
                <w:sz w:val="20"/>
                <w:szCs w:val="20"/>
              </w:rPr>
              <w:t>From EIA’s Annual Energy Outlook and NREL</w:t>
            </w:r>
          </w:p>
          <w:p w14:paraId="5DFFD008" w14:textId="77777777" w:rsidR="00F407E9" w:rsidRDefault="000F68CA">
            <w:pPr>
              <w:numPr>
                <w:ilvl w:val="0"/>
                <w:numId w:val="4"/>
              </w:numPr>
              <w:rPr>
                <w:sz w:val="20"/>
                <w:szCs w:val="20"/>
              </w:rPr>
            </w:pPr>
            <w:r>
              <w:rPr>
                <w:sz w:val="20"/>
                <w:szCs w:val="20"/>
              </w:rPr>
              <w:t>Includes 2012 Federal Corpo</w:t>
            </w:r>
            <w:r>
              <w:rPr>
                <w:sz w:val="20"/>
                <w:szCs w:val="20"/>
              </w:rPr>
              <w:t>rate Average Fuel Economy Standards (CAFE) standards (</w:t>
            </w:r>
            <w:hyperlink r:id="rId36">
              <w:r>
                <w:rPr>
                  <w:color w:val="1155CC"/>
                  <w:sz w:val="20"/>
                  <w:szCs w:val="20"/>
                  <w:u w:val="single"/>
                </w:rPr>
                <w:t>full text via AEO</w:t>
              </w:r>
            </w:hyperlink>
            <w:r>
              <w:rPr>
                <w:sz w:val="20"/>
                <w:szCs w:val="20"/>
              </w:rPr>
              <w:t>)</w:t>
            </w:r>
          </w:p>
          <w:p w14:paraId="39DCBE50" w14:textId="77777777" w:rsidR="00F407E9" w:rsidRDefault="000F68CA">
            <w:pPr>
              <w:numPr>
                <w:ilvl w:val="0"/>
                <w:numId w:val="4"/>
              </w:numPr>
              <w:rPr>
                <w:sz w:val="20"/>
                <w:szCs w:val="20"/>
              </w:rPr>
            </w:pPr>
            <w:r>
              <w:rPr>
                <w:sz w:val="20"/>
                <w:szCs w:val="20"/>
              </w:rPr>
              <w:t>Federal EV subsidies</w:t>
            </w:r>
          </w:p>
          <w:p w14:paraId="647DE31E" w14:textId="77777777" w:rsidR="00F407E9" w:rsidRDefault="000F68CA">
            <w:pPr>
              <w:numPr>
                <w:ilvl w:val="0"/>
                <w:numId w:val="4"/>
              </w:numPr>
              <w:rPr>
                <w:sz w:val="20"/>
                <w:szCs w:val="20"/>
              </w:rPr>
            </w:pPr>
            <w:r>
              <w:rPr>
                <w:sz w:val="20"/>
                <w:szCs w:val="20"/>
              </w:rPr>
              <w:t>Economic adoption of EVs</w:t>
            </w:r>
            <w:r>
              <w:rPr>
                <w:sz w:val="20"/>
                <w:szCs w:val="20"/>
                <w:vertAlign w:val="superscript"/>
              </w:rPr>
              <w:footnoteReference w:id="2"/>
            </w:r>
          </w:p>
        </w:tc>
      </w:tr>
      <w:tr w:rsidR="00F407E9" w14:paraId="7F56979F" w14:textId="77777777">
        <w:trPr>
          <w:trHeight w:val="1088"/>
        </w:trPr>
        <w:tc>
          <w:tcPr>
            <w:tcW w:w="1665" w:type="dxa"/>
            <w:vAlign w:val="center"/>
          </w:tcPr>
          <w:p w14:paraId="3CEADE2C" w14:textId="77777777" w:rsidR="00F407E9" w:rsidRDefault="000F68CA">
            <w:pPr>
              <w:rPr>
                <w:sz w:val="20"/>
                <w:szCs w:val="20"/>
              </w:rPr>
            </w:pPr>
            <w:r>
              <w:rPr>
                <w:sz w:val="20"/>
                <w:szCs w:val="20"/>
              </w:rPr>
              <w:t>Industry</w:t>
            </w:r>
          </w:p>
        </w:tc>
        <w:tc>
          <w:tcPr>
            <w:tcW w:w="12645" w:type="dxa"/>
            <w:vAlign w:val="center"/>
          </w:tcPr>
          <w:p w14:paraId="195A04F2" w14:textId="77777777" w:rsidR="00F407E9" w:rsidRDefault="000F68CA">
            <w:pPr>
              <w:numPr>
                <w:ilvl w:val="0"/>
                <w:numId w:val="4"/>
              </w:numPr>
              <w:rPr>
                <w:sz w:val="20"/>
                <w:szCs w:val="20"/>
              </w:rPr>
            </w:pPr>
            <w:r>
              <w:rPr>
                <w:sz w:val="20"/>
                <w:szCs w:val="20"/>
              </w:rPr>
              <w:t>From EIA’s Annual Energy Outlook and NREL</w:t>
            </w:r>
          </w:p>
          <w:p w14:paraId="2D7C6BEA" w14:textId="77777777" w:rsidR="00F407E9" w:rsidRDefault="000F68CA">
            <w:pPr>
              <w:numPr>
                <w:ilvl w:val="0"/>
                <w:numId w:val="4"/>
              </w:numPr>
              <w:rPr>
                <w:sz w:val="20"/>
                <w:szCs w:val="20"/>
              </w:rPr>
            </w:pPr>
            <w:r>
              <w:rPr>
                <w:sz w:val="20"/>
                <w:szCs w:val="20"/>
              </w:rPr>
              <w:t xml:space="preserve">Assumes equipment performance improvements over time (described </w:t>
            </w:r>
            <w:hyperlink r:id="rId37">
              <w:r>
                <w:rPr>
                  <w:color w:val="1155CC"/>
                  <w:sz w:val="20"/>
                  <w:szCs w:val="20"/>
                  <w:u w:val="single"/>
                </w:rPr>
                <w:t>here</w:t>
              </w:r>
            </w:hyperlink>
            <w:r>
              <w:rPr>
                <w:sz w:val="20"/>
                <w:szCs w:val="20"/>
              </w:rPr>
              <w:t>)</w:t>
            </w:r>
          </w:p>
          <w:p w14:paraId="1944CC19" w14:textId="77777777" w:rsidR="00F407E9" w:rsidRDefault="000F68CA">
            <w:pPr>
              <w:numPr>
                <w:ilvl w:val="0"/>
                <w:numId w:val="4"/>
              </w:numPr>
              <w:rPr>
                <w:sz w:val="20"/>
                <w:szCs w:val="20"/>
              </w:rPr>
            </w:pPr>
            <w:r>
              <w:rPr>
                <w:sz w:val="20"/>
                <w:szCs w:val="20"/>
              </w:rPr>
              <w:t>Does not include implementation of the Kigali Amendment to the Montreal Protocol</w:t>
            </w:r>
            <w:r>
              <w:rPr>
                <w:sz w:val="20"/>
                <w:szCs w:val="20"/>
              </w:rPr>
              <w:t>.</w:t>
            </w:r>
          </w:p>
        </w:tc>
      </w:tr>
      <w:tr w:rsidR="00F407E9" w14:paraId="352F84CD" w14:textId="77777777">
        <w:trPr>
          <w:trHeight w:val="800"/>
        </w:trPr>
        <w:tc>
          <w:tcPr>
            <w:tcW w:w="1665" w:type="dxa"/>
            <w:vAlign w:val="center"/>
          </w:tcPr>
          <w:p w14:paraId="3803A5F9" w14:textId="77777777" w:rsidR="00F407E9" w:rsidRDefault="000F68CA">
            <w:pPr>
              <w:rPr>
                <w:sz w:val="20"/>
                <w:szCs w:val="20"/>
              </w:rPr>
            </w:pPr>
            <w:r>
              <w:rPr>
                <w:sz w:val="20"/>
                <w:szCs w:val="20"/>
              </w:rPr>
              <w:t>Land use/Agriculture</w:t>
            </w:r>
          </w:p>
        </w:tc>
        <w:tc>
          <w:tcPr>
            <w:tcW w:w="12645" w:type="dxa"/>
            <w:vAlign w:val="center"/>
          </w:tcPr>
          <w:p w14:paraId="7F031AFE" w14:textId="77777777" w:rsidR="00F407E9" w:rsidRDefault="000F68CA">
            <w:pPr>
              <w:numPr>
                <w:ilvl w:val="0"/>
                <w:numId w:val="4"/>
              </w:numPr>
              <w:rPr>
                <w:sz w:val="20"/>
                <w:szCs w:val="20"/>
              </w:rPr>
            </w:pPr>
            <w:r>
              <w:rPr>
                <w:sz w:val="20"/>
                <w:szCs w:val="20"/>
              </w:rPr>
              <w:t>Agriculture, biomass, and forestry projections</w:t>
            </w:r>
          </w:p>
        </w:tc>
      </w:tr>
      <w:tr w:rsidR="00F407E9" w14:paraId="0362A234" w14:textId="77777777">
        <w:trPr>
          <w:trHeight w:val="440"/>
        </w:trPr>
        <w:tc>
          <w:tcPr>
            <w:tcW w:w="1665" w:type="dxa"/>
            <w:vAlign w:val="center"/>
          </w:tcPr>
          <w:p w14:paraId="7B067021" w14:textId="77777777" w:rsidR="00F407E9" w:rsidRDefault="000F68CA">
            <w:pPr>
              <w:rPr>
                <w:sz w:val="20"/>
                <w:szCs w:val="20"/>
              </w:rPr>
            </w:pPr>
            <w:r>
              <w:rPr>
                <w:sz w:val="20"/>
                <w:szCs w:val="20"/>
              </w:rPr>
              <w:t>Imports/Exports</w:t>
            </w:r>
          </w:p>
        </w:tc>
        <w:tc>
          <w:tcPr>
            <w:tcW w:w="12645" w:type="dxa"/>
            <w:vAlign w:val="center"/>
          </w:tcPr>
          <w:p w14:paraId="4108A304" w14:textId="77777777" w:rsidR="00F407E9" w:rsidRDefault="000F68CA">
            <w:pPr>
              <w:numPr>
                <w:ilvl w:val="0"/>
                <w:numId w:val="4"/>
              </w:numPr>
              <w:rPr>
                <w:sz w:val="20"/>
                <w:szCs w:val="20"/>
              </w:rPr>
            </w:pPr>
            <w:r>
              <w:rPr>
                <w:sz w:val="20"/>
                <w:szCs w:val="20"/>
              </w:rPr>
              <w:t>Imported electricity emissions held constant</w:t>
            </w:r>
          </w:p>
        </w:tc>
      </w:tr>
    </w:tbl>
    <w:p w14:paraId="79F55EE2" w14:textId="77777777" w:rsidR="00F407E9" w:rsidRDefault="000F68CA">
      <w:pPr>
        <w:pStyle w:val="Heading1"/>
        <w:shd w:val="clear" w:color="auto" w:fill="1F4E79"/>
      </w:pPr>
      <w:r>
        <w:t xml:space="preserve">Defining Targets shown in the tool </w:t>
      </w:r>
      <w:r>
        <w:tab/>
      </w:r>
      <w:r>
        <w:tab/>
      </w:r>
      <w:r>
        <w:tab/>
      </w:r>
      <w:r>
        <w:tab/>
      </w:r>
      <w:r>
        <w:tab/>
      </w:r>
      <w:r>
        <w:tab/>
      </w:r>
      <w:r>
        <w:tab/>
      </w:r>
      <w:r>
        <w:tab/>
      </w:r>
      <w:r>
        <w:tab/>
      </w:r>
      <w:r>
        <w:tab/>
      </w:r>
      <w:r>
        <w:tab/>
      </w:r>
      <w:r>
        <w:tab/>
      </w:r>
      <w:r>
        <w:tab/>
      </w:r>
      <w:r>
        <w:tab/>
      </w:r>
      <w:r>
        <w:tab/>
      </w:r>
      <w:r>
        <w:tab/>
      </w:r>
    </w:p>
    <w:p w14:paraId="5545F491" w14:textId="77777777" w:rsidR="00F407E9" w:rsidRDefault="000F68CA">
      <w:pPr>
        <w:pStyle w:val="Heading3"/>
      </w:pPr>
      <w:r>
        <w:t>Greenhouse gas reduction target</w:t>
      </w:r>
    </w:p>
    <w:p w14:paraId="77C4513D" w14:textId="77777777" w:rsidR="00F407E9" w:rsidRDefault="000F68CA">
      <w:r>
        <w:t>Rocky Mountain Institute has done a US-wide analysis to define sector level targets consistent with limiting cumulative US greenhouse gas emissions consistent with a global 1.5℃ budget. To inform these targets, RMI reviewed both global 1.5℃ guidance</w:t>
      </w:r>
      <w:r>
        <w:rPr>
          <w:vertAlign w:val="superscript"/>
        </w:rPr>
        <w:footnoteReference w:id="3"/>
      </w:r>
      <w:r>
        <w:t xml:space="preserve"> and </w:t>
      </w:r>
      <w:r>
        <w:t xml:space="preserve">numerous national decarbonization pathways analyses, with a focus on required action by 2030. The sector-level targets have been translated to state-level benchmarks to guide policy evaluation and discussion. Targets by sector are downscaled from national </w:t>
      </w:r>
      <w:r>
        <w:t>to state levels using 2019 emissions to allow for disparate emissions trends since 2005 across states. Due to the considerable uncertainties in these analyses, the national and state level sector targets are approximate, and should not be considered equiva</w:t>
      </w:r>
      <w:r>
        <w:t xml:space="preserve">lent to an </w:t>
      </w:r>
      <w:r>
        <w:lastRenderedPageBreak/>
        <w:t>optimum state-by-state decarbonization assessment. State-level assessments may identify more cost- and politically effective paths that reduce emissions more quickly. RMI will provide additional information on the target calculations in a subseq</w:t>
      </w:r>
      <w:r>
        <w:t>uent document.</w:t>
      </w:r>
    </w:p>
    <w:p w14:paraId="416D86F3" w14:textId="77777777" w:rsidR="00F407E9" w:rsidRDefault="00F407E9"/>
    <w:p w14:paraId="21DEE06F" w14:textId="77777777" w:rsidR="00F407E9" w:rsidRDefault="000F68CA">
      <w:pPr>
        <w:pStyle w:val="Heading1"/>
        <w:shd w:val="clear" w:color="auto" w:fill="1F4E79"/>
      </w:pPr>
      <w:bookmarkStart w:id="0" w:name="_d51as6ti6uqs" w:colFirst="0" w:colLast="0"/>
      <w:bookmarkEnd w:id="0"/>
      <w:r>
        <w:t xml:space="preserve">Example Climate Mitigation Scenarios </w:t>
      </w:r>
      <w:r>
        <w:tab/>
      </w:r>
      <w:r>
        <w:tab/>
      </w:r>
      <w:r>
        <w:tab/>
      </w:r>
      <w:r>
        <w:tab/>
      </w:r>
      <w:r>
        <w:tab/>
      </w:r>
      <w:r>
        <w:tab/>
      </w:r>
      <w:r>
        <w:tab/>
      </w:r>
      <w:r>
        <w:tab/>
      </w:r>
      <w:r>
        <w:tab/>
      </w:r>
      <w:r>
        <w:tab/>
      </w:r>
      <w:r>
        <w:tab/>
      </w:r>
      <w:r>
        <w:tab/>
      </w:r>
      <w:r>
        <w:tab/>
      </w:r>
      <w:r>
        <w:tab/>
      </w:r>
      <w:r>
        <w:tab/>
      </w:r>
    </w:p>
    <w:p w14:paraId="7E54D916" w14:textId="77777777" w:rsidR="00F407E9" w:rsidRDefault="000F68CA">
      <w:pPr>
        <w:pStyle w:val="Heading3"/>
      </w:pPr>
      <w:bookmarkStart w:id="1" w:name="_8jz40w6mwo47" w:colFirst="0" w:colLast="0"/>
      <w:bookmarkEnd w:id="1"/>
      <w:r>
        <w:t>US 1.5 Degree Scenario</w:t>
      </w:r>
    </w:p>
    <w:p w14:paraId="18192E3C" w14:textId="77777777" w:rsidR="00F407E9" w:rsidRDefault="000F68CA">
      <w:r>
        <w:t>Energy Innovation developed a US 1.5 Degree Scenario, which is designed to put the US, nationally, on an emissions trajectory broadly consistent with limiting globa</w:t>
      </w:r>
      <w:r>
        <w:t>l warming to 1.5℃ by 2100. This national scenario has been downscaled to Nevada, adjusting for differences in the state technology mix compared to the national technology mix. This policy scenario is illustrative and is meant to represent one set of polici</w:t>
      </w:r>
      <w:r>
        <w:t xml:space="preserve">es that could be used to reduce emissions in line with a 1.5℃ scenario. Below, we show the policy assumptions in the 1.5℃ scenario alongside approaches outlined in </w:t>
      </w:r>
      <w:hyperlink r:id="rId38">
        <w:r>
          <w:rPr>
            <w:color w:val="1155CC"/>
            <w:u w:val="single"/>
          </w:rPr>
          <w:t>Nevada’s 2020 State Cl</w:t>
        </w:r>
        <w:r>
          <w:rPr>
            <w:color w:val="1155CC"/>
            <w:u w:val="single"/>
          </w:rPr>
          <w:t>imate Strategy</w:t>
        </w:r>
      </w:hyperlink>
      <w:r>
        <w:t xml:space="preserve">. </w:t>
      </w:r>
    </w:p>
    <w:p w14:paraId="190F7669" w14:textId="77777777" w:rsidR="00F407E9" w:rsidRDefault="00F407E9"/>
    <w:p w14:paraId="013E5FFB" w14:textId="77777777" w:rsidR="00F407E9" w:rsidRDefault="000F68CA">
      <w:pPr>
        <w:pStyle w:val="Heading2"/>
      </w:pPr>
      <w:bookmarkStart w:id="2" w:name="_8lubx1z1i0m8" w:colFirst="0" w:colLast="0"/>
      <w:bookmarkEnd w:id="2"/>
      <w:r>
        <w:t>Policy Assumptions in the US 1.5 Degree Scenario</w:t>
      </w:r>
    </w:p>
    <w:tbl>
      <w:tblPr>
        <w:tblStyle w:val="a1"/>
        <w:tblW w:w="145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3"/>
        <w:gridCol w:w="6165"/>
        <w:gridCol w:w="6165"/>
      </w:tblGrid>
      <w:tr w:rsidR="00F407E9" w14:paraId="7A72901F" w14:textId="77777777">
        <w:trPr>
          <w:trHeight w:val="368"/>
        </w:trPr>
        <w:tc>
          <w:tcPr>
            <w:tcW w:w="2183" w:type="dxa"/>
            <w:shd w:val="clear" w:color="auto" w:fill="A8D08D"/>
            <w:vAlign w:val="center"/>
          </w:tcPr>
          <w:p w14:paraId="50F4DEBF" w14:textId="77777777" w:rsidR="00F407E9" w:rsidRDefault="000F68CA">
            <w:pPr>
              <w:rPr>
                <w:sz w:val="20"/>
                <w:szCs w:val="20"/>
              </w:rPr>
            </w:pPr>
            <w:r>
              <w:rPr>
                <w:sz w:val="20"/>
                <w:szCs w:val="20"/>
              </w:rPr>
              <w:t>Sector</w:t>
            </w:r>
          </w:p>
        </w:tc>
        <w:tc>
          <w:tcPr>
            <w:tcW w:w="6165" w:type="dxa"/>
            <w:shd w:val="clear" w:color="auto" w:fill="A8D08D"/>
            <w:vAlign w:val="center"/>
          </w:tcPr>
          <w:p w14:paraId="5D1238ED" w14:textId="77777777" w:rsidR="00F407E9" w:rsidRDefault="000F68CA">
            <w:pPr>
              <w:rPr>
                <w:sz w:val="20"/>
                <w:szCs w:val="20"/>
              </w:rPr>
            </w:pPr>
            <w:r>
              <w:rPr>
                <w:sz w:val="20"/>
                <w:szCs w:val="20"/>
              </w:rPr>
              <w:t>State Climate Strategy</w:t>
            </w:r>
          </w:p>
        </w:tc>
        <w:tc>
          <w:tcPr>
            <w:tcW w:w="6165" w:type="dxa"/>
            <w:shd w:val="clear" w:color="auto" w:fill="A8D08D"/>
            <w:vAlign w:val="center"/>
          </w:tcPr>
          <w:p w14:paraId="1F1EC4DA" w14:textId="77777777" w:rsidR="00F407E9" w:rsidRDefault="000F68CA">
            <w:pPr>
              <w:rPr>
                <w:sz w:val="20"/>
                <w:szCs w:val="20"/>
              </w:rPr>
            </w:pPr>
            <w:r>
              <w:rPr>
                <w:sz w:val="20"/>
                <w:szCs w:val="20"/>
              </w:rPr>
              <w:t>US 1.5 Degree Scenario</w:t>
            </w:r>
          </w:p>
        </w:tc>
      </w:tr>
      <w:tr w:rsidR="00F407E9" w14:paraId="5658EA7F" w14:textId="77777777">
        <w:trPr>
          <w:trHeight w:val="845"/>
        </w:trPr>
        <w:tc>
          <w:tcPr>
            <w:tcW w:w="2183" w:type="dxa"/>
            <w:vAlign w:val="center"/>
          </w:tcPr>
          <w:p w14:paraId="180FE68E" w14:textId="77777777" w:rsidR="00F407E9" w:rsidRDefault="000F68CA">
            <w:pPr>
              <w:rPr>
                <w:sz w:val="20"/>
                <w:szCs w:val="20"/>
              </w:rPr>
            </w:pPr>
            <w:r>
              <w:rPr>
                <w:sz w:val="20"/>
                <w:szCs w:val="20"/>
              </w:rPr>
              <w:t>Electricity</w:t>
            </w:r>
          </w:p>
        </w:tc>
        <w:tc>
          <w:tcPr>
            <w:tcW w:w="6165" w:type="dxa"/>
            <w:vAlign w:val="center"/>
          </w:tcPr>
          <w:p w14:paraId="350CA1A4" w14:textId="77777777" w:rsidR="00F407E9" w:rsidRDefault="000F68CA">
            <w:pPr>
              <w:widowControl w:val="0"/>
              <w:numPr>
                <w:ilvl w:val="0"/>
                <w:numId w:val="4"/>
              </w:numPr>
              <w:spacing w:before="4"/>
              <w:ind w:left="360"/>
              <w:rPr>
                <w:sz w:val="18"/>
                <w:szCs w:val="18"/>
              </w:rPr>
            </w:pPr>
            <w:r>
              <w:rPr>
                <w:sz w:val="18"/>
                <w:szCs w:val="18"/>
              </w:rPr>
              <w:t>Transition from fossil-fueled electricity generation to clean energy sources</w:t>
            </w:r>
          </w:p>
          <w:p w14:paraId="40A1D211" w14:textId="77777777" w:rsidR="00F407E9" w:rsidRDefault="000F68CA">
            <w:pPr>
              <w:widowControl w:val="0"/>
              <w:numPr>
                <w:ilvl w:val="0"/>
                <w:numId w:val="4"/>
              </w:numPr>
              <w:spacing w:before="4"/>
              <w:ind w:left="360"/>
              <w:rPr>
                <w:sz w:val="18"/>
                <w:szCs w:val="18"/>
              </w:rPr>
            </w:pPr>
            <w:r>
              <w:rPr>
                <w:sz w:val="18"/>
                <w:szCs w:val="18"/>
              </w:rPr>
              <w:t>Require greenhouse gas (GHG) reduction plans and prioritize decarbonization in utility integrated resource plans (IRPs)</w:t>
            </w:r>
          </w:p>
          <w:p w14:paraId="1B04A694" w14:textId="77777777" w:rsidR="00F407E9" w:rsidRDefault="000F68CA">
            <w:pPr>
              <w:widowControl w:val="0"/>
              <w:numPr>
                <w:ilvl w:val="0"/>
                <w:numId w:val="4"/>
              </w:numPr>
              <w:spacing w:before="4"/>
              <w:ind w:left="360"/>
              <w:rPr>
                <w:sz w:val="18"/>
                <w:szCs w:val="18"/>
              </w:rPr>
            </w:pPr>
            <w:r>
              <w:rPr>
                <w:sz w:val="18"/>
                <w:szCs w:val="18"/>
              </w:rPr>
              <w:t>Prioritize energy efficiency and demand response programs</w:t>
            </w:r>
          </w:p>
        </w:tc>
        <w:tc>
          <w:tcPr>
            <w:tcW w:w="6165" w:type="dxa"/>
            <w:vAlign w:val="center"/>
          </w:tcPr>
          <w:p w14:paraId="1C772B6C" w14:textId="77777777" w:rsidR="00F407E9" w:rsidRDefault="000F68CA">
            <w:pPr>
              <w:numPr>
                <w:ilvl w:val="0"/>
                <w:numId w:val="4"/>
              </w:numPr>
              <w:spacing w:before="4"/>
              <w:ind w:left="360"/>
              <w:rPr>
                <w:sz w:val="18"/>
                <w:szCs w:val="18"/>
              </w:rPr>
            </w:pPr>
            <w:r>
              <w:rPr>
                <w:sz w:val="18"/>
                <w:szCs w:val="18"/>
              </w:rPr>
              <w:t>C</w:t>
            </w:r>
            <w:r>
              <w:rPr>
                <w:sz w:val="18"/>
                <w:szCs w:val="18"/>
              </w:rPr>
              <w:t>lean Electricity Standard of 80% by 2030, 100% by 2035</w:t>
            </w:r>
          </w:p>
          <w:p w14:paraId="22C995CB" w14:textId="77777777" w:rsidR="00F407E9" w:rsidRDefault="000F68CA">
            <w:pPr>
              <w:numPr>
                <w:ilvl w:val="0"/>
                <w:numId w:val="4"/>
              </w:numPr>
              <w:spacing w:before="4"/>
              <w:ind w:left="360"/>
              <w:rPr>
                <w:sz w:val="18"/>
                <w:szCs w:val="18"/>
              </w:rPr>
            </w:pPr>
            <w:r>
              <w:rPr>
                <w:sz w:val="18"/>
                <w:szCs w:val="18"/>
              </w:rPr>
              <w:t>Accelerate deployment of storage, transmission, and demand response</w:t>
            </w:r>
          </w:p>
          <w:p w14:paraId="2A845222" w14:textId="77777777" w:rsidR="00F407E9" w:rsidRDefault="000F68CA">
            <w:pPr>
              <w:numPr>
                <w:ilvl w:val="0"/>
                <w:numId w:val="4"/>
              </w:numPr>
              <w:spacing w:before="4"/>
              <w:ind w:left="360"/>
              <w:rPr>
                <w:sz w:val="18"/>
                <w:szCs w:val="18"/>
              </w:rPr>
            </w:pPr>
            <w:r>
              <w:rPr>
                <w:sz w:val="18"/>
                <w:szCs w:val="18"/>
              </w:rPr>
              <w:t>No new construction of coal and natural gas plants</w:t>
            </w:r>
          </w:p>
          <w:p w14:paraId="314F9D79" w14:textId="77777777" w:rsidR="00F407E9" w:rsidRDefault="000F68CA">
            <w:pPr>
              <w:numPr>
                <w:ilvl w:val="0"/>
                <w:numId w:val="4"/>
              </w:numPr>
              <w:spacing w:before="4"/>
              <w:ind w:left="360"/>
              <w:rPr>
                <w:sz w:val="18"/>
                <w:szCs w:val="18"/>
              </w:rPr>
            </w:pPr>
            <w:r>
              <w:rPr>
                <w:sz w:val="18"/>
                <w:szCs w:val="18"/>
              </w:rPr>
              <w:t xml:space="preserve">Accelerated fossil power plant retirements </w:t>
            </w:r>
          </w:p>
        </w:tc>
      </w:tr>
      <w:tr w:rsidR="00F407E9" w14:paraId="0D37CCA0" w14:textId="77777777">
        <w:trPr>
          <w:trHeight w:val="710"/>
        </w:trPr>
        <w:tc>
          <w:tcPr>
            <w:tcW w:w="2183" w:type="dxa"/>
            <w:vAlign w:val="center"/>
          </w:tcPr>
          <w:p w14:paraId="2C28E52D" w14:textId="77777777" w:rsidR="00F407E9" w:rsidRDefault="000F68CA">
            <w:pPr>
              <w:rPr>
                <w:sz w:val="20"/>
                <w:szCs w:val="20"/>
              </w:rPr>
            </w:pPr>
            <w:r>
              <w:rPr>
                <w:sz w:val="20"/>
                <w:szCs w:val="20"/>
              </w:rPr>
              <w:t>Buildings (Residential &amp; Commercial)</w:t>
            </w:r>
          </w:p>
        </w:tc>
        <w:tc>
          <w:tcPr>
            <w:tcW w:w="6165" w:type="dxa"/>
            <w:vAlign w:val="center"/>
          </w:tcPr>
          <w:p w14:paraId="37ECBD6C" w14:textId="77777777" w:rsidR="00F407E9" w:rsidRDefault="000F68CA">
            <w:pPr>
              <w:widowControl w:val="0"/>
              <w:numPr>
                <w:ilvl w:val="0"/>
                <w:numId w:val="4"/>
              </w:numPr>
              <w:spacing w:before="4"/>
              <w:ind w:left="360"/>
              <w:rPr>
                <w:sz w:val="18"/>
                <w:szCs w:val="18"/>
              </w:rPr>
            </w:pPr>
            <w:r>
              <w:rPr>
                <w:sz w:val="18"/>
                <w:szCs w:val="18"/>
              </w:rPr>
              <w:t>Adopt appliance and equipment efficiency standards</w:t>
            </w:r>
          </w:p>
          <w:p w14:paraId="102BBC6B" w14:textId="77777777" w:rsidR="00F407E9" w:rsidRDefault="000F68CA">
            <w:pPr>
              <w:widowControl w:val="0"/>
              <w:numPr>
                <w:ilvl w:val="0"/>
                <w:numId w:val="4"/>
              </w:numPr>
              <w:spacing w:before="4"/>
              <w:ind w:left="360"/>
              <w:rPr>
                <w:sz w:val="18"/>
                <w:szCs w:val="18"/>
              </w:rPr>
            </w:pPr>
            <w:r>
              <w:rPr>
                <w:sz w:val="18"/>
                <w:szCs w:val="18"/>
              </w:rPr>
              <w:t>Implement a statewide benchmarking program</w:t>
            </w:r>
          </w:p>
          <w:p w14:paraId="78E802B9" w14:textId="77777777" w:rsidR="00F407E9" w:rsidRDefault="000F68CA">
            <w:pPr>
              <w:widowControl w:val="0"/>
              <w:numPr>
                <w:ilvl w:val="0"/>
                <w:numId w:val="4"/>
              </w:numPr>
              <w:spacing w:before="4"/>
              <w:ind w:left="360"/>
              <w:rPr>
                <w:sz w:val="18"/>
                <w:szCs w:val="18"/>
              </w:rPr>
            </w:pPr>
            <w:r>
              <w:rPr>
                <w:sz w:val="18"/>
                <w:szCs w:val="18"/>
              </w:rPr>
              <w:t>Require residential energy labeling and energy audits</w:t>
            </w:r>
          </w:p>
          <w:p w14:paraId="77BD79B3" w14:textId="77777777" w:rsidR="00F407E9" w:rsidRDefault="000F68CA">
            <w:pPr>
              <w:widowControl w:val="0"/>
              <w:numPr>
                <w:ilvl w:val="0"/>
                <w:numId w:val="4"/>
              </w:numPr>
              <w:spacing w:before="4"/>
              <w:ind w:left="360"/>
              <w:rPr>
                <w:sz w:val="18"/>
                <w:szCs w:val="18"/>
              </w:rPr>
            </w:pPr>
            <w:r>
              <w:rPr>
                <w:sz w:val="18"/>
                <w:szCs w:val="18"/>
              </w:rPr>
              <w:t>Adopt energy codes for net-zero buildings</w:t>
            </w:r>
          </w:p>
          <w:p w14:paraId="3AF2CA07" w14:textId="77777777" w:rsidR="00F407E9" w:rsidRDefault="000F68CA">
            <w:pPr>
              <w:widowControl w:val="0"/>
              <w:numPr>
                <w:ilvl w:val="0"/>
                <w:numId w:val="4"/>
              </w:numPr>
              <w:spacing w:before="4"/>
              <w:ind w:left="360"/>
              <w:rPr>
                <w:sz w:val="18"/>
                <w:szCs w:val="18"/>
              </w:rPr>
            </w:pPr>
            <w:r>
              <w:rPr>
                <w:sz w:val="18"/>
                <w:szCs w:val="18"/>
              </w:rPr>
              <w:t xml:space="preserve">Expand the property-assessed </w:t>
            </w:r>
            <w:r>
              <w:rPr>
                <w:sz w:val="18"/>
                <w:szCs w:val="18"/>
              </w:rPr>
              <w:t>clean energy (PACE) program</w:t>
            </w:r>
          </w:p>
          <w:p w14:paraId="0F3D4E14" w14:textId="77777777" w:rsidR="00F407E9" w:rsidRDefault="000F68CA">
            <w:pPr>
              <w:widowControl w:val="0"/>
              <w:numPr>
                <w:ilvl w:val="0"/>
                <w:numId w:val="4"/>
              </w:numPr>
              <w:spacing w:before="4"/>
              <w:ind w:left="360"/>
              <w:rPr>
                <w:sz w:val="18"/>
                <w:szCs w:val="18"/>
              </w:rPr>
            </w:pPr>
            <w:r>
              <w:rPr>
                <w:sz w:val="18"/>
                <w:szCs w:val="18"/>
              </w:rPr>
              <w:t>Expand energy savings performance contracting (ESPC)</w:t>
            </w:r>
          </w:p>
          <w:p w14:paraId="3DE91F72" w14:textId="77777777" w:rsidR="00F407E9" w:rsidRDefault="000F68CA">
            <w:pPr>
              <w:widowControl w:val="0"/>
              <w:numPr>
                <w:ilvl w:val="0"/>
                <w:numId w:val="4"/>
              </w:numPr>
              <w:spacing w:before="4"/>
              <w:ind w:left="360"/>
              <w:rPr>
                <w:sz w:val="18"/>
                <w:szCs w:val="18"/>
              </w:rPr>
            </w:pPr>
            <w:r>
              <w:rPr>
                <w:sz w:val="18"/>
                <w:szCs w:val="18"/>
              </w:rPr>
              <w:t>Transition from residential and commercial use of gas</w:t>
            </w:r>
          </w:p>
        </w:tc>
        <w:tc>
          <w:tcPr>
            <w:tcW w:w="6165" w:type="dxa"/>
            <w:vAlign w:val="center"/>
          </w:tcPr>
          <w:p w14:paraId="33682B83" w14:textId="77777777" w:rsidR="00F407E9" w:rsidRDefault="000F68CA">
            <w:pPr>
              <w:numPr>
                <w:ilvl w:val="0"/>
                <w:numId w:val="4"/>
              </w:numPr>
              <w:spacing w:before="4"/>
              <w:ind w:left="360"/>
              <w:rPr>
                <w:sz w:val="18"/>
                <w:szCs w:val="18"/>
              </w:rPr>
            </w:pPr>
            <w:r>
              <w:rPr>
                <w:sz w:val="18"/>
                <w:szCs w:val="18"/>
              </w:rPr>
              <w:t>100% electric new appliances and buildings by 2030 (“building component electrification”)</w:t>
            </w:r>
          </w:p>
          <w:p w14:paraId="3E5A04ED" w14:textId="77777777" w:rsidR="00F407E9" w:rsidRDefault="000F68CA">
            <w:pPr>
              <w:numPr>
                <w:ilvl w:val="0"/>
                <w:numId w:val="4"/>
              </w:numPr>
              <w:spacing w:before="4"/>
              <w:ind w:left="360"/>
              <w:rPr>
                <w:sz w:val="18"/>
                <w:szCs w:val="18"/>
              </w:rPr>
            </w:pPr>
            <w:r>
              <w:rPr>
                <w:sz w:val="18"/>
                <w:szCs w:val="18"/>
              </w:rPr>
              <w:t>15% of existing buildings are r</w:t>
            </w:r>
            <w:r>
              <w:rPr>
                <w:sz w:val="18"/>
                <w:szCs w:val="18"/>
              </w:rPr>
              <w:t>etrofit by 2050</w:t>
            </w:r>
          </w:p>
          <w:p w14:paraId="1E7BC4C0" w14:textId="77777777" w:rsidR="00F407E9" w:rsidRDefault="000F68CA">
            <w:pPr>
              <w:numPr>
                <w:ilvl w:val="0"/>
                <w:numId w:val="4"/>
              </w:numPr>
              <w:spacing w:before="4"/>
              <w:ind w:left="360"/>
              <w:rPr>
                <w:sz w:val="18"/>
                <w:szCs w:val="18"/>
              </w:rPr>
            </w:pPr>
            <w:r>
              <w:rPr>
                <w:sz w:val="18"/>
                <w:szCs w:val="18"/>
              </w:rPr>
              <w:t>Enhanced building efficiency</w:t>
            </w:r>
          </w:p>
        </w:tc>
      </w:tr>
      <w:tr w:rsidR="00F407E9" w14:paraId="1FF291B8" w14:textId="77777777">
        <w:trPr>
          <w:trHeight w:val="1088"/>
        </w:trPr>
        <w:tc>
          <w:tcPr>
            <w:tcW w:w="2183" w:type="dxa"/>
            <w:vAlign w:val="center"/>
          </w:tcPr>
          <w:p w14:paraId="30B1C58E" w14:textId="77777777" w:rsidR="00F407E9" w:rsidRDefault="000F68CA">
            <w:pPr>
              <w:rPr>
                <w:sz w:val="20"/>
                <w:szCs w:val="20"/>
              </w:rPr>
            </w:pPr>
            <w:r>
              <w:rPr>
                <w:sz w:val="20"/>
                <w:szCs w:val="20"/>
              </w:rPr>
              <w:t>Transportation</w:t>
            </w:r>
          </w:p>
        </w:tc>
        <w:tc>
          <w:tcPr>
            <w:tcW w:w="6165" w:type="dxa"/>
            <w:vAlign w:val="center"/>
          </w:tcPr>
          <w:p w14:paraId="2EF4B19A" w14:textId="77777777" w:rsidR="00F407E9" w:rsidRDefault="000F68CA">
            <w:pPr>
              <w:widowControl w:val="0"/>
              <w:numPr>
                <w:ilvl w:val="0"/>
                <w:numId w:val="4"/>
              </w:numPr>
              <w:spacing w:before="4"/>
              <w:ind w:left="360"/>
              <w:rPr>
                <w:sz w:val="18"/>
                <w:szCs w:val="18"/>
              </w:rPr>
            </w:pPr>
            <w:r>
              <w:rPr>
                <w:sz w:val="18"/>
                <w:szCs w:val="18"/>
              </w:rPr>
              <w:t>Adopt low- and zero-emissions vehicle standards</w:t>
            </w:r>
          </w:p>
          <w:p w14:paraId="7C4E32B0" w14:textId="77777777" w:rsidR="00F407E9" w:rsidRDefault="000F68CA">
            <w:pPr>
              <w:widowControl w:val="0"/>
              <w:numPr>
                <w:ilvl w:val="0"/>
                <w:numId w:val="4"/>
              </w:numPr>
              <w:spacing w:before="4"/>
              <w:ind w:left="360"/>
              <w:rPr>
                <w:sz w:val="18"/>
                <w:szCs w:val="18"/>
              </w:rPr>
            </w:pPr>
            <w:r>
              <w:rPr>
                <w:sz w:val="18"/>
                <w:szCs w:val="18"/>
              </w:rPr>
              <w:t>Implement clean truck program</w:t>
            </w:r>
          </w:p>
          <w:p w14:paraId="5EFB90A8" w14:textId="77777777" w:rsidR="00F407E9" w:rsidRDefault="000F68CA">
            <w:pPr>
              <w:widowControl w:val="0"/>
              <w:numPr>
                <w:ilvl w:val="0"/>
                <w:numId w:val="4"/>
              </w:numPr>
              <w:spacing w:before="4"/>
              <w:ind w:left="360"/>
              <w:rPr>
                <w:sz w:val="18"/>
                <w:szCs w:val="18"/>
              </w:rPr>
            </w:pPr>
            <w:r>
              <w:rPr>
                <w:sz w:val="18"/>
                <w:szCs w:val="18"/>
              </w:rPr>
              <w:t>Adopt low-carbon fuel standards</w:t>
            </w:r>
          </w:p>
          <w:p w14:paraId="73E96DA5" w14:textId="77777777" w:rsidR="00F407E9" w:rsidRDefault="000F68CA">
            <w:pPr>
              <w:widowControl w:val="0"/>
              <w:numPr>
                <w:ilvl w:val="0"/>
                <w:numId w:val="4"/>
              </w:numPr>
              <w:spacing w:before="4"/>
              <w:ind w:left="360"/>
              <w:rPr>
                <w:sz w:val="18"/>
                <w:szCs w:val="18"/>
              </w:rPr>
            </w:pPr>
            <w:r>
              <w:rPr>
                <w:sz w:val="18"/>
                <w:szCs w:val="18"/>
              </w:rPr>
              <w:t>Implement state car allowance rebate system (“cash for clunkers”)</w:t>
            </w:r>
          </w:p>
          <w:p w14:paraId="5D20535E" w14:textId="77777777" w:rsidR="00F407E9" w:rsidRDefault="000F68CA">
            <w:pPr>
              <w:widowControl w:val="0"/>
              <w:numPr>
                <w:ilvl w:val="0"/>
                <w:numId w:val="4"/>
              </w:numPr>
              <w:spacing w:before="4"/>
              <w:ind w:left="360"/>
              <w:rPr>
                <w:sz w:val="18"/>
                <w:szCs w:val="18"/>
              </w:rPr>
            </w:pPr>
            <w:r>
              <w:rPr>
                <w:sz w:val="18"/>
                <w:szCs w:val="18"/>
              </w:rPr>
              <w:t>Close emissions inspection loopholes for classic cars license plates</w:t>
            </w:r>
          </w:p>
          <w:p w14:paraId="3C2B23E0" w14:textId="77777777" w:rsidR="00F407E9" w:rsidRDefault="000F68CA">
            <w:pPr>
              <w:widowControl w:val="0"/>
              <w:numPr>
                <w:ilvl w:val="0"/>
                <w:numId w:val="4"/>
              </w:numPr>
              <w:spacing w:before="4"/>
              <w:ind w:left="360"/>
              <w:rPr>
                <w:i/>
                <w:sz w:val="18"/>
                <w:szCs w:val="18"/>
              </w:rPr>
            </w:pPr>
            <w:r>
              <w:rPr>
                <w:i/>
                <w:sz w:val="18"/>
                <w:szCs w:val="18"/>
              </w:rPr>
              <w:t>Transportation demand management and urban planning</w:t>
            </w:r>
            <w:r>
              <w:rPr>
                <w:i/>
                <w:sz w:val="18"/>
                <w:szCs w:val="18"/>
                <w:vertAlign w:val="superscript"/>
              </w:rPr>
              <w:footnoteReference w:id="4"/>
            </w:r>
          </w:p>
        </w:tc>
        <w:tc>
          <w:tcPr>
            <w:tcW w:w="6165" w:type="dxa"/>
            <w:vAlign w:val="center"/>
          </w:tcPr>
          <w:p w14:paraId="5E0C2356" w14:textId="77777777" w:rsidR="00F407E9" w:rsidRDefault="000F68CA">
            <w:pPr>
              <w:numPr>
                <w:ilvl w:val="0"/>
                <w:numId w:val="4"/>
              </w:numPr>
              <w:spacing w:before="4"/>
              <w:ind w:left="360"/>
              <w:rPr>
                <w:sz w:val="18"/>
                <w:szCs w:val="18"/>
              </w:rPr>
            </w:pPr>
            <w:r>
              <w:rPr>
                <w:sz w:val="18"/>
                <w:szCs w:val="18"/>
              </w:rPr>
              <w:t>100% electric new light-duty vehicle, motorbike, and bus sales by 2</w:t>
            </w:r>
            <w:r>
              <w:rPr>
                <w:sz w:val="18"/>
                <w:szCs w:val="18"/>
              </w:rPr>
              <w:t>035</w:t>
            </w:r>
          </w:p>
          <w:p w14:paraId="12B487B7" w14:textId="77777777" w:rsidR="00F407E9" w:rsidRDefault="000F68CA">
            <w:pPr>
              <w:numPr>
                <w:ilvl w:val="0"/>
                <w:numId w:val="4"/>
              </w:numPr>
              <w:spacing w:before="4"/>
              <w:ind w:left="360"/>
              <w:rPr>
                <w:sz w:val="18"/>
                <w:szCs w:val="18"/>
              </w:rPr>
            </w:pPr>
            <w:r>
              <w:rPr>
                <w:sz w:val="18"/>
                <w:szCs w:val="18"/>
              </w:rPr>
              <w:t>100% electric new medium- and heavy-duty truck sales by 2045</w:t>
            </w:r>
          </w:p>
          <w:p w14:paraId="32C7396B" w14:textId="77777777" w:rsidR="00F407E9" w:rsidRDefault="000F68CA">
            <w:pPr>
              <w:numPr>
                <w:ilvl w:val="0"/>
                <w:numId w:val="4"/>
              </w:numPr>
              <w:spacing w:before="4"/>
              <w:ind w:left="360"/>
              <w:rPr>
                <w:sz w:val="18"/>
                <w:szCs w:val="18"/>
              </w:rPr>
            </w:pPr>
            <w:r>
              <w:rPr>
                <w:sz w:val="18"/>
                <w:szCs w:val="18"/>
              </w:rPr>
              <w:t>20% light-duty vehicle miles traveled reduced or shifted from BAU by 2050</w:t>
            </w:r>
          </w:p>
        </w:tc>
      </w:tr>
      <w:tr w:rsidR="00F407E9" w14:paraId="70A07959" w14:textId="77777777">
        <w:trPr>
          <w:trHeight w:val="1088"/>
        </w:trPr>
        <w:tc>
          <w:tcPr>
            <w:tcW w:w="2183" w:type="dxa"/>
            <w:vAlign w:val="center"/>
          </w:tcPr>
          <w:p w14:paraId="37CCFD23" w14:textId="77777777" w:rsidR="00F407E9" w:rsidRDefault="000F68CA">
            <w:pPr>
              <w:rPr>
                <w:sz w:val="20"/>
                <w:szCs w:val="20"/>
              </w:rPr>
            </w:pPr>
            <w:r>
              <w:rPr>
                <w:sz w:val="20"/>
                <w:szCs w:val="20"/>
              </w:rPr>
              <w:t>Industry</w:t>
            </w:r>
          </w:p>
        </w:tc>
        <w:tc>
          <w:tcPr>
            <w:tcW w:w="6165" w:type="dxa"/>
            <w:vAlign w:val="center"/>
          </w:tcPr>
          <w:p w14:paraId="4E17F185" w14:textId="77777777" w:rsidR="00F407E9" w:rsidRDefault="000F68CA">
            <w:pPr>
              <w:widowControl w:val="0"/>
              <w:numPr>
                <w:ilvl w:val="0"/>
                <w:numId w:val="2"/>
              </w:numPr>
              <w:spacing w:before="4"/>
              <w:ind w:left="360"/>
              <w:rPr>
                <w:sz w:val="18"/>
                <w:szCs w:val="18"/>
              </w:rPr>
            </w:pPr>
            <w:r>
              <w:rPr>
                <w:sz w:val="18"/>
                <w:szCs w:val="18"/>
              </w:rPr>
              <w:t>Replace, capture, and recycle ozone-depleting substance substitutes</w:t>
            </w:r>
          </w:p>
        </w:tc>
        <w:tc>
          <w:tcPr>
            <w:tcW w:w="6165" w:type="dxa"/>
            <w:vAlign w:val="center"/>
          </w:tcPr>
          <w:p w14:paraId="079951F0" w14:textId="77777777" w:rsidR="00F407E9" w:rsidRDefault="000F68CA">
            <w:pPr>
              <w:numPr>
                <w:ilvl w:val="0"/>
                <w:numId w:val="4"/>
              </w:numPr>
              <w:spacing w:before="4"/>
              <w:ind w:left="360"/>
              <w:rPr>
                <w:sz w:val="18"/>
                <w:szCs w:val="18"/>
              </w:rPr>
            </w:pPr>
            <w:r>
              <w:rPr>
                <w:sz w:val="18"/>
                <w:szCs w:val="18"/>
              </w:rPr>
              <w:t>100% achievement of cement clinker substitution by 2050</w:t>
            </w:r>
          </w:p>
          <w:p w14:paraId="1FE916C4" w14:textId="77777777" w:rsidR="00F407E9" w:rsidRDefault="000F68CA">
            <w:pPr>
              <w:numPr>
                <w:ilvl w:val="0"/>
                <w:numId w:val="4"/>
              </w:numPr>
              <w:spacing w:before="4"/>
              <w:ind w:left="360"/>
              <w:rPr>
                <w:sz w:val="18"/>
                <w:szCs w:val="18"/>
              </w:rPr>
            </w:pPr>
            <w:r>
              <w:rPr>
                <w:sz w:val="18"/>
                <w:szCs w:val="18"/>
              </w:rPr>
              <w:t>100% achievement of HFC emissions reductions, consistent with the Kigali Amendment to the Montreal Protocol</w:t>
            </w:r>
          </w:p>
          <w:p w14:paraId="4C1B27FB" w14:textId="77777777" w:rsidR="00F407E9" w:rsidRDefault="000F68CA">
            <w:pPr>
              <w:numPr>
                <w:ilvl w:val="0"/>
                <w:numId w:val="4"/>
              </w:numPr>
              <w:spacing w:before="4"/>
              <w:ind w:left="360"/>
              <w:rPr>
                <w:sz w:val="18"/>
                <w:szCs w:val="18"/>
              </w:rPr>
            </w:pPr>
            <w:r>
              <w:rPr>
                <w:sz w:val="18"/>
                <w:szCs w:val="18"/>
              </w:rPr>
              <w:t>17% improvement in indus</w:t>
            </w:r>
            <w:r>
              <w:rPr>
                <w:sz w:val="18"/>
                <w:szCs w:val="18"/>
              </w:rPr>
              <w:t>trial energy intensity/efficiency by 2050</w:t>
            </w:r>
          </w:p>
          <w:p w14:paraId="48D9ACAA" w14:textId="77777777" w:rsidR="00F407E9" w:rsidRDefault="000F68CA">
            <w:pPr>
              <w:numPr>
                <w:ilvl w:val="0"/>
                <w:numId w:val="4"/>
              </w:numPr>
              <w:spacing w:before="4"/>
              <w:ind w:left="360"/>
              <w:rPr>
                <w:sz w:val="18"/>
                <w:szCs w:val="18"/>
              </w:rPr>
            </w:pPr>
            <w:r>
              <w:rPr>
                <w:sz w:val="18"/>
                <w:szCs w:val="18"/>
              </w:rPr>
              <w:lastRenderedPageBreak/>
              <w:t>20% by 2030, 100% by 2050 shift from fossil fuels to a mix of electricity and hydrogen, varying by industrial potential for each fuel type, by 2050</w:t>
            </w:r>
          </w:p>
          <w:p w14:paraId="61C1BF7C" w14:textId="77777777" w:rsidR="00F407E9" w:rsidRDefault="000F68CA">
            <w:pPr>
              <w:numPr>
                <w:ilvl w:val="0"/>
                <w:numId w:val="4"/>
              </w:numPr>
              <w:spacing w:before="4"/>
              <w:ind w:left="360"/>
              <w:rPr>
                <w:sz w:val="18"/>
                <w:szCs w:val="18"/>
              </w:rPr>
            </w:pPr>
            <w:r>
              <w:rPr>
                <w:sz w:val="18"/>
                <w:szCs w:val="18"/>
              </w:rPr>
              <w:t xml:space="preserve">5% reduction in cement demand and 10% reduction in iron and steel </w:t>
            </w:r>
            <w:r>
              <w:rPr>
                <w:sz w:val="18"/>
                <w:szCs w:val="18"/>
              </w:rPr>
              <w:t>demand from improved material efficiency policies by 2050</w:t>
            </w:r>
          </w:p>
          <w:p w14:paraId="60DBEE0F" w14:textId="77777777" w:rsidR="00F407E9" w:rsidRDefault="000F68CA">
            <w:pPr>
              <w:numPr>
                <w:ilvl w:val="0"/>
                <w:numId w:val="4"/>
              </w:numPr>
              <w:spacing w:before="4"/>
              <w:ind w:left="360"/>
              <w:rPr>
                <w:sz w:val="18"/>
                <w:szCs w:val="18"/>
              </w:rPr>
            </w:pPr>
            <w:r>
              <w:rPr>
                <w:sz w:val="18"/>
                <w:szCs w:val="18"/>
              </w:rPr>
              <w:t>100% achievement of potential emissions reductions from methane capture and destruction in natural gas and oil, coal mining, water, and waste sectors</w:t>
            </w:r>
          </w:p>
          <w:p w14:paraId="70489282" w14:textId="77777777" w:rsidR="00F407E9" w:rsidRDefault="000F68CA">
            <w:pPr>
              <w:numPr>
                <w:ilvl w:val="0"/>
                <w:numId w:val="4"/>
              </w:numPr>
              <w:spacing w:before="4"/>
              <w:ind w:left="360"/>
              <w:rPr>
                <w:sz w:val="18"/>
                <w:szCs w:val="18"/>
              </w:rPr>
            </w:pPr>
            <w:r>
              <w:rPr>
                <w:sz w:val="18"/>
                <w:szCs w:val="18"/>
              </w:rPr>
              <w:t>100% of hydrogen is produced via electrolysis by</w:t>
            </w:r>
            <w:r>
              <w:rPr>
                <w:sz w:val="18"/>
                <w:szCs w:val="18"/>
              </w:rPr>
              <w:t xml:space="preserve"> 2030</w:t>
            </w:r>
          </w:p>
          <w:p w14:paraId="2B2975FF" w14:textId="77777777" w:rsidR="00F407E9" w:rsidRDefault="000F68CA">
            <w:pPr>
              <w:numPr>
                <w:ilvl w:val="0"/>
                <w:numId w:val="4"/>
              </w:numPr>
              <w:spacing w:before="4"/>
              <w:ind w:left="360"/>
              <w:rPr>
                <w:sz w:val="18"/>
                <w:szCs w:val="18"/>
              </w:rPr>
            </w:pPr>
            <w:r>
              <w:rPr>
                <w:sz w:val="18"/>
                <w:szCs w:val="18"/>
              </w:rPr>
              <w:t>50% remaining industrial CO2 emissions captured and sequestered through CCS by 2050</w:t>
            </w:r>
          </w:p>
        </w:tc>
      </w:tr>
      <w:tr w:rsidR="00F407E9" w14:paraId="57241326" w14:textId="77777777">
        <w:trPr>
          <w:trHeight w:val="800"/>
        </w:trPr>
        <w:tc>
          <w:tcPr>
            <w:tcW w:w="2183" w:type="dxa"/>
            <w:vAlign w:val="center"/>
          </w:tcPr>
          <w:p w14:paraId="575C30A2" w14:textId="77777777" w:rsidR="00F407E9" w:rsidRDefault="000F68CA">
            <w:pPr>
              <w:rPr>
                <w:sz w:val="20"/>
                <w:szCs w:val="20"/>
              </w:rPr>
            </w:pPr>
            <w:r>
              <w:rPr>
                <w:sz w:val="20"/>
                <w:szCs w:val="20"/>
              </w:rPr>
              <w:lastRenderedPageBreak/>
              <w:t>Land use &amp; Agriculture</w:t>
            </w:r>
          </w:p>
        </w:tc>
        <w:tc>
          <w:tcPr>
            <w:tcW w:w="6165" w:type="dxa"/>
            <w:vAlign w:val="center"/>
          </w:tcPr>
          <w:p w14:paraId="06C2A6E0" w14:textId="77777777" w:rsidR="00F407E9" w:rsidRDefault="000F68CA">
            <w:pPr>
              <w:widowControl w:val="0"/>
              <w:numPr>
                <w:ilvl w:val="0"/>
                <w:numId w:val="1"/>
              </w:numPr>
              <w:spacing w:before="4"/>
              <w:ind w:left="360"/>
              <w:rPr>
                <w:sz w:val="18"/>
                <w:szCs w:val="18"/>
              </w:rPr>
            </w:pPr>
            <w:r>
              <w:rPr>
                <w:sz w:val="18"/>
                <w:szCs w:val="18"/>
              </w:rPr>
              <w:t>Expand urban forestry programs</w:t>
            </w:r>
          </w:p>
        </w:tc>
        <w:tc>
          <w:tcPr>
            <w:tcW w:w="6165" w:type="dxa"/>
            <w:vAlign w:val="center"/>
          </w:tcPr>
          <w:p w14:paraId="748881B0" w14:textId="77777777" w:rsidR="00F407E9" w:rsidRDefault="000F68CA">
            <w:pPr>
              <w:numPr>
                <w:ilvl w:val="0"/>
                <w:numId w:val="4"/>
              </w:numPr>
              <w:spacing w:before="4"/>
              <w:ind w:left="360"/>
              <w:rPr>
                <w:sz w:val="18"/>
                <w:szCs w:val="18"/>
              </w:rPr>
            </w:pPr>
            <w:r>
              <w:rPr>
                <w:sz w:val="18"/>
                <w:szCs w:val="18"/>
              </w:rPr>
              <w:t>100% achievement of potential additional carbon uptake from afforestation/reforestation measures, improved forest management, cropland measures</w:t>
            </w:r>
          </w:p>
          <w:p w14:paraId="33E4447C" w14:textId="77777777" w:rsidR="00F407E9" w:rsidRDefault="000F68CA">
            <w:pPr>
              <w:numPr>
                <w:ilvl w:val="0"/>
                <w:numId w:val="4"/>
              </w:numPr>
              <w:spacing w:before="4"/>
              <w:ind w:left="360"/>
              <w:rPr>
                <w:sz w:val="18"/>
                <w:szCs w:val="18"/>
              </w:rPr>
            </w:pPr>
            <w:r>
              <w:rPr>
                <w:sz w:val="18"/>
                <w:szCs w:val="18"/>
              </w:rPr>
              <w:t>100% achievement of livestock methane measures (such as requiring anaerobic digesters) by 2050</w:t>
            </w:r>
          </w:p>
        </w:tc>
      </w:tr>
    </w:tbl>
    <w:p w14:paraId="1DFF8B4C" w14:textId="77777777" w:rsidR="00F407E9" w:rsidRDefault="00F407E9">
      <w:pPr>
        <w:pStyle w:val="Heading1"/>
        <w:shd w:val="clear" w:color="auto" w:fill="1F4E79"/>
        <w:rPr>
          <w:highlight w:val="yellow"/>
        </w:rPr>
      </w:pPr>
      <w:bookmarkStart w:id="3" w:name="_5y8s7ywpxzi" w:colFirst="0" w:colLast="0"/>
      <w:bookmarkEnd w:id="3"/>
    </w:p>
    <w:p w14:paraId="6F8FAB10" w14:textId="77777777" w:rsidR="00F407E9" w:rsidRDefault="000F68CA">
      <w:pPr>
        <w:pStyle w:val="Heading3"/>
      </w:pPr>
      <w:bookmarkStart w:id="4" w:name="_hxhivpo00bc2" w:colFirst="0" w:colLast="0"/>
      <w:bookmarkEnd w:id="4"/>
      <w:r>
        <w:t>Accelerated Eff</w:t>
      </w:r>
      <w:r>
        <w:t>iciency, Electrification, &amp; Renewables Scenario</w:t>
      </w:r>
    </w:p>
    <w:p w14:paraId="75A27773" w14:textId="77777777" w:rsidR="00F407E9" w:rsidRDefault="000F68CA">
      <w:r>
        <w:t>An additional scenario has been included to illustrate an example of a rapid emission reduction scenario in the EPS. This scenario is intended to be a simple combination of EPS policy settings exemplifying so</w:t>
      </w:r>
      <w:r>
        <w:t>me of the decarbonization approaches found to be ready to scale, cost-effective, and critical to near-term action in most recent literature: efficiency at the device and whole systems scale, electrification of buildings and on-road vehicles, and buildout o</w:t>
      </w:r>
      <w:r>
        <w:t xml:space="preserve">f wind and solar power. It is </w:t>
      </w:r>
      <w:proofErr w:type="gramStart"/>
      <w:r>
        <w:t>similar to</w:t>
      </w:r>
      <w:proofErr w:type="gramEnd"/>
      <w:r>
        <w:t xml:space="preserve"> the </w:t>
      </w:r>
      <w:hyperlink r:id="rId39">
        <w:r>
          <w:rPr>
            <w:color w:val="1155CC"/>
            <w:u w:val="single"/>
          </w:rPr>
          <w:t>UNEP Emissions Gap Report 2019</w:t>
        </w:r>
      </w:hyperlink>
      <w:r>
        <w:rPr>
          <w:vertAlign w:val="superscript"/>
        </w:rPr>
        <w:footnoteReference w:id="5"/>
      </w:r>
      <w:r>
        <w:t xml:space="preserve"> benchmark policies for the US to undertake “ambitious climate actions and targets.”</w:t>
      </w:r>
    </w:p>
    <w:p w14:paraId="74CD73AE" w14:textId="77777777" w:rsidR="00F407E9" w:rsidRDefault="000F68CA">
      <w:r>
        <w:t xml:space="preserve">There is </w:t>
      </w:r>
      <w:r>
        <w:t>overlap with the US 1.5 Degree Scenario in some of these settings, though these settings may have more ambitious implementation schedules in this scenario. This scenario is designed as a generic US state scenario, and it has not been optimized to be most c</w:t>
      </w:r>
      <w:r>
        <w:t xml:space="preserve">ost-effective or politically effective for Nevada. </w:t>
      </w:r>
    </w:p>
    <w:p w14:paraId="08DBD2A0" w14:textId="77777777" w:rsidR="00F407E9" w:rsidRDefault="000F68CA">
      <w:pPr>
        <w:pStyle w:val="Heading2"/>
      </w:pPr>
      <w:bookmarkStart w:id="5" w:name="_28olbd37zj41" w:colFirst="0" w:colLast="0"/>
      <w:bookmarkEnd w:id="5"/>
      <w:r>
        <w:t>Policy Assumptions in the Accelerated Efficiency, Electrification, &amp; Renewables Scenario</w:t>
      </w:r>
    </w:p>
    <w:tbl>
      <w:tblPr>
        <w:tblStyle w:val="a2"/>
        <w:tblW w:w="12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9900"/>
      </w:tblGrid>
      <w:tr w:rsidR="00F407E9" w14:paraId="59BF249F" w14:textId="77777777">
        <w:trPr>
          <w:trHeight w:val="368"/>
        </w:trPr>
        <w:tc>
          <w:tcPr>
            <w:tcW w:w="2160" w:type="dxa"/>
            <w:shd w:val="clear" w:color="auto" w:fill="A8D08D"/>
            <w:vAlign w:val="center"/>
          </w:tcPr>
          <w:p w14:paraId="742BF3B4" w14:textId="77777777" w:rsidR="00F407E9" w:rsidRDefault="000F68CA">
            <w:pPr>
              <w:rPr>
                <w:sz w:val="20"/>
                <w:szCs w:val="20"/>
              </w:rPr>
            </w:pPr>
            <w:r>
              <w:rPr>
                <w:sz w:val="20"/>
                <w:szCs w:val="20"/>
              </w:rPr>
              <w:t>Sector</w:t>
            </w:r>
          </w:p>
        </w:tc>
        <w:tc>
          <w:tcPr>
            <w:tcW w:w="9900" w:type="dxa"/>
            <w:shd w:val="clear" w:color="auto" w:fill="A8D08D"/>
            <w:vAlign w:val="center"/>
          </w:tcPr>
          <w:p w14:paraId="55312757" w14:textId="77777777" w:rsidR="00F407E9" w:rsidRDefault="000F68CA">
            <w:pPr>
              <w:rPr>
                <w:sz w:val="20"/>
                <w:szCs w:val="20"/>
              </w:rPr>
            </w:pPr>
            <w:r>
              <w:rPr>
                <w:sz w:val="20"/>
                <w:szCs w:val="20"/>
              </w:rPr>
              <w:t>Accelerated Efficiency, Electrification, &amp; Renewables Scenario</w:t>
            </w:r>
          </w:p>
        </w:tc>
      </w:tr>
      <w:tr w:rsidR="00F407E9" w14:paraId="3B9168DA" w14:textId="77777777">
        <w:trPr>
          <w:trHeight w:val="845"/>
        </w:trPr>
        <w:tc>
          <w:tcPr>
            <w:tcW w:w="2160" w:type="dxa"/>
            <w:vAlign w:val="center"/>
          </w:tcPr>
          <w:p w14:paraId="14ECD6CF" w14:textId="77777777" w:rsidR="00F407E9" w:rsidRDefault="000F68CA">
            <w:pPr>
              <w:rPr>
                <w:sz w:val="20"/>
                <w:szCs w:val="20"/>
              </w:rPr>
            </w:pPr>
            <w:r>
              <w:rPr>
                <w:sz w:val="20"/>
                <w:szCs w:val="20"/>
              </w:rPr>
              <w:t>Electricity</w:t>
            </w:r>
          </w:p>
        </w:tc>
        <w:tc>
          <w:tcPr>
            <w:tcW w:w="9900" w:type="dxa"/>
            <w:vAlign w:val="center"/>
          </w:tcPr>
          <w:p w14:paraId="5CF97E04" w14:textId="77777777" w:rsidR="00F407E9" w:rsidRDefault="000F68CA">
            <w:pPr>
              <w:numPr>
                <w:ilvl w:val="0"/>
                <w:numId w:val="4"/>
              </w:numPr>
              <w:rPr>
                <w:sz w:val="20"/>
                <w:szCs w:val="20"/>
              </w:rPr>
            </w:pPr>
            <w:r>
              <w:rPr>
                <w:sz w:val="20"/>
                <w:szCs w:val="20"/>
              </w:rPr>
              <w:t>90% clean electricity standard by 2030 and 100% by 2040</w:t>
            </w:r>
          </w:p>
          <w:p w14:paraId="6A644FD8" w14:textId="77777777" w:rsidR="00F407E9" w:rsidRDefault="000F68CA">
            <w:pPr>
              <w:numPr>
                <w:ilvl w:val="0"/>
                <w:numId w:val="4"/>
              </w:numPr>
              <w:rPr>
                <w:sz w:val="20"/>
                <w:szCs w:val="20"/>
              </w:rPr>
            </w:pPr>
            <w:r>
              <w:rPr>
                <w:sz w:val="20"/>
                <w:szCs w:val="20"/>
              </w:rPr>
              <w:t>Accelerate deployment of storage, transmission, and demand response</w:t>
            </w:r>
          </w:p>
          <w:p w14:paraId="2557FCFE" w14:textId="77777777" w:rsidR="00F407E9" w:rsidRDefault="000F68CA">
            <w:pPr>
              <w:numPr>
                <w:ilvl w:val="0"/>
                <w:numId w:val="4"/>
              </w:numPr>
              <w:rPr>
                <w:sz w:val="20"/>
                <w:szCs w:val="20"/>
              </w:rPr>
            </w:pPr>
            <w:r>
              <w:rPr>
                <w:sz w:val="20"/>
                <w:szCs w:val="20"/>
              </w:rPr>
              <w:t>$100/ton carbon tax applied to electricity by 2030</w:t>
            </w:r>
          </w:p>
        </w:tc>
      </w:tr>
      <w:tr w:rsidR="00F407E9" w14:paraId="3D867F23" w14:textId="77777777">
        <w:trPr>
          <w:trHeight w:val="710"/>
        </w:trPr>
        <w:tc>
          <w:tcPr>
            <w:tcW w:w="2160" w:type="dxa"/>
            <w:vAlign w:val="center"/>
          </w:tcPr>
          <w:p w14:paraId="54703F19" w14:textId="77777777" w:rsidR="00F407E9" w:rsidRDefault="000F68CA">
            <w:pPr>
              <w:rPr>
                <w:sz w:val="20"/>
                <w:szCs w:val="20"/>
              </w:rPr>
            </w:pPr>
            <w:r>
              <w:rPr>
                <w:sz w:val="20"/>
                <w:szCs w:val="20"/>
              </w:rPr>
              <w:t>Buildings</w:t>
            </w:r>
          </w:p>
        </w:tc>
        <w:tc>
          <w:tcPr>
            <w:tcW w:w="9900" w:type="dxa"/>
            <w:vAlign w:val="center"/>
          </w:tcPr>
          <w:p w14:paraId="71317BFE" w14:textId="77777777" w:rsidR="00F407E9" w:rsidRDefault="000F68CA">
            <w:pPr>
              <w:numPr>
                <w:ilvl w:val="0"/>
                <w:numId w:val="4"/>
              </w:numPr>
              <w:rPr>
                <w:sz w:val="20"/>
                <w:szCs w:val="20"/>
              </w:rPr>
            </w:pPr>
            <w:r>
              <w:rPr>
                <w:sz w:val="20"/>
                <w:szCs w:val="20"/>
              </w:rPr>
              <w:t>100% electric new appliances and buildings by 2030 (“building componen</w:t>
            </w:r>
            <w:r>
              <w:rPr>
                <w:sz w:val="20"/>
                <w:szCs w:val="20"/>
              </w:rPr>
              <w:t>t electrification”)</w:t>
            </w:r>
          </w:p>
          <w:p w14:paraId="126EBE48" w14:textId="77777777" w:rsidR="00F407E9" w:rsidRDefault="000F68CA">
            <w:pPr>
              <w:numPr>
                <w:ilvl w:val="0"/>
                <w:numId w:val="4"/>
              </w:numPr>
              <w:rPr>
                <w:sz w:val="20"/>
                <w:szCs w:val="20"/>
              </w:rPr>
            </w:pPr>
            <w:r>
              <w:rPr>
                <w:sz w:val="20"/>
                <w:szCs w:val="20"/>
              </w:rPr>
              <w:t>50% of existing buildings are retrofit by 2040</w:t>
            </w:r>
          </w:p>
        </w:tc>
      </w:tr>
      <w:tr w:rsidR="00F407E9" w14:paraId="0CCC13C4" w14:textId="77777777">
        <w:trPr>
          <w:trHeight w:val="1088"/>
        </w:trPr>
        <w:tc>
          <w:tcPr>
            <w:tcW w:w="2160" w:type="dxa"/>
            <w:vAlign w:val="center"/>
          </w:tcPr>
          <w:p w14:paraId="6BC83748" w14:textId="77777777" w:rsidR="00F407E9" w:rsidRDefault="000F68CA">
            <w:pPr>
              <w:rPr>
                <w:sz w:val="20"/>
                <w:szCs w:val="20"/>
              </w:rPr>
            </w:pPr>
            <w:r>
              <w:rPr>
                <w:sz w:val="20"/>
                <w:szCs w:val="20"/>
              </w:rPr>
              <w:t>On-Road Transportation</w:t>
            </w:r>
          </w:p>
        </w:tc>
        <w:tc>
          <w:tcPr>
            <w:tcW w:w="9900" w:type="dxa"/>
            <w:vAlign w:val="center"/>
          </w:tcPr>
          <w:p w14:paraId="7AFDAFA0" w14:textId="77777777" w:rsidR="00F407E9" w:rsidRDefault="000F68CA">
            <w:pPr>
              <w:numPr>
                <w:ilvl w:val="0"/>
                <w:numId w:val="4"/>
              </w:numPr>
              <w:rPr>
                <w:sz w:val="20"/>
                <w:szCs w:val="20"/>
              </w:rPr>
            </w:pPr>
            <w:r>
              <w:rPr>
                <w:sz w:val="20"/>
                <w:szCs w:val="20"/>
              </w:rPr>
              <w:t>100% electric new light-duty vehicle and bus sales by 2030</w:t>
            </w:r>
          </w:p>
          <w:p w14:paraId="714791AC" w14:textId="77777777" w:rsidR="00F407E9" w:rsidRDefault="000F68CA">
            <w:pPr>
              <w:numPr>
                <w:ilvl w:val="0"/>
                <w:numId w:val="4"/>
              </w:numPr>
              <w:rPr>
                <w:sz w:val="20"/>
                <w:szCs w:val="20"/>
              </w:rPr>
            </w:pPr>
            <w:r>
              <w:rPr>
                <w:sz w:val="20"/>
                <w:szCs w:val="20"/>
              </w:rPr>
              <w:t>70% electric new truck sales by 2040</w:t>
            </w:r>
          </w:p>
          <w:p w14:paraId="61AC59C3" w14:textId="77777777" w:rsidR="00F407E9" w:rsidRDefault="000F68CA">
            <w:pPr>
              <w:numPr>
                <w:ilvl w:val="0"/>
                <w:numId w:val="4"/>
              </w:numPr>
              <w:rPr>
                <w:sz w:val="20"/>
                <w:szCs w:val="20"/>
              </w:rPr>
            </w:pPr>
            <w:r>
              <w:rPr>
                <w:sz w:val="20"/>
                <w:szCs w:val="20"/>
              </w:rPr>
              <w:t>30% hydrogen new truck sales by 2040</w:t>
            </w:r>
          </w:p>
          <w:p w14:paraId="2BFC656F" w14:textId="77777777" w:rsidR="00F407E9" w:rsidRDefault="000F68CA">
            <w:pPr>
              <w:numPr>
                <w:ilvl w:val="0"/>
                <w:numId w:val="4"/>
              </w:numPr>
              <w:rPr>
                <w:sz w:val="20"/>
                <w:szCs w:val="20"/>
              </w:rPr>
            </w:pPr>
            <w:r>
              <w:rPr>
                <w:sz w:val="20"/>
                <w:szCs w:val="20"/>
              </w:rPr>
              <w:t>26% light-duty vehicle miles traveled reduction from BAU by 2040</w:t>
            </w:r>
          </w:p>
        </w:tc>
      </w:tr>
      <w:tr w:rsidR="00F407E9" w14:paraId="1C73E1E6" w14:textId="77777777">
        <w:trPr>
          <w:trHeight w:val="1088"/>
        </w:trPr>
        <w:tc>
          <w:tcPr>
            <w:tcW w:w="2160" w:type="dxa"/>
            <w:vAlign w:val="center"/>
          </w:tcPr>
          <w:p w14:paraId="0C1F01C6" w14:textId="77777777" w:rsidR="00F407E9" w:rsidRDefault="000F68CA">
            <w:pPr>
              <w:rPr>
                <w:sz w:val="20"/>
                <w:szCs w:val="20"/>
              </w:rPr>
            </w:pPr>
            <w:r>
              <w:rPr>
                <w:sz w:val="20"/>
                <w:szCs w:val="20"/>
              </w:rPr>
              <w:lastRenderedPageBreak/>
              <w:t>Industry</w:t>
            </w:r>
          </w:p>
        </w:tc>
        <w:tc>
          <w:tcPr>
            <w:tcW w:w="9900" w:type="dxa"/>
            <w:vAlign w:val="center"/>
          </w:tcPr>
          <w:p w14:paraId="1C93CBEB" w14:textId="77777777" w:rsidR="00F407E9" w:rsidRDefault="000F68CA">
            <w:pPr>
              <w:numPr>
                <w:ilvl w:val="0"/>
                <w:numId w:val="4"/>
              </w:numPr>
              <w:rPr>
                <w:sz w:val="20"/>
                <w:szCs w:val="20"/>
              </w:rPr>
            </w:pPr>
            <w:r>
              <w:rPr>
                <w:sz w:val="20"/>
                <w:szCs w:val="20"/>
              </w:rPr>
              <w:t>$100/ton carbon tax applied to industry, including process (non-combustion) emissions, by 2030</w:t>
            </w:r>
          </w:p>
          <w:p w14:paraId="6D02B8AE" w14:textId="77777777" w:rsidR="00F407E9" w:rsidRDefault="000F68CA">
            <w:pPr>
              <w:numPr>
                <w:ilvl w:val="0"/>
                <w:numId w:val="4"/>
              </w:numPr>
              <w:rPr>
                <w:sz w:val="20"/>
                <w:szCs w:val="20"/>
              </w:rPr>
            </w:pPr>
            <w:r>
              <w:rPr>
                <w:sz w:val="20"/>
                <w:szCs w:val="20"/>
              </w:rPr>
              <w:t xml:space="preserve">100% of hydrogen is produced via electrolysis by </w:t>
            </w:r>
            <w:r>
              <w:rPr>
                <w:sz w:val="20"/>
                <w:szCs w:val="20"/>
              </w:rPr>
              <w:t>2030</w:t>
            </w:r>
          </w:p>
        </w:tc>
      </w:tr>
      <w:tr w:rsidR="00F407E9" w14:paraId="51DDDAEB" w14:textId="77777777">
        <w:trPr>
          <w:trHeight w:val="800"/>
        </w:trPr>
        <w:tc>
          <w:tcPr>
            <w:tcW w:w="2160" w:type="dxa"/>
            <w:vAlign w:val="center"/>
          </w:tcPr>
          <w:p w14:paraId="24AE039B" w14:textId="77777777" w:rsidR="00F407E9" w:rsidRDefault="000F68CA">
            <w:pPr>
              <w:rPr>
                <w:sz w:val="20"/>
                <w:szCs w:val="20"/>
              </w:rPr>
            </w:pPr>
            <w:r>
              <w:rPr>
                <w:sz w:val="20"/>
                <w:szCs w:val="20"/>
              </w:rPr>
              <w:t>Land use/Agriculture</w:t>
            </w:r>
          </w:p>
        </w:tc>
        <w:tc>
          <w:tcPr>
            <w:tcW w:w="9900" w:type="dxa"/>
            <w:vAlign w:val="center"/>
          </w:tcPr>
          <w:p w14:paraId="42CD1CFC" w14:textId="77777777" w:rsidR="00F407E9" w:rsidRDefault="000F68CA">
            <w:pPr>
              <w:numPr>
                <w:ilvl w:val="0"/>
                <w:numId w:val="4"/>
              </w:numPr>
              <w:rPr>
                <w:sz w:val="20"/>
                <w:szCs w:val="20"/>
              </w:rPr>
            </w:pPr>
            <w:r>
              <w:rPr>
                <w:sz w:val="20"/>
                <w:szCs w:val="20"/>
              </w:rPr>
              <w:t>$100/ton carbon tax applies to non-combustion emissions by 2030</w:t>
            </w:r>
          </w:p>
        </w:tc>
      </w:tr>
    </w:tbl>
    <w:p w14:paraId="47244E60" w14:textId="77777777" w:rsidR="00F407E9" w:rsidRDefault="00F407E9">
      <w:pPr>
        <w:pStyle w:val="Heading1"/>
        <w:shd w:val="clear" w:color="auto" w:fill="1F4E79"/>
      </w:pPr>
      <w:bookmarkStart w:id="6" w:name="_cj7c5m5rmddq" w:colFirst="0" w:colLast="0"/>
      <w:bookmarkEnd w:id="6"/>
    </w:p>
    <w:p w14:paraId="56DF8D05" w14:textId="77777777" w:rsidR="00F407E9" w:rsidRDefault="000F68CA">
      <w:pPr>
        <w:pStyle w:val="Heading1"/>
        <w:shd w:val="clear" w:color="auto" w:fill="1F4E79"/>
      </w:pPr>
      <w:r>
        <w:t>Calculating Policy Impacts</w:t>
      </w:r>
      <w:r>
        <w:tab/>
      </w:r>
      <w:r>
        <w:tab/>
      </w:r>
      <w:r>
        <w:tab/>
      </w:r>
      <w:r>
        <w:tab/>
      </w:r>
      <w:r>
        <w:tab/>
      </w:r>
      <w:r>
        <w:tab/>
      </w:r>
      <w:r>
        <w:tab/>
      </w:r>
      <w:r>
        <w:tab/>
      </w:r>
      <w:r>
        <w:tab/>
      </w:r>
      <w:r>
        <w:tab/>
      </w:r>
      <w:r>
        <w:tab/>
      </w:r>
      <w:r>
        <w:tab/>
      </w:r>
      <w:r>
        <w:tab/>
      </w:r>
      <w:r>
        <w:tab/>
      </w:r>
      <w:r>
        <w:tab/>
      </w:r>
      <w:r>
        <w:tab/>
      </w:r>
      <w:r>
        <w:tab/>
      </w:r>
    </w:p>
    <w:p w14:paraId="5931D1FB" w14:textId="77777777" w:rsidR="00F407E9" w:rsidRDefault="000F68CA">
      <w:pPr>
        <w:pStyle w:val="Heading3"/>
      </w:pPr>
      <w:r>
        <w:t>Calculating Impacts of Policies (Emissions, Jobs, Health Impacts)</w:t>
      </w:r>
    </w:p>
    <w:p w14:paraId="675169DD" w14:textId="77777777" w:rsidR="00F407E9" w:rsidRDefault="000F68CA">
      <w:r>
        <w:t xml:space="preserve">For additional information on Energy Innovation’s Energy Policy Simulator, please view the tutorial </w:t>
      </w:r>
      <w:hyperlink r:id="rId40">
        <w:r>
          <w:rPr>
            <w:color w:val="0563C1"/>
            <w:u w:val="single"/>
          </w:rPr>
          <w:t>here</w:t>
        </w:r>
      </w:hyperlink>
      <w:r>
        <w:t>.</w:t>
      </w:r>
    </w:p>
    <w:p w14:paraId="395741C4" w14:textId="77777777" w:rsidR="00F407E9" w:rsidRDefault="000F68CA">
      <w:pPr>
        <w:pStyle w:val="Heading3"/>
      </w:pPr>
      <w:r>
        <w:t>About th</w:t>
      </w:r>
      <w:r>
        <w:t>e EPS</w:t>
      </w:r>
      <w:r>
        <w:tab/>
      </w:r>
      <w:r>
        <w:tab/>
      </w:r>
      <w:r>
        <w:tab/>
      </w:r>
      <w:r>
        <w:tab/>
      </w:r>
      <w:r>
        <w:tab/>
      </w:r>
      <w:r>
        <w:tab/>
      </w:r>
      <w:r>
        <w:tab/>
      </w:r>
      <w:r>
        <w:tab/>
      </w:r>
      <w:r>
        <w:tab/>
      </w:r>
      <w:r>
        <w:tab/>
      </w:r>
      <w:r>
        <w:tab/>
      </w:r>
      <w:r>
        <w:tab/>
      </w:r>
      <w:r>
        <w:tab/>
      </w:r>
      <w:r>
        <w:tab/>
      </w:r>
      <w:r>
        <w:tab/>
      </w:r>
      <w:r>
        <w:tab/>
      </w:r>
      <w:r>
        <w:tab/>
      </w:r>
      <w:r>
        <w:tab/>
      </w:r>
      <w:r>
        <w:tab/>
      </w:r>
    </w:p>
    <w:p w14:paraId="6382C70E" w14:textId="77777777" w:rsidR="00F407E9" w:rsidRDefault="000F68CA">
      <w:r>
        <w:t xml:space="preserve">The Energy Policy Simulator is a non-partisan, open-source, and peer-reviewed model. The EPS was developed to evaluate the impacts of climate and energy policies on emissions, costs and savings, and fuel consumption. The EPS model </w:t>
      </w:r>
      <w:r>
        <w:t>is used by policymakers to select and refine climate legislation. For example, the EPS model was used to assess the impact of climate policies for the U.S. House Select Committee on the Climate Crisis.</w:t>
      </w:r>
      <w:r>
        <w:rPr>
          <w:vertAlign w:val="superscript"/>
        </w:rPr>
        <w:footnoteReference w:id="6"/>
      </w:r>
      <w:r>
        <w:t xml:space="preserve"> EPS users input climate policies and the model then </w:t>
      </w:r>
      <w:r>
        <w:t xml:space="preserve">analyzes interacting policy impacts to forecast environmental and economic outcomes. The model generates a variety of data outputs including greenhouse gas emissions, criteria pollutant emissions, capital and operating cash flow changes, and macroeconomic </w:t>
      </w:r>
      <w:r>
        <w:t>changes to GDP and jobs. RMI and Energy Innovation are currently developing EPS models for 20 U.S. states.</w:t>
      </w:r>
    </w:p>
    <w:p w14:paraId="2B1B4F89" w14:textId="77777777" w:rsidR="00F407E9" w:rsidRDefault="000F68CA">
      <w:r>
        <w:t xml:space="preserve">The EPS model is available for download online </w:t>
      </w:r>
      <w:hyperlink r:id="rId41">
        <w:r>
          <w:rPr>
            <w:color w:val="0563C1"/>
            <w:u w:val="single"/>
          </w:rPr>
          <w:t>here</w:t>
        </w:r>
      </w:hyperlink>
      <w:r>
        <w:t>.</w:t>
      </w:r>
      <w:r>
        <w:rPr>
          <w:vertAlign w:val="superscript"/>
        </w:rPr>
        <w:footnoteReference w:id="7"/>
      </w:r>
      <w:r>
        <w:t xml:space="preserve"> And full documentation</w:t>
      </w:r>
      <w:r>
        <w:t xml:space="preserve"> on methodology and assumptions are available online </w:t>
      </w:r>
      <w:hyperlink r:id="rId42">
        <w:r>
          <w:rPr>
            <w:color w:val="0563C1"/>
            <w:u w:val="single"/>
          </w:rPr>
          <w:t>here</w:t>
        </w:r>
      </w:hyperlink>
      <w:r>
        <w:t>.</w:t>
      </w:r>
      <w:r>
        <w:rPr>
          <w:vertAlign w:val="superscript"/>
        </w:rPr>
        <w:footnoteReference w:id="8"/>
      </w:r>
      <w:r>
        <w:t xml:space="preserve"> </w:t>
      </w:r>
    </w:p>
    <w:p w14:paraId="51C70061" w14:textId="77777777" w:rsidR="00F407E9" w:rsidRDefault="000F68CA">
      <w:pPr>
        <w:pStyle w:val="Heading1"/>
        <w:shd w:val="clear" w:color="auto" w:fill="1F4E79"/>
      </w:pPr>
      <w:r>
        <w:t>Contact</w:t>
      </w:r>
      <w:r>
        <w:tab/>
      </w:r>
      <w:r>
        <w:tab/>
      </w:r>
      <w:r>
        <w:tab/>
      </w:r>
      <w:r>
        <w:tab/>
      </w:r>
      <w:r>
        <w:tab/>
      </w:r>
      <w:r>
        <w:tab/>
      </w:r>
      <w:r>
        <w:tab/>
      </w:r>
      <w:r>
        <w:tab/>
      </w:r>
      <w:r>
        <w:tab/>
      </w:r>
      <w:r>
        <w:tab/>
      </w:r>
      <w:r>
        <w:tab/>
      </w:r>
      <w:r>
        <w:tab/>
      </w:r>
      <w:r>
        <w:tab/>
      </w:r>
      <w:r>
        <w:tab/>
      </w:r>
      <w:r>
        <w:tab/>
      </w:r>
      <w:r>
        <w:tab/>
      </w:r>
      <w:r>
        <w:tab/>
      </w:r>
      <w:r>
        <w:tab/>
      </w:r>
      <w:r>
        <w:tab/>
      </w:r>
    </w:p>
    <w:p w14:paraId="5A665943" w14:textId="77777777" w:rsidR="00F407E9" w:rsidRDefault="000F68CA">
      <w:r>
        <w:t>If you have questions about using the EPS, we recommend first watching our video series, available</w:t>
      </w:r>
      <w:r>
        <w:t xml:space="preserve"> </w:t>
      </w:r>
      <w:hyperlink r:id="rId43">
        <w:r>
          <w:rPr>
            <w:color w:val="0563C1"/>
            <w:u w:val="single"/>
          </w:rPr>
          <w:t>here</w:t>
        </w:r>
      </w:hyperlink>
      <w:r>
        <w:t>.</w:t>
      </w:r>
      <w:r>
        <w:rPr>
          <w:vertAlign w:val="superscript"/>
        </w:rPr>
        <w:footnoteReference w:id="9"/>
      </w:r>
      <w:r>
        <w:t xml:space="preserve"> For further information on the EPS, contact us at </w:t>
      </w:r>
      <w:hyperlink r:id="rId44">
        <w:r>
          <w:rPr>
            <w:color w:val="0563C1"/>
            <w:u w:val="single"/>
          </w:rPr>
          <w:t>policy@energyinnovation.org</w:t>
        </w:r>
      </w:hyperlink>
      <w:r>
        <w:t>. For more information on RMI analysis a</w:t>
      </w:r>
      <w:r>
        <w:t xml:space="preserve">nd our state advocacy support network contact us at </w:t>
      </w:r>
      <w:hyperlink r:id="rId45">
        <w:r>
          <w:rPr>
            <w:color w:val="1155CC"/>
            <w:u w:val="single"/>
          </w:rPr>
          <w:t>BeyondCarbon_Support@rmi.org</w:t>
        </w:r>
      </w:hyperlink>
      <w:r>
        <w:t>.</w:t>
      </w:r>
    </w:p>
    <w:p w14:paraId="4941EBE6" w14:textId="582BC9D9" w:rsidR="00F407E9" w:rsidRDefault="000F68CA">
      <w:pPr>
        <w:rPr>
          <w:sz w:val="20"/>
          <w:szCs w:val="20"/>
        </w:rPr>
      </w:pPr>
      <w:r>
        <w:t>The Nevada EPS is developed as a partnership between Energy Innovation and Rocky Mountain Institute (RMI), with RMI wor</w:t>
      </w:r>
      <w:r>
        <w:t>k supported by Bloomberg Philanthropies.</w:t>
      </w:r>
    </w:p>
    <w:sectPr w:rsidR="00F407E9">
      <w:headerReference w:type="default" r:id="rId46"/>
      <w:footerReference w:type="default" r:id="rId47"/>
      <w:pgSz w:w="15840" w:h="12240" w:orient="landscape"/>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38168F" w14:textId="77777777" w:rsidR="000F68CA" w:rsidRDefault="000F68CA">
      <w:pPr>
        <w:spacing w:after="0" w:line="240" w:lineRule="auto"/>
      </w:pPr>
      <w:r>
        <w:separator/>
      </w:r>
    </w:p>
  </w:endnote>
  <w:endnote w:type="continuationSeparator" w:id="0">
    <w:p w14:paraId="269EFF8A" w14:textId="77777777" w:rsidR="000F68CA" w:rsidRDefault="000F6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gree">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D39293" w14:textId="77777777" w:rsidR="00F407E9" w:rsidRDefault="00F407E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EE486A" w14:textId="77777777" w:rsidR="000F68CA" w:rsidRDefault="000F68CA">
      <w:pPr>
        <w:spacing w:after="0" w:line="240" w:lineRule="auto"/>
      </w:pPr>
      <w:r>
        <w:separator/>
      </w:r>
    </w:p>
  </w:footnote>
  <w:footnote w:type="continuationSeparator" w:id="0">
    <w:p w14:paraId="5631FF2A" w14:textId="77777777" w:rsidR="000F68CA" w:rsidRDefault="000F68CA">
      <w:pPr>
        <w:spacing w:after="0" w:line="240" w:lineRule="auto"/>
      </w:pPr>
      <w:r>
        <w:continuationSeparator/>
      </w:r>
    </w:p>
  </w:footnote>
  <w:footnote w:id="1">
    <w:p w14:paraId="509DFE87" w14:textId="77777777" w:rsidR="00F407E9" w:rsidRPr="008B0E59" w:rsidRDefault="000F68CA">
      <w:pPr>
        <w:spacing w:after="0" w:line="240" w:lineRule="auto"/>
        <w:rPr>
          <w:rFonts w:asciiTheme="majorHAnsi" w:hAnsiTheme="majorHAnsi" w:cstheme="majorHAnsi"/>
          <w:sz w:val="20"/>
          <w:szCs w:val="20"/>
        </w:rPr>
      </w:pPr>
      <w:r w:rsidRPr="008B0E59">
        <w:rPr>
          <w:rFonts w:asciiTheme="majorHAnsi" w:hAnsiTheme="majorHAnsi" w:cstheme="majorHAnsi"/>
          <w:sz w:val="20"/>
          <w:szCs w:val="20"/>
          <w:vertAlign w:val="superscript"/>
        </w:rPr>
        <w:footnoteRef/>
      </w:r>
      <w:r w:rsidRPr="008B0E59">
        <w:rPr>
          <w:rFonts w:asciiTheme="majorHAnsi" w:hAnsiTheme="majorHAnsi" w:cstheme="majorHAnsi"/>
          <w:sz w:val="20"/>
          <w:szCs w:val="20"/>
        </w:rPr>
        <w:t xml:space="preserve"> Efficiency improvem</w:t>
      </w:r>
      <w:r w:rsidRPr="008B0E59">
        <w:rPr>
          <w:rFonts w:asciiTheme="majorHAnsi" w:hAnsiTheme="majorHAnsi" w:cstheme="majorHAnsi"/>
          <w:sz w:val="20"/>
          <w:szCs w:val="20"/>
        </w:rPr>
        <w:t xml:space="preserve">ents are derived from NREL electrification futures study Reference Case. Energy Efficiency policies – including those in Minnesota such as building rebates-- are not explicitly included in the BAU. </w:t>
      </w:r>
    </w:p>
  </w:footnote>
  <w:footnote w:id="2">
    <w:p w14:paraId="583A6153" w14:textId="77777777" w:rsidR="00F407E9" w:rsidRPr="008B0E59" w:rsidRDefault="000F68CA">
      <w:pPr>
        <w:pBdr>
          <w:top w:val="nil"/>
          <w:left w:val="nil"/>
          <w:bottom w:val="nil"/>
          <w:right w:val="nil"/>
          <w:between w:val="nil"/>
        </w:pBdr>
        <w:spacing w:after="0" w:line="240" w:lineRule="auto"/>
        <w:rPr>
          <w:rFonts w:asciiTheme="majorHAnsi" w:hAnsiTheme="majorHAnsi" w:cstheme="majorHAnsi"/>
          <w:color w:val="000000"/>
          <w:sz w:val="20"/>
          <w:szCs w:val="20"/>
        </w:rPr>
      </w:pPr>
      <w:r w:rsidRPr="008B0E59">
        <w:rPr>
          <w:rFonts w:asciiTheme="majorHAnsi" w:hAnsiTheme="majorHAnsi" w:cstheme="majorHAnsi"/>
          <w:sz w:val="20"/>
          <w:szCs w:val="20"/>
          <w:vertAlign w:val="superscript"/>
        </w:rPr>
        <w:footnoteRef/>
      </w:r>
      <w:r w:rsidRPr="008B0E59">
        <w:rPr>
          <w:rFonts w:asciiTheme="majorHAnsi" w:hAnsiTheme="majorHAnsi" w:cstheme="majorHAnsi"/>
          <w:color w:val="000000"/>
          <w:sz w:val="20"/>
          <w:szCs w:val="20"/>
        </w:rPr>
        <w:t xml:space="preserve"> Electric vehicle adoption in the BAU case is based on economic adoption modeled in the EPS</w:t>
      </w:r>
      <w:r w:rsidRPr="008B0E59">
        <w:rPr>
          <w:rFonts w:asciiTheme="majorHAnsi" w:hAnsiTheme="majorHAnsi" w:cstheme="majorHAnsi"/>
          <w:sz w:val="20"/>
          <w:szCs w:val="20"/>
        </w:rPr>
        <w:t>, with more</w:t>
      </w:r>
      <w:r w:rsidRPr="008B0E59">
        <w:rPr>
          <w:rFonts w:asciiTheme="majorHAnsi" w:hAnsiTheme="majorHAnsi" w:cstheme="majorHAnsi"/>
          <w:color w:val="000000"/>
          <w:sz w:val="20"/>
          <w:szCs w:val="20"/>
        </w:rPr>
        <w:t xml:space="preserve"> </w:t>
      </w:r>
      <w:r w:rsidRPr="008B0E59">
        <w:rPr>
          <w:rFonts w:asciiTheme="majorHAnsi" w:hAnsiTheme="majorHAnsi" w:cstheme="majorHAnsi"/>
          <w:sz w:val="20"/>
          <w:szCs w:val="20"/>
        </w:rPr>
        <w:t>details</w:t>
      </w:r>
      <w:r w:rsidRPr="008B0E59">
        <w:rPr>
          <w:rFonts w:asciiTheme="majorHAnsi" w:hAnsiTheme="majorHAnsi" w:cstheme="majorHAnsi"/>
          <w:color w:val="000000"/>
          <w:sz w:val="20"/>
          <w:szCs w:val="20"/>
        </w:rPr>
        <w:t xml:space="preserve"> available here: </w:t>
      </w:r>
      <w:hyperlink r:id="rId1">
        <w:r w:rsidRPr="008B0E59">
          <w:rPr>
            <w:rFonts w:asciiTheme="majorHAnsi" w:hAnsiTheme="majorHAnsi" w:cstheme="majorHAnsi"/>
            <w:color w:val="0563C1"/>
            <w:sz w:val="20"/>
            <w:szCs w:val="20"/>
            <w:u w:val="single"/>
          </w:rPr>
          <w:t>https://us.energypolicy.solutions/docs/transportation-sector-main.html</w:t>
        </w:r>
      </w:hyperlink>
      <w:r w:rsidRPr="008B0E59">
        <w:rPr>
          <w:rFonts w:asciiTheme="majorHAnsi" w:hAnsiTheme="majorHAnsi" w:cstheme="majorHAnsi"/>
          <w:color w:val="0563C1"/>
          <w:sz w:val="20"/>
          <w:szCs w:val="20"/>
          <w:u w:val="single"/>
        </w:rPr>
        <w:t>.</w:t>
      </w:r>
      <w:r w:rsidRPr="008B0E59">
        <w:rPr>
          <w:rFonts w:asciiTheme="majorHAnsi" w:hAnsiTheme="majorHAnsi" w:cstheme="majorHAnsi"/>
          <w:color w:val="000000"/>
          <w:sz w:val="20"/>
          <w:szCs w:val="20"/>
        </w:rPr>
        <w:t xml:space="preserve"> EPS transportation data, such as vehicle prices, is largely taken from EIA, and the resulting EV</w:t>
      </w:r>
      <w:r w:rsidRPr="008B0E59">
        <w:rPr>
          <w:rFonts w:asciiTheme="majorHAnsi" w:hAnsiTheme="majorHAnsi" w:cstheme="majorHAnsi"/>
          <w:color w:val="000000"/>
          <w:sz w:val="20"/>
          <w:szCs w:val="20"/>
        </w:rPr>
        <w:t xml:space="preserve"> adoption curve rates are similar to other studies, including the “Electric Vehicle Outlook 2020”: </w:t>
      </w:r>
      <w:hyperlink r:id="rId2" w:anchor="toc-viewreport">
        <w:r w:rsidRPr="008B0E59">
          <w:rPr>
            <w:rFonts w:asciiTheme="majorHAnsi" w:hAnsiTheme="majorHAnsi" w:cstheme="majorHAnsi"/>
            <w:color w:val="0563C1"/>
            <w:sz w:val="20"/>
            <w:szCs w:val="20"/>
            <w:u w:val="single"/>
          </w:rPr>
          <w:t>https://about.bnef.com/electric-vehicle-outlook/#toc-viewreport</w:t>
        </w:r>
      </w:hyperlink>
      <w:r w:rsidRPr="008B0E59">
        <w:rPr>
          <w:rFonts w:asciiTheme="majorHAnsi" w:hAnsiTheme="majorHAnsi" w:cstheme="majorHAnsi"/>
          <w:color w:val="000000"/>
          <w:sz w:val="20"/>
          <w:szCs w:val="20"/>
        </w:rPr>
        <w:t>.</w:t>
      </w:r>
    </w:p>
  </w:footnote>
  <w:footnote w:id="3">
    <w:p w14:paraId="52B496A7" w14:textId="77777777" w:rsidR="00F407E9" w:rsidRPr="008B0E59" w:rsidRDefault="000F68CA">
      <w:pPr>
        <w:spacing w:after="0" w:line="240" w:lineRule="auto"/>
        <w:rPr>
          <w:rFonts w:asciiTheme="majorHAnsi" w:hAnsiTheme="majorHAnsi" w:cstheme="majorHAnsi"/>
          <w:sz w:val="20"/>
          <w:szCs w:val="20"/>
        </w:rPr>
      </w:pPr>
      <w:r w:rsidRPr="008B0E59">
        <w:rPr>
          <w:rFonts w:asciiTheme="majorHAnsi" w:hAnsiTheme="majorHAnsi" w:cstheme="majorHAnsi"/>
          <w:sz w:val="20"/>
          <w:szCs w:val="20"/>
          <w:vertAlign w:val="superscript"/>
        </w:rPr>
        <w:footnoteRef/>
      </w:r>
      <w:r w:rsidRPr="008B0E59">
        <w:rPr>
          <w:rFonts w:asciiTheme="majorHAnsi" w:hAnsiTheme="majorHAnsi" w:cstheme="majorHAnsi"/>
          <w:sz w:val="20"/>
          <w:szCs w:val="20"/>
        </w:rPr>
        <w:t xml:space="preserve"> See IPCC </w:t>
      </w:r>
      <w:hyperlink r:id="rId3">
        <w:r w:rsidRPr="008B0E59">
          <w:rPr>
            <w:rFonts w:asciiTheme="majorHAnsi" w:hAnsiTheme="majorHAnsi" w:cstheme="majorHAnsi"/>
            <w:color w:val="0563C1"/>
            <w:sz w:val="20"/>
            <w:szCs w:val="20"/>
            <w:u w:val="single"/>
          </w:rPr>
          <w:t>G</w:t>
        </w:r>
        <w:r w:rsidRPr="008B0E59">
          <w:rPr>
            <w:rFonts w:asciiTheme="majorHAnsi" w:hAnsiTheme="majorHAnsi" w:cstheme="majorHAnsi"/>
            <w:color w:val="0563C1"/>
            <w:sz w:val="20"/>
            <w:szCs w:val="20"/>
            <w:u w:val="single"/>
          </w:rPr>
          <w:t>lobal Warming of 1.5</w:t>
        </w:r>
      </w:hyperlink>
      <w:hyperlink r:id="rId4">
        <w:r w:rsidRPr="008B0E59">
          <w:rPr>
            <w:rFonts w:asciiTheme="majorHAnsi" w:eastAsia="degree" w:hAnsiTheme="majorHAnsi" w:cstheme="majorHAnsi"/>
            <w:color w:val="0563C1"/>
            <w:sz w:val="20"/>
            <w:szCs w:val="20"/>
            <w:u w:val="single"/>
          </w:rPr>
          <w:t>°</w:t>
        </w:r>
      </w:hyperlink>
      <w:hyperlink r:id="rId5">
        <w:r w:rsidRPr="008B0E59">
          <w:rPr>
            <w:rFonts w:asciiTheme="majorHAnsi" w:hAnsiTheme="majorHAnsi" w:cstheme="majorHAnsi"/>
            <w:color w:val="0563C1"/>
            <w:sz w:val="20"/>
            <w:szCs w:val="20"/>
            <w:u w:val="single"/>
          </w:rPr>
          <w:t>C</w:t>
        </w:r>
      </w:hyperlink>
      <w:r w:rsidRPr="008B0E59">
        <w:rPr>
          <w:rFonts w:asciiTheme="majorHAnsi" w:hAnsiTheme="majorHAnsi" w:cstheme="majorHAnsi"/>
          <w:sz w:val="20"/>
          <w:szCs w:val="20"/>
        </w:rPr>
        <w:t xml:space="preserve"> and </w:t>
      </w:r>
      <w:hyperlink r:id="rId6">
        <w:r w:rsidRPr="008B0E59">
          <w:rPr>
            <w:rFonts w:asciiTheme="majorHAnsi" w:hAnsiTheme="majorHAnsi" w:cstheme="majorHAnsi"/>
            <w:color w:val="1155CC"/>
            <w:sz w:val="20"/>
            <w:szCs w:val="20"/>
            <w:u w:val="single"/>
          </w:rPr>
          <w:t>UNEP Emissions Gap Report 2019</w:t>
        </w:r>
      </w:hyperlink>
    </w:p>
  </w:footnote>
  <w:footnote w:id="4">
    <w:p w14:paraId="750454EA" w14:textId="77777777" w:rsidR="00F407E9" w:rsidRPr="008B0E59" w:rsidRDefault="000F68CA">
      <w:pPr>
        <w:spacing w:after="0" w:line="240" w:lineRule="auto"/>
        <w:rPr>
          <w:rFonts w:asciiTheme="majorHAnsi" w:hAnsiTheme="majorHAnsi" w:cstheme="majorHAnsi"/>
          <w:sz w:val="20"/>
          <w:szCs w:val="20"/>
        </w:rPr>
      </w:pPr>
      <w:r w:rsidRPr="008B0E59">
        <w:rPr>
          <w:rFonts w:asciiTheme="majorHAnsi" w:hAnsiTheme="majorHAnsi" w:cstheme="majorHAnsi"/>
          <w:sz w:val="20"/>
          <w:szCs w:val="20"/>
          <w:vertAlign w:val="superscript"/>
        </w:rPr>
        <w:footnoteRef/>
      </w:r>
      <w:r w:rsidRPr="008B0E59">
        <w:rPr>
          <w:rFonts w:asciiTheme="majorHAnsi" w:hAnsiTheme="majorHAnsi" w:cstheme="majorHAnsi"/>
          <w:sz w:val="20"/>
          <w:szCs w:val="20"/>
        </w:rPr>
        <w:t xml:space="preserve"> This is not included on the short list of transportation sector </w:t>
      </w:r>
      <w:proofErr w:type="gramStart"/>
      <w:r w:rsidRPr="008B0E59">
        <w:rPr>
          <w:rFonts w:asciiTheme="majorHAnsi" w:hAnsiTheme="majorHAnsi" w:cstheme="majorHAnsi"/>
          <w:sz w:val="20"/>
          <w:szCs w:val="20"/>
        </w:rPr>
        <w:t>policies, but</w:t>
      </w:r>
      <w:proofErr w:type="gramEnd"/>
      <w:r w:rsidRPr="008B0E59">
        <w:rPr>
          <w:rFonts w:asciiTheme="majorHAnsi" w:hAnsiTheme="majorHAnsi" w:cstheme="majorHAnsi"/>
          <w:sz w:val="20"/>
          <w:szCs w:val="20"/>
        </w:rPr>
        <w:t xml:space="preserve"> is included as a category in the discussion of “Complex Climate Challenges” for Nevada.</w:t>
      </w:r>
    </w:p>
  </w:footnote>
  <w:footnote w:id="5">
    <w:p w14:paraId="423A8374" w14:textId="77777777" w:rsidR="00F407E9" w:rsidRPr="008B0E59" w:rsidRDefault="000F68CA">
      <w:pPr>
        <w:spacing w:after="0" w:line="240" w:lineRule="auto"/>
        <w:rPr>
          <w:rFonts w:asciiTheme="majorHAnsi" w:hAnsiTheme="majorHAnsi" w:cstheme="majorHAnsi"/>
          <w:sz w:val="20"/>
          <w:szCs w:val="20"/>
        </w:rPr>
      </w:pPr>
      <w:r w:rsidRPr="008B0E59">
        <w:rPr>
          <w:rFonts w:asciiTheme="majorHAnsi" w:hAnsiTheme="majorHAnsi" w:cstheme="majorHAnsi"/>
          <w:sz w:val="20"/>
          <w:szCs w:val="20"/>
          <w:vertAlign w:val="superscript"/>
        </w:rPr>
        <w:footnoteRef/>
      </w:r>
      <w:r w:rsidRPr="008B0E59">
        <w:rPr>
          <w:rFonts w:asciiTheme="majorHAnsi" w:hAnsiTheme="majorHAnsi" w:cstheme="majorHAnsi"/>
          <w:sz w:val="20"/>
          <w:szCs w:val="20"/>
        </w:rPr>
        <w:t xml:space="preserve"> </w:t>
      </w:r>
      <w:hyperlink r:id="rId7">
        <w:r w:rsidRPr="008B0E59">
          <w:rPr>
            <w:rFonts w:asciiTheme="majorHAnsi" w:hAnsiTheme="majorHAnsi" w:cstheme="majorHAnsi"/>
            <w:color w:val="1155CC"/>
            <w:sz w:val="20"/>
            <w:szCs w:val="20"/>
            <w:u w:val="single"/>
          </w:rPr>
          <w:t>https://www.unenvironment.org/resources/emissions-gap-report-2019</w:t>
        </w:r>
      </w:hyperlink>
      <w:r w:rsidRPr="008B0E59">
        <w:rPr>
          <w:rFonts w:asciiTheme="majorHAnsi" w:hAnsiTheme="majorHAnsi" w:cstheme="majorHAnsi"/>
          <w:sz w:val="20"/>
          <w:szCs w:val="20"/>
        </w:rPr>
        <w:t xml:space="preserve"> </w:t>
      </w:r>
    </w:p>
  </w:footnote>
  <w:footnote w:id="6">
    <w:p w14:paraId="59D1C916" w14:textId="77777777" w:rsidR="00F407E9" w:rsidRPr="008B0E59" w:rsidRDefault="000F68CA">
      <w:pPr>
        <w:pBdr>
          <w:top w:val="nil"/>
          <w:left w:val="nil"/>
          <w:bottom w:val="nil"/>
          <w:right w:val="nil"/>
          <w:between w:val="nil"/>
        </w:pBdr>
        <w:spacing w:after="0" w:line="240" w:lineRule="auto"/>
        <w:rPr>
          <w:rFonts w:asciiTheme="majorHAnsi" w:hAnsiTheme="majorHAnsi" w:cstheme="majorHAnsi"/>
          <w:color w:val="000000"/>
          <w:sz w:val="20"/>
          <w:szCs w:val="20"/>
        </w:rPr>
      </w:pPr>
      <w:r w:rsidRPr="008B0E59">
        <w:rPr>
          <w:rFonts w:asciiTheme="majorHAnsi" w:hAnsiTheme="majorHAnsi" w:cstheme="majorHAnsi"/>
          <w:sz w:val="20"/>
          <w:szCs w:val="20"/>
          <w:vertAlign w:val="superscript"/>
        </w:rPr>
        <w:footnoteRef/>
      </w:r>
      <w:r w:rsidRPr="008B0E59">
        <w:rPr>
          <w:rFonts w:asciiTheme="majorHAnsi" w:hAnsiTheme="majorHAnsi" w:cstheme="majorHAnsi"/>
          <w:color w:val="000000"/>
          <w:sz w:val="20"/>
          <w:szCs w:val="20"/>
        </w:rPr>
        <w:t xml:space="preserve"> ht</w:t>
      </w:r>
      <w:r w:rsidRPr="008B0E59">
        <w:rPr>
          <w:rFonts w:asciiTheme="majorHAnsi" w:hAnsiTheme="majorHAnsi" w:cstheme="majorHAnsi"/>
          <w:color w:val="000000"/>
          <w:sz w:val="20"/>
          <w:szCs w:val="20"/>
        </w:rPr>
        <w:t>tps://energyinnovation.org/2020/07/28/hal-harveys-insights-and-updates-congressional-climate-plan-is-a-bet-your-country-moment/</w:t>
      </w:r>
    </w:p>
  </w:footnote>
  <w:footnote w:id="7">
    <w:p w14:paraId="601C49ED" w14:textId="77777777" w:rsidR="00F407E9" w:rsidRPr="008B0E59" w:rsidRDefault="000F68CA">
      <w:pPr>
        <w:pBdr>
          <w:top w:val="nil"/>
          <w:left w:val="nil"/>
          <w:bottom w:val="nil"/>
          <w:right w:val="nil"/>
          <w:between w:val="nil"/>
        </w:pBdr>
        <w:spacing w:after="0" w:line="240" w:lineRule="auto"/>
        <w:rPr>
          <w:rFonts w:asciiTheme="majorHAnsi" w:hAnsiTheme="majorHAnsi" w:cstheme="majorHAnsi"/>
          <w:color w:val="000000"/>
          <w:sz w:val="20"/>
          <w:szCs w:val="20"/>
        </w:rPr>
      </w:pPr>
      <w:r w:rsidRPr="008B0E59">
        <w:rPr>
          <w:rFonts w:asciiTheme="majorHAnsi" w:hAnsiTheme="majorHAnsi" w:cstheme="majorHAnsi"/>
          <w:sz w:val="20"/>
          <w:szCs w:val="20"/>
          <w:vertAlign w:val="superscript"/>
        </w:rPr>
        <w:footnoteRef/>
      </w:r>
      <w:r w:rsidRPr="008B0E59">
        <w:rPr>
          <w:rFonts w:asciiTheme="majorHAnsi" w:hAnsiTheme="majorHAnsi" w:cstheme="majorHAnsi"/>
          <w:color w:val="000000"/>
          <w:sz w:val="20"/>
          <w:szCs w:val="20"/>
        </w:rPr>
        <w:t xml:space="preserve"> https://us.energypolicy.solutions/docs/download.html</w:t>
      </w:r>
    </w:p>
  </w:footnote>
  <w:footnote w:id="8">
    <w:p w14:paraId="384CE962" w14:textId="77777777" w:rsidR="00F407E9" w:rsidRPr="008B0E59" w:rsidRDefault="000F68CA">
      <w:pPr>
        <w:pBdr>
          <w:top w:val="nil"/>
          <w:left w:val="nil"/>
          <w:bottom w:val="nil"/>
          <w:right w:val="nil"/>
          <w:between w:val="nil"/>
        </w:pBdr>
        <w:spacing w:after="0" w:line="240" w:lineRule="auto"/>
        <w:rPr>
          <w:rFonts w:asciiTheme="majorHAnsi" w:hAnsiTheme="majorHAnsi" w:cstheme="majorHAnsi"/>
          <w:color w:val="000000"/>
          <w:sz w:val="20"/>
          <w:szCs w:val="20"/>
        </w:rPr>
      </w:pPr>
      <w:r w:rsidRPr="008B0E59">
        <w:rPr>
          <w:rFonts w:asciiTheme="majorHAnsi" w:hAnsiTheme="majorHAnsi" w:cstheme="majorHAnsi"/>
          <w:sz w:val="20"/>
          <w:szCs w:val="20"/>
          <w:vertAlign w:val="superscript"/>
        </w:rPr>
        <w:footnoteRef/>
      </w:r>
      <w:r w:rsidRPr="008B0E59">
        <w:rPr>
          <w:rFonts w:asciiTheme="majorHAnsi" w:hAnsiTheme="majorHAnsi" w:cstheme="majorHAnsi"/>
          <w:color w:val="000000"/>
          <w:sz w:val="20"/>
          <w:szCs w:val="20"/>
        </w:rPr>
        <w:t xml:space="preserve"> https://us.energypolicy.solutions/docs/index.html</w:t>
      </w:r>
    </w:p>
  </w:footnote>
  <w:footnote w:id="9">
    <w:p w14:paraId="79A217BC" w14:textId="77777777" w:rsidR="00F407E9" w:rsidRPr="008B0E59" w:rsidRDefault="000F68CA">
      <w:pPr>
        <w:spacing w:after="0" w:line="240" w:lineRule="auto"/>
        <w:rPr>
          <w:rFonts w:asciiTheme="majorHAnsi" w:hAnsiTheme="majorHAnsi" w:cstheme="majorHAnsi"/>
          <w:sz w:val="20"/>
          <w:szCs w:val="20"/>
        </w:rPr>
      </w:pPr>
      <w:r w:rsidRPr="008B0E59">
        <w:rPr>
          <w:rFonts w:asciiTheme="majorHAnsi" w:hAnsiTheme="majorHAnsi" w:cstheme="majorHAnsi"/>
          <w:sz w:val="20"/>
          <w:szCs w:val="20"/>
          <w:vertAlign w:val="superscript"/>
        </w:rPr>
        <w:footnoteRef/>
      </w:r>
      <w:r w:rsidRPr="008B0E59">
        <w:rPr>
          <w:rFonts w:asciiTheme="majorHAnsi" w:hAnsiTheme="majorHAnsi" w:cstheme="majorHAnsi"/>
          <w:sz w:val="20"/>
          <w:szCs w:val="20"/>
        </w:rPr>
        <w:t xml:space="preserve"> https://us.energypolicy.solutions/docs/video-series.html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822D3" w14:textId="77777777" w:rsidR="00F407E9" w:rsidRDefault="00F407E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24159"/>
    <w:multiLevelType w:val="multilevel"/>
    <w:tmpl w:val="666CA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1542AA"/>
    <w:multiLevelType w:val="multilevel"/>
    <w:tmpl w:val="8BDA8A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E47641E"/>
    <w:multiLevelType w:val="multilevel"/>
    <w:tmpl w:val="46AE0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FC1846"/>
    <w:multiLevelType w:val="multilevel"/>
    <w:tmpl w:val="BB6812F2"/>
    <w:lvl w:ilvl="0">
      <w:start w:val="1"/>
      <w:numFmt w:val="bullet"/>
      <w:lvlText w:val="⮞"/>
      <w:lvlJc w:val="left"/>
      <w:pPr>
        <w:ind w:left="360" w:hanging="360"/>
      </w:pPr>
      <w:rPr>
        <w:rFonts w:ascii="Noto Sans Symbols" w:eastAsia="Noto Sans Symbols" w:hAnsi="Noto Sans Symbols" w:cs="Noto Sans Symbols"/>
        <w:b/>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7E9"/>
    <w:rsid w:val="000F68CA"/>
    <w:rsid w:val="004861A0"/>
    <w:rsid w:val="008B0E59"/>
    <w:rsid w:val="00F40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35E3E"/>
  <w15:docId w15:val="{A2F3AE0A-2D9E-4166-871F-08AA1478D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b/>
      <w:color w:val="FFFFFF"/>
      <w:sz w:val="24"/>
      <w:szCs w:val="24"/>
      <w:shd w:val="clear" w:color="auto" w:fill="1F4E79"/>
    </w:rPr>
  </w:style>
  <w:style w:type="paragraph" w:styleId="Heading2">
    <w:name w:val="heading 2"/>
    <w:basedOn w:val="Normal"/>
    <w:next w:val="Normal"/>
    <w:uiPriority w:val="9"/>
    <w:unhideWhenUsed/>
    <w:qFormat/>
    <w:pPr>
      <w:keepNext/>
      <w:keepLines/>
      <w:shd w:val="clear" w:color="auto" w:fill="8EAADB"/>
      <w:spacing w:before="40" w:after="120"/>
      <w:ind w:left="360"/>
      <w:outlineLvl w:val="1"/>
    </w:pPr>
    <w:rPr>
      <w:b/>
      <w:smallCaps/>
      <w:sz w:val="24"/>
      <w:szCs w:val="24"/>
      <w:shd w:val="clear" w:color="auto" w:fill="8EAADB"/>
    </w:rPr>
  </w:style>
  <w:style w:type="paragraph" w:styleId="Heading3">
    <w:name w:val="heading 3"/>
    <w:basedOn w:val="Normal"/>
    <w:next w:val="Normal"/>
    <w:uiPriority w:val="9"/>
    <w:unhideWhenUsed/>
    <w:qFormat/>
    <w:pPr>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www.eia.gov/state/seds/seds-data-fuel.php?sid=NV" TargetMode="External"/><Relationship Id="rId18" Type="http://schemas.openxmlformats.org/officeDocument/2006/relationships/hyperlink" Target="https://www.eia.gov/state/seds/seds-data-fuel.php?sid=US" TargetMode="External"/><Relationship Id="rId26" Type="http://schemas.openxmlformats.org/officeDocument/2006/relationships/hyperlink" Target="https://ndep.nv.gov/uploads/air-pollutants-docs/ghg_report_2019.pdf" TargetMode="External"/><Relationship Id="rId39" Type="http://schemas.openxmlformats.org/officeDocument/2006/relationships/hyperlink" Target="https://www.unenvironment.org/resources/emissions-gap-report-2019" TargetMode="External"/><Relationship Id="rId21" Type="http://schemas.openxmlformats.org/officeDocument/2006/relationships/hyperlink" Target="https://www.epa.gov/global-mitigation-non-co2-greenhouse-gases/global-non-co2-greenhouse-gas-emission-projections" TargetMode="External"/><Relationship Id="rId34" Type="http://schemas.openxmlformats.org/officeDocument/2006/relationships/hyperlink" Target="https://www.nrel.gov/docs/fy18osti/70485.pdf" TargetMode="External"/><Relationship Id="rId42" Type="http://schemas.openxmlformats.org/officeDocument/2006/relationships/hyperlink" Target="https://us.energypolicy.solutions/docs/index.html" TargetMode="External"/><Relationship Id="rId47" Type="http://schemas.openxmlformats.org/officeDocument/2006/relationships/footer" Target="footer1.xml"/><Relationship Id="rId7" Type="http://schemas.openxmlformats.org/officeDocument/2006/relationships/hyperlink" Target="https://www.eia.gov/electricity/data/eia923/" TargetMode="External"/><Relationship Id="rId2" Type="http://schemas.openxmlformats.org/officeDocument/2006/relationships/styles" Target="styles.xml"/><Relationship Id="rId16" Type="http://schemas.openxmlformats.org/officeDocument/2006/relationships/hyperlink" Target="https://www.eia.gov/state/seds/seds-data-fuel.php?sid=US" TargetMode="External"/><Relationship Id="rId29" Type="http://schemas.openxmlformats.org/officeDocument/2006/relationships/hyperlink" Target="https://www.eia.gov/outlooks/aeo/tables_ref.php" TargetMode="External"/><Relationship Id="rId11" Type="http://schemas.openxmlformats.org/officeDocument/2006/relationships/hyperlink" Target="https://www.epa.gov/statelocalenergy/state-co2-emissions-fossil-fuel-combustion-1990-2017" TargetMode="External"/><Relationship Id="rId24" Type="http://schemas.openxmlformats.org/officeDocument/2006/relationships/hyperlink" Target="http://www.climatestrategies.us/policy_tracker/policy/index/29" TargetMode="External"/><Relationship Id="rId32" Type="http://schemas.openxmlformats.org/officeDocument/2006/relationships/hyperlink" Target="https://www.epa.gov/statelocalenergy/state-co2-emissions-fossil-fuel-combustion-1990-2017" TargetMode="External"/><Relationship Id="rId37" Type="http://schemas.openxmlformats.org/officeDocument/2006/relationships/hyperlink" Target="https://www.nrel.gov/docs/fy18osti/70485.pdf" TargetMode="External"/><Relationship Id="rId40" Type="http://schemas.openxmlformats.org/officeDocument/2006/relationships/hyperlink" Target="https://us.energypolicy.solutions/docs/video-series.html" TargetMode="External"/><Relationship Id="rId45" Type="http://schemas.openxmlformats.org/officeDocument/2006/relationships/hyperlink" Target="mailto:BeyondCarbon_Support@rmi.org" TargetMode="External"/><Relationship Id="rId5" Type="http://schemas.openxmlformats.org/officeDocument/2006/relationships/footnotes" Target="footnotes.xml"/><Relationship Id="rId15" Type="http://schemas.openxmlformats.org/officeDocument/2006/relationships/hyperlink" Target="https://www.eia.gov/outlooks/aeo/tables_ref.php" TargetMode="External"/><Relationship Id="rId23" Type="http://schemas.openxmlformats.org/officeDocument/2006/relationships/hyperlink" Target="https://www.epa.gov/statelocalenergy/download-state-inventory-and-projection-tool" TargetMode="External"/><Relationship Id="rId28" Type="http://schemas.openxmlformats.org/officeDocument/2006/relationships/hyperlink" Target="https://www.epa.gov/statelocalenergy/state-co2-emissions-fossil-fuel-combustion-1990-2017" TargetMode="External"/><Relationship Id="rId36" Type="http://schemas.openxmlformats.org/officeDocument/2006/relationships/hyperlink" Target="https://www.eia.gov/outlooks/aeo/assumptions/pdf/summary.pdf" TargetMode="External"/><Relationship Id="rId49" Type="http://schemas.openxmlformats.org/officeDocument/2006/relationships/theme" Target="theme/theme1.xml"/><Relationship Id="rId10" Type="http://schemas.openxmlformats.org/officeDocument/2006/relationships/hyperlink" Target="https://www.epa.gov/statelocalenergy/state-co2-emissions-fossil-fuel-combustion-1990-2017" TargetMode="External"/><Relationship Id="rId19" Type="http://schemas.openxmlformats.org/officeDocument/2006/relationships/hyperlink" Target="https://www.epa.gov/statelocalenergy/state-co2-emissions-fossil-fuel-combustion-1990-2017" TargetMode="External"/><Relationship Id="rId31" Type="http://schemas.openxmlformats.org/officeDocument/2006/relationships/hyperlink" Target="https://www.epa.gov/statelocalenergy/state-co2-emissions-fossil-fuel-combustion-1990-2017" TargetMode="External"/><Relationship Id="rId44" Type="http://schemas.openxmlformats.org/officeDocument/2006/relationships/hyperlink" Target="mailto:policy@energyinnovation.org" TargetMode="External"/><Relationship Id="rId4" Type="http://schemas.openxmlformats.org/officeDocument/2006/relationships/webSettings" Target="webSettings.xml"/><Relationship Id="rId9" Type="http://schemas.openxmlformats.org/officeDocument/2006/relationships/hyperlink" Target="https://www.eia.gov/electricity/state/nevada/state_tables.php" TargetMode="External"/><Relationship Id="rId14" Type="http://schemas.openxmlformats.org/officeDocument/2006/relationships/hyperlink" Target="https://www.epa.gov/statelocalenergy/state-co2-emissions-fossil-fuel-combustion-1990-2017" TargetMode="External"/><Relationship Id="rId22" Type="http://schemas.openxmlformats.org/officeDocument/2006/relationships/hyperlink" Target="https://ghgdata.epa.gov/ghgp/main.do" TargetMode="External"/><Relationship Id="rId27" Type="http://schemas.openxmlformats.org/officeDocument/2006/relationships/hyperlink" Target="https://www.epa.gov/statelocalenergy/state-co2-emissions-fossil-fuel-combustion-1990-2017" TargetMode="External"/><Relationship Id="rId30" Type="http://schemas.openxmlformats.org/officeDocument/2006/relationships/hyperlink" Target="https://www.nrel.gov/analysis/electrification-futures.html" TargetMode="External"/><Relationship Id="rId35" Type="http://schemas.openxmlformats.org/officeDocument/2006/relationships/hyperlink" Target="https://www.nrel.gov/docs/fy18osti/70485.pdf" TargetMode="External"/><Relationship Id="rId43" Type="http://schemas.openxmlformats.org/officeDocument/2006/relationships/hyperlink" Target="https://us.energypolicy.solutions/docs/video-series.html" TargetMode="External"/><Relationship Id="rId48" Type="http://schemas.openxmlformats.org/officeDocument/2006/relationships/fontTable" Target="fontTable.xml"/><Relationship Id="rId8" Type="http://schemas.openxmlformats.org/officeDocument/2006/relationships/hyperlink" Target="https://www.eia.gov/electricity/data/eia860/" TargetMode="External"/><Relationship Id="rId3" Type="http://schemas.openxmlformats.org/officeDocument/2006/relationships/settings" Target="settings.xml"/><Relationship Id="rId12" Type="http://schemas.openxmlformats.org/officeDocument/2006/relationships/hyperlink" Target="https://www.nrel.gov/analysis/electrification-futures.html" TargetMode="External"/><Relationship Id="rId17" Type="http://schemas.openxmlformats.org/officeDocument/2006/relationships/hyperlink" Target="https://www.census.gov/programs-surveys/cbp/data/tables.html" TargetMode="External"/><Relationship Id="rId25" Type="http://schemas.openxmlformats.org/officeDocument/2006/relationships/hyperlink" Target="https://www.epa.gov/statelocalenergy/state-inventory-and-projection-tool" TargetMode="External"/><Relationship Id="rId33" Type="http://schemas.openxmlformats.org/officeDocument/2006/relationships/hyperlink" Target="http://puc.nv.gov/Renewable_Energy/Portfolio_Standard/" TargetMode="External"/><Relationship Id="rId38" Type="http://schemas.openxmlformats.org/officeDocument/2006/relationships/hyperlink" Target="https://climateaction.nv.gov/policies/policy-menu/" TargetMode="External"/><Relationship Id="rId46" Type="http://schemas.openxmlformats.org/officeDocument/2006/relationships/header" Target="header1.xml"/><Relationship Id="rId20" Type="http://schemas.openxmlformats.org/officeDocument/2006/relationships/hyperlink" Target="https://www.epa.gov/statelocalenergy/state-co2-emissions-fossil-fuel-combustion-1990-2017" TargetMode="External"/><Relationship Id="rId41" Type="http://schemas.openxmlformats.org/officeDocument/2006/relationships/hyperlink" Target="https://us.energypolicy.solutions/docs/download.html"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s://www.ipcc.ch/sr15/" TargetMode="External"/><Relationship Id="rId7" Type="http://schemas.openxmlformats.org/officeDocument/2006/relationships/hyperlink" Target="https://www.unenvironment.org/resources/emissions-gap-report-2019" TargetMode="External"/><Relationship Id="rId2" Type="http://schemas.openxmlformats.org/officeDocument/2006/relationships/hyperlink" Target="https://about.bnef.com/electric-vehicle-outlook/" TargetMode="External"/><Relationship Id="rId1" Type="http://schemas.openxmlformats.org/officeDocument/2006/relationships/hyperlink" Target="https://us.energypolicy.solutions/docs/transportation-sector-main.html" TargetMode="External"/><Relationship Id="rId6" Type="http://schemas.openxmlformats.org/officeDocument/2006/relationships/hyperlink" Target="https://www.unenvironment.org/resources/emissions-gap-report-2019" TargetMode="External"/><Relationship Id="rId5" Type="http://schemas.openxmlformats.org/officeDocument/2006/relationships/hyperlink" Target="https://www.ipcc.ch/sr15/" TargetMode="External"/><Relationship Id="rId4" Type="http://schemas.openxmlformats.org/officeDocument/2006/relationships/hyperlink" Target="https://www.ipcc.ch/sr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2475</Words>
  <Characters>14113</Characters>
  <Application>Microsoft Office Word</Application>
  <DocSecurity>0</DocSecurity>
  <Lines>117</Lines>
  <Paragraphs>33</Paragraphs>
  <ScaleCrop>false</ScaleCrop>
  <Company/>
  <LinksUpToDate>false</LinksUpToDate>
  <CharactersWithSpaces>16555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Robbie Orvis</cp:lastModifiedBy>
  <cp:revision>2</cp:revision>
  <dcterms:created xsi:type="dcterms:W3CDTF">2021-02-11T16:33:00Z</dcterms:created>
  <dcterms:modified xsi:type="dcterms:W3CDTF">2021-02-11T16:33:00Z</dcterms:modified>
</cp:coreProperties>
</file>