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5C55" w:rsidRDefault="00950912">
      <w:pPr>
        <w:spacing w:before="0"/>
        <w:rPr>
          <w:rFonts w:ascii="Times New Roman" w:eastAsia="Times New Roman" w:hAnsi="Times New Roman" w:cs="Times New Roman"/>
        </w:rPr>
      </w:pPr>
      <w:bookmarkStart w:id="0" w:name="_heading=h.gjdgxs" w:colFirst="0" w:colLast="0"/>
      <w:bookmarkEnd w:id="0"/>
      <w:r>
        <w:rPr>
          <w:rFonts w:ascii="Century Gothic" w:eastAsia="Century Gothic" w:hAnsi="Century Gothic" w:cs="Century Gothic"/>
          <w:b/>
          <w:color w:val="000000"/>
          <w:sz w:val="32"/>
          <w:szCs w:val="32"/>
        </w:rPr>
        <w:t xml:space="preserve">State Energy Policy Simulator (EPS) Documentation </w:t>
      </w:r>
    </w:p>
    <w:p w14:paraId="00000002" w14:textId="77777777" w:rsidR="00915C55" w:rsidRDefault="00950912">
      <w:pPr>
        <w:pStyle w:val="Heading2"/>
        <w:numPr>
          <w:ilvl w:val="0"/>
          <w:numId w:val="1"/>
        </w:numPr>
        <w:ind w:left="0" w:firstLine="0"/>
      </w:pPr>
      <w:r>
        <w:t xml:space="preserve">Estimating Economy-wide Emissions in the 2018 Business as Usual (BAU) Scenario </w:t>
      </w:r>
    </w:p>
    <w:p w14:paraId="00000003" w14:textId="77777777" w:rsidR="00915C55" w:rsidRDefault="00950912">
      <w:pPr>
        <w:spacing w:after="120"/>
      </w:pPr>
      <w:r>
        <w:t>The US State Energy Policy Simulators (EPS) account for emissions produced in the following sectors: electricity generation, building energy consumption, industrial energy consumption, industrial process emissions, agriculture process emissions, land use c</w:t>
      </w:r>
      <w:r>
        <w:t xml:space="preserve">hange, and transportation. </w:t>
      </w:r>
    </w:p>
    <w:p w14:paraId="00000004" w14:textId="77777777" w:rsidR="00915C55" w:rsidRDefault="00950912">
      <w:pPr>
        <w:spacing w:after="120"/>
      </w:pPr>
      <w:r>
        <w:t xml:space="preserve">Our primary national data sources are federal data sets from the Environmental Protection Agency (EPA), Energy Information Administration (EIA), and the National Renewable Energy Lab (NREL). We supplemented with state data from </w:t>
      </w:r>
      <w:r>
        <w:t>the inventory and Pathways report by Center for the New Energy Economy at Colorado State University (CNEE) and Energy + Environmental Economics (E3) (“E3 Pathways Report”).</w:t>
      </w:r>
      <w:r>
        <w:rPr>
          <w:vertAlign w:val="superscript"/>
        </w:rPr>
        <w:footnoteReference w:id="1"/>
      </w:r>
      <w:r>
        <w:t xml:space="preserve"> In some sectors, additional external data sources were used indirectly to benchma</w:t>
      </w:r>
      <w:r>
        <w:t xml:space="preserve">rk or calibrate the emissions, including Rhodium Group’s </w:t>
      </w:r>
      <w:proofErr w:type="spellStart"/>
      <w:r>
        <w:t>ClimateDeck</w:t>
      </w:r>
      <w:proofErr w:type="spellEnd"/>
      <w:r>
        <w:t>.</w:t>
      </w:r>
      <w:r>
        <w:rPr>
          <w:vertAlign w:val="superscript"/>
        </w:rPr>
        <w:footnoteReference w:id="2"/>
      </w:r>
      <w:r>
        <w:t xml:space="preserve"> The table below summarizes our data sources and methodology. These data are used directly to develop the Business as Usual (BAU) Scenario. </w:t>
      </w:r>
    </w:p>
    <w:p w14:paraId="00000005" w14:textId="77777777" w:rsidR="00915C55" w:rsidRDefault="00950912">
      <w:pPr>
        <w:keepNext/>
        <w:pBdr>
          <w:top w:val="nil"/>
          <w:left w:val="nil"/>
          <w:bottom w:val="nil"/>
          <w:right w:val="nil"/>
          <w:between w:val="nil"/>
        </w:pBdr>
        <w:spacing w:before="240" w:after="200"/>
        <w:jc w:val="center"/>
        <w:rPr>
          <w:i/>
          <w:color w:val="44546A"/>
        </w:rPr>
      </w:pPr>
      <w:r>
        <w:rPr>
          <w:i/>
          <w:color w:val="44546A"/>
        </w:rPr>
        <w:t>Table 4: Data Sources</w:t>
      </w:r>
      <w:r>
        <w:rPr>
          <w:rFonts w:ascii="Century Gothic" w:eastAsia="Century Gothic" w:hAnsi="Century Gothic" w:cs="Century Gothic"/>
          <w:i/>
          <w:color w:val="44546A"/>
        </w:rPr>
        <w:tab/>
      </w:r>
    </w:p>
    <w:tbl>
      <w:tblPr>
        <w:tblStyle w:val="a5"/>
        <w:tblW w:w="1438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2000"/>
        <w:gridCol w:w="2059"/>
        <w:gridCol w:w="2749"/>
        <w:gridCol w:w="3727"/>
        <w:gridCol w:w="3845"/>
      </w:tblGrid>
      <w:tr w:rsidR="00915C55" w14:paraId="57828E66" w14:textId="77777777">
        <w:trPr>
          <w:trHeight w:val="20"/>
          <w:tblHeader/>
        </w:trPr>
        <w:tc>
          <w:tcPr>
            <w:tcW w:w="200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14:paraId="00000006" w14:textId="77777777" w:rsidR="00915C55" w:rsidRDefault="00950912">
            <w:pPr>
              <w:pBdr>
                <w:top w:val="nil"/>
                <w:left w:val="nil"/>
                <w:bottom w:val="nil"/>
                <w:right w:val="nil"/>
                <w:between w:val="nil"/>
              </w:pBdr>
              <w:spacing w:before="0"/>
              <w:jc w:val="center"/>
              <w:rPr>
                <w:b/>
                <w:color w:val="000000"/>
              </w:rPr>
            </w:pPr>
            <w:r>
              <w:rPr>
                <w:b/>
                <w:color w:val="000000"/>
              </w:rPr>
              <w:t>Sector</w:t>
            </w:r>
          </w:p>
        </w:tc>
        <w:tc>
          <w:tcPr>
            <w:tcW w:w="2059"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14:paraId="00000007" w14:textId="77777777" w:rsidR="00915C55" w:rsidRDefault="00950912">
            <w:pPr>
              <w:pBdr>
                <w:top w:val="nil"/>
                <w:left w:val="nil"/>
                <w:bottom w:val="nil"/>
                <w:right w:val="nil"/>
                <w:between w:val="nil"/>
              </w:pBdr>
              <w:spacing w:before="0"/>
              <w:jc w:val="center"/>
              <w:rPr>
                <w:b/>
                <w:color w:val="000000"/>
              </w:rPr>
            </w:pPr>
            <w:r>
              <w:rPr>
                <w:b/>
                <w:color w:val="000000"/>
              </w:rPr>
              <w:t>Subsectors</w:t>
            </w:r>
          </w:p>
        </w:tc>
        <w:tc>
          <w:tcPr>
            <w:tcW w:w="2749"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14:paraId="00000008" w14:textId="77777777" w:rsidR="00915C55" w:rsidRDefault="00950912">
            <w:pPr>
              <w:pBdr>
                <w:top w:val="nil"/>
                <w:left w:val="nil"/>
                <w:bottom w:val="nil"/>
                <w:right w:val="nil"/>
                <w:between w:val="nil"/>
              </w:pBdr>
              <w:spacing w:before="0"/>
              <w:jc w:val="center"/>
              <w:rPr>
                <w:b/>
                <w:color w:val="000000"/>
              </w:rPr>
            </w:pPr>
            <w:r>
              <w:rPr>
                <w:b/>
                <w:color w:val="000000"/>
              </w:rPr>
              <w:t>Sou</w:t>
            </w:r>
            <w:r>
              <w:rPr>
                <w:b/>
                <w:color w:val="000000"/>
              </w:rPr>
              <w:t>rce</w:t>
            </w:r>
          </w:p>
        </w:tc>
        <w:tc>
          <w:tcPr>
            <w:tcW w:w="3727"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14:paraId="00000009" w14:textId="77777777" w:rsidR="00915C55" w:rsidRDefault="00950912">
            <w:pPr>
              <w:pBdr>
                <w:top w:val="nil"/>
                <w:left w:val="nil"/>
                <w:bottom w:val="nil"/>
                <w:right w:val="nil"/>
                <w:between w:val="nil"/>
              </w:pBdr>
              <w:spacing w:before="0"/>
              <w:jc w:val="center"/>
              <w:rPr>
                <w:b/>
                <w:color w:val="000000"/>
              </w:rPr>
            </w:pPr>
            <w:r>
              <w:rPr>
                <w:b/>
                <w:color w:val="000000"/>
              </w:rPr>
              <w:t>Methodology</w:t>
            </w:r>
          </w:p>
        </w:tc>
        <w:tc>
          <w:tcPr>
            <w:tcW w:w="384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14:paraId="0000000A" w14:textId="77777777" w:rsidR="00915C55" w:rsidRDefault="00950912">
            <w:pPr>
              <w:pBdr>
                <w:top w:val="nil"/>
                <w:left w:val="nil"/>
                <w:bottom w:val="nil"/>
                <w:right w:val="nil"/>
                <w:between w:val="nil"/>
              </w:pBdr>
              <w:spacing w:before="0"/>
              <w:jc w:val="center"/>
              <w:rPr>
                <w:b/>
                <w:color w:val="000000"/>
              </w:rPr>
            </w:pPr>
            <w:r>
              <w:rPr>
                <w:b/>
                <w:color w:val="000000"/>
              </w:rPr>
              <w:t>Benchmarking Sources for Comparisons</w:t>
            </w:r>
          </w:p>
        </w:tc>
      </w:tr>
      <w:tr w:rsidR="00915C55" w14:paraId="469DD5AB" w14:textId="77777777">
        <w:trPr>
          <w:trHeight w:val="20"/>
        </w:trPr>
        <w:tc>
          <w:tcPr>
            <w:tcW w:w="2000" w:type="dxa"/>
            <w:tcBorders>
              <w:top w:val="single" w:sz="8" w:space="0" w:color="000000"/>
              <w:left w:val="single" w:sz="8" w:space="0" w:color="000000"/>
              <w:bottom w:val="single" w:sz="8" w:space="0" w:color="000000"/>
              <w:right w:val="single" w:sz="8" w:space="0" w:color="000000"/>
            </w:tcBorders>
            <w:shd w:val="clear" w:color="auto" w:fill="44546A"/>
            <w:tcMar>
              <w:top w:w="100" w:type="dxa"/>
              <w:left w:w="100" w:type="dxa"/>
              <w:bottom w:w="100" w:type="dxa"/>
              <w:right w:w="100" w:type="dxa"/>
            </w:tcMar>
            <w:vAlign w:val="center"/>
          </w:tcPr>
          <w:p w14:paraId="0000000B" w14:textId="77777777" w:rsidR="00915C55" w:rsidRDefault="00950912">
            <w:pPr>
              <w:jc w:val="center"/>
              <w:rPr>
                <w:color w:val="FFFFFF"/>
                <w:sz w:val="20"/>
                <w:szCs w:val="20"/>
              </w:rPr>
            </w:pPr>
            <w:r>
              <w:rPr>
                <w:color w:val="FFFFFF"/>
                <w:sz w:val="20"/>
                <w:szCs w:val="20"/>
              </w:rPr>
              <w:t>Electricity</w:t>
            </w:r>
          </w:p>
        </w:tc>
        <w:tc>
          <w:tcPr>
            <w:tcW w:w="2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0C" w14:textId="77777777" w:rsidR="00915C55" w:rsidRDefault="00950912">
            <w:pPr>
              <w:rPr>
                <w:sz w:val="20"/>
                <w:szCs w:val="20"/>
              </w:rPr>
            </w:pPr>
            <w:r>
              <w:rPr>
                <w:sz w:val="20"/>
                <w:szCs w:val="20"/>
              </w:rPr>
              <w:t>In-state capacity and generation; out of state imports</w:t>
            </w:r>
          </w:p>
        </w:tc>
        <w:tc>
          <w:tcPr>
            <w:tcW w:w="2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0D" w14:textId="77777777" w:rsidR="00915C55" w:rsidRDefault="00950912">
            <w:pPr>
              <w:rPr>
                <w:sz w:val="20"/>
                <w:szCs w:val="20"/>
              </w:rPr>
            </w:pPr>
            <w:r>
              <w:rPr>
                <w:sz w:val="20"/>
                <w:szCs w:val="20"/>
              </w:rPr>
              <w:t xml:space="preserve">For capacity and generation: EIA’s </w:t>
            </w:r>
            <w:hyperlink r:id="rId8">
              <w:r>
                <w:rPr>
                  <w:color w:val="1155CC"/>
                  <w:sz w:val="20"/>
                  <w:szCs w:val="20"/>
                  <w:u w:val="single"/>
                </w:rPr>
                <w:t>Form 923</w:t>
              </w:r>
            </w:hyperlink>
            <w:r>
              <w:rPr>
                <w:sz w:val="20"/>
                <w:szCs w:val="20"/>
              </w:rPr>
              <w:t xml:space="preserve"> and EIA’s </w:t>
            </w:r>
            <w:hyperlink r:id="rId9">
              <w:r>
                <w:rPr>
                  <w:color w:val="1155CC"/>
                  <w:sz w:val="20"/>
                  <w:szCs w:val="20"/>
                  <w:u w:val="single"/>
                </w:rPr>
                <w:t>Form 860</w:t>
              </w:r>
            </w:hyperlink>
          </w:p>
          <w:p w14:paraId="0000000E" w14:textId="77777777" w:rsidR="00915C55" w:rsidRDefault="00950912">
            <w:pPr>
              <w:rPr>
                <w:sz w:val="20"/>
                <w:szCs w:val="20"/>
              </w:rPr>
            </w:pPr>
            <w:r>
              <w:rPr>
                <w:sz w:val="20"/>
                <w:szCs w:val="20"/>
              </w:rPr>
              <w:t xml:space="preserve">For imports/exports: EIA’s State Electricity Profiles </w:t>
            </w:r>
            <w:hyperlink r:id="rId10">
              <w:r>
                <w:rPr>
                  <w:color w:val="1155CC"/>
                  <w:sz w:val="20"/>
                  <w:szCs w:val="20"/>
                  <w:u w:val="single"/>
                </w:rPr>
                <w:t>Table 10</w:t>
              </w:r>
            </w:hyperlink>
            <w:r>
              <w:rPr>
                <w:sz w:val="20"/>
                <w:szCs w:val="20"/>
              </w:rPr>
              <w:t>. </w:t>
            </w:r>
          </w:p>
          <w:p w14:paraId="0000000F" w14:textId="77777777" w:rsidR="00915C55" w:rsidRDefault="00915C55">
            <w:pPr>
              <w:rPr>
                <w:sz w:val="20"/>
                <w:szCs w:val="20"/>
              </w:rPr>
            </w:pPr>
          </w:p>
        </w:tc>
        <w:tc>
          <w:tcPr>
            <w:tcW w:w="3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10" w14:textId="77777777" w:rsidR="00915C55" w:rsidRDefault="00950912">
            <w:pPr>
              <w:rPr>
                <w:sz w:val="20"/>
                <w:szCs w:val="20"/>
              </w:rPr>
            </w:pPr>
            <w:r>
              <w:rPr>
                <w:sz w:val="20"/>
                <w:szCs w:val="20"/>
              </w:rPr>
              <w:t xml:space="preserve">Include all utility-owned generation and capacity in-state, including power plants on tribal land. No scaling needed. </w:t>
            </w:r>
          </w:p>
          <w:p w14:paraId="00000011" w14:textId="77777777" w:rsidR="00915C55" w:rsidRDefault="00950912">
            <w:pPr>
              <w:rPr>
                <w:sz w:val="20"/>
                <w:szCs w:val="20"/>
              </w:rPr>
            </w:pPr>
            <w:r>
              <w:rPr>
                <w:sz w:val="20"/>
                <w:szCs w:val="20"/>
              </w:rPr>
              <w:t>Assumes all</w:t>
            </w:r>
            <w:r>
              <w:rPr>
                <w:rFonts w:ascii="Century Gothic" w:eastAsia="Century Gothic" w:hAnsi="Century Gothic" w:cs="Century Gothic"/>
                <w:sz w:val="20"/>
                <w:szCs w:val="20"/>
              </w:rPr>
              <w:t xml:space="preserve"> </w:t>
            </w:r>
            <w:r>
              <w:rPr>
                <w:sz w:val="20"/>
                <w:szCs w:val="20"/>
              </w:rPr>
              <w:t xml:space="preserve">planned retirements </w:t>
            </w:r>
            <w:r>
              <w:rPr>
                <w:i/>
                <w:sz w:val="20"/>
                <w:szCs w:val="20"/>
              </w:rPr>
              <w:t>as of 2018</w:t>
            </w:r>
            <w:r>
              <w:rPr>
                <w:sz w:val="20"/>
                <w:szCs w:val="20"/>
              </w:rPr>
              <w:t xml:space="preserve"> are completed on time. (Escalante and San Juan</w:t>
            </w:r>
            <w:r>
              <w:rPr>
                <w:sz w:val="20"/>
                <w:szCs w:val="20"/>
              </w:rPr>
              <w:t xml:space="preserve"> are retired in the 2021 Current Policy Scenario.)</w:t>
            </w:r>
          </w:p>
          <w:p w14:paraId="00000012" w14:textId="77777777" w:rsidR="00915C55" w:rsidRDefault="00950912">
            <w:pPr>
              <w:rPr>
                <w:sz w:val="20"/>
                <w:szCs w:val="20"/>
              </w:rPr>
            </w:pPr>
            <w:r>
              <w:rPr>
                <w:sz w:val="20"/>
                <w:szCs w:val="20"/>
              </w:rPr>
              <w:t xml:space="preserve">Imports and exports from start year are held constant. </w:t>
            </w:r>
          </w:p>
        </w:tc>
        <w:tc>
          <w:tcPr>
            <w:tcW w:w="3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13" w14:textId="77777777" w:rsidR="00915C55" w:rsidRDefault="00950912">
            <w:pPr>
              <w:rPr>
                <w:sz w:val="20"/>
                <w:szCs w:val="20"/>
              </w:rPr>
            </w:pPr>
            <w:r>
              <w:rPr>
                <w:sz w:val="20"/>
                <w:szCs w:val="20"/>
              </w:rPr>
              <w:t>EPA “</w:t>
            </w:r>
            <w:hyperlink r:id="rId11">
              <w:r>
                <w:rPr>
                  <w:color w:val="1155CC"/>
                  <w:sz w:val="20"/>
                  <w:szCs w:val="20"/>
                  <w:u w:val="single"/>
                </w:rPr>
                <w:t>State CO2 Emissions from Fossil Fuel Combusti</w:t>
              </w:r>
              <w:r>
                <w:rPr>
                  <w:color w:val="1155CC"/>
                  <w:sz w:val="20"/>
                  <w:szCs w:val="20"/>
                  <w:u w:val="single"/>
                </w:rPr>
                <w:t>on</w:t>
              </w:r>
            </w:hyperlink>
            <w:r>
              <w:rPr>
                <w:color w:val="1155CC"/>
                <w:sz w:val="20"/>
                <w:szCs w:val="20"/>
                <w:u w:val="single"/>
              </w:rPr>
              <w:t xml:space="preserve"> 1990-2018</w:t>
            </w:r>
            <w:r>
              <w:rPr>
                <w:sz w:val="20"/>
                <w:szCs w:val="20"/>
              </w:rPr>
              <w:t>”</w:t>
            </w:r>
          </w:p>
          <w:p w14:paraId="00000014" w14:textId="77777777" w:rsidR="00915C55" w:rsidRDefault="00950912">
            <w:pPr>
              <w:rPr>
                <w:sz w:val="20"/>
                <w:szCs w:val="20"/>
              </w:rPr>
            </w:pPr>
            <w:r>
              <w:rPr>
                <w:sz w:val="20"/>
                <w:szCs w:val="20"/>
              </w:rPr>
              <w:t>EIA State Electricity Profile (2019)</w:t>
            </w:r>
          </w:p>
          <w:p w14:paraId="00000015" w14:textId="77777777" w:rsidR="00915C55" w:rsidRDefault="00950912">
            <w:pPr>
              <w:rPr>
                <w:sz w:val="20"/>
                <w:szCs w:val="20"/>
              </w:rPr>
            </w:pPr>
            <w:r>
              <w:rPr>
                <w:sz w:val="20"/>
                <w:szCs w:val="20"/>
              </w:rPr>
              <w:t xml:space="preserve">Rhodium Group </w:t>
            </w:r>
            <w:proofErr w:type="spellStart"/>
            <w:r>
              <w:rPr>
                <w:sz w:val="20"/>
                <w:szCs w:val="20"/>
              </w:rPr>
              <w:t>ClimateDeck</w:t>
            </w:r>
            <w:proofErr w:type="spellEnd"/>
            <w:r>
              <w:rPr>
                <w:sz w:val="20"/>
                <w:szCs w:val="20"/>
              </w:rPr>
              <w:t xml:space="preserve"> (2020)</w:t>
            </w:r>
          </w:p>
        </w:tc>
      </w:tr>
      <w:tr w:rsidR="00915C55" w14:paraId="0EA59FB1" w14:textId="77777777">
        <w:trPr>
          <w:trHeight w:val="20"/>
        </w:trPr>
        <w:tc>
          <w:tcPr>
            <w:tcW w:w="2000" w:type="dxa"/>
            <w:tcBorders>
              <w:top w:val="single" w:sz="8" w:space="0" w:color="000000"/>
              <w:left w:val="single" w:sz="8" w:space="0" w:color="000000"/>
              <w:bottom w:val="single" w:sz="8" w:space="0" w:color="000000"/>
              <w:right w:val="single" w:sz="8" w:space="0" w:color="000000"/>
            </w:tcBorders>
            <w:shd w:val="clear" w:color="auto" w:fill="44546A"/>
            <w:tcMar>
              <w:top w:w="100" w:type="dxa"/>
              <w:left w:w="100" w:type="dxa"/>
              <w:bottom w:w="100" w:type="dxa"/>
              <w:right w:w="100" w:type="dxa"/>
            </w:tcMar>
            <w:vAlign w:val="center"/>
          </w:tcPr>
          <w:p w14:paraId="00000016" w14:textId="77777777" w:rsidR="00915C55" w:rsidRDefault="00950912">
            <w:pPr>
              <w:jc w:val="center"/>
              <w:rPr>
                <w:color w:val="FFFFFF"/>
                <w:sz w:val="20"/>
                <w:szCs w:val="20"/>
              </w:rPr>
            </w:pPr>
            <w:r>
              <w:rPr>
                <w:color w:val="FFFFFF"/>
                <w:sz w:val="20"/>
                <w:szCs w:val="20"/>
              </w:rPr>
              <w:t>Building Energy Use</w:t>
            </w:r>
          </w:p>
        </w:tc>
        <w:tc>
          <w:tcPr>
            <w:tcW w:w="2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17" w14:textId="77777777" w:rsidR="00915C55" w:rsidRDefault="00950912">
            <w:pPr>
              <w:rPr>
                <w:sz w:val="20"/>
                <w:szCs w:val="20"/>
              </w:rPr>
            </w:pPr>
            <w:r>
              <w:rPr>
                <w:sz w:val="20"/>
                <w:szCs w:val="20"/>
              </w:rPr>
              <w:t>All energy use, all building components, residential and commercial buildings</w:t>
            </w:r>
          </w:p>
        </w:tc>
        <w:tc>
          <w:tcPr>
            <w:tcW w:w="2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18" w14:textId="77777777" w:rsidR="00915C55" w:rsidRDefault="00950912">
            <w:pPr>
              <w:rPr>
                <w:sz w:val="20"/>
                <w:szCs w:val="20"/>
              </w:rPr>
            </w:pPr>
            <w:hyperlink r:id="rId12">
              <w:r>
                <w:rPr>
                  <w:color w:val="1155CC"/>
                  <w:sz w:val="20"/>
                  <w:szCs w:val="20"/>
                  <w:u w:val="single"/>
                </w:rPr>
                <w:t>E3 Pathways Report</w:t>
              </w:r>
            </w:hyperlink>
          </w:p>
        </w:tc>
        <w:tc>
          <w:tcPr>
            <w:tcW w:w="3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19" w14:textId="77777777" w:rsidR="00915C55" w:rsidRDefault="00950912">
            <w:pPr>
              <w:rPr>
                <w:sz w:val="20"/>
                <w:szCs w:val="20"/>
              </w:rPr>
            </w:pPr>
            <w:r>
              <w:rPr>
                <w:sz w:val="20"/>
                <w:szCs w:val="20"/>
              </w:rPr>
              <w:t>Take fuel-level consumption da</w:t>
            </w:r>
            <w:r>
              <w:rPr>
                <w:sz w:val="20"/>
                <w:szCs w:val="20"/>
              </w:rPr>
              <w:t>ta for commercial/residential buildings directly from E3 report. Proportion to demand technologies based on NREL Electrification Futures Study.</w:t>
            </w:r>
          </w:p>
          <w:p w14:paraId="0000001A" w14:textId="77777777" w:rsidR="00915C55" w:rsidRDefault="00950912">
            <w:pPr>
              <w:rPr>
                <w:sz w:val="20"/>
                <w:szCs w:val="20"/>
                <w:highlight w:val="yellow"/>
              </w:rPr>
            </w:pPr>
            <w:hyperlink r:id="rId13">
              <w:r>
                <w:rPr>
                  <w:color w:val="0563C1"/>
                  <w:sz w:val="20"/>
                  <w:szCs w:val="20"/>
                  <w:u w:val="single"/>
                </w:rPr>
                <w:t xml:space="preserve">Assumes some equipment performance improvements </w:t>
              </w:r>
              <w:r>
                <w:rPr>
                  <w:color w:val="0563C1"/>
                  <w:sz w:val="20"/>
                  <w:szCs w:val="20"/>
                  <w:u w:val="single"/>
                </w:rPr>
                <w:t>over time</w:t>
              </w:r>
            </w:hyperlink>
            <w:r>
              <w:rPr>
                <w:sz w:val="20"/>
                <w:szCs w:val="20"/>
              </w:rPr>
              <w:t xml:space="preserve">, based on market data (described </w:t>
            </w:r>
            <w:hyperlink r:id="rId14">
              <w:r>
                <w:rPr>
                  <w:color w:val="0563C1"/>
                  <w:sz w:val="20"/>
                  <w:szCs w:val="20"/>
                  <w:u w:val="single"/>
                </w:rPr>
                <w:t>here</w:t>
              </w:r>
            </w:hyperlink>
            <w:r>
              <w:rPr>
                <w:sz w:val="20"/>
                <w:szCs w:val="20"/>
              </w:rPr>
              <w:t>)</w:t>
            </w:r>
            <w:r>
              <w:rPr>
                <w:sz w:val="20"/>
                <w:szCs w:val="20"/>
                <w:vertAlign w:val="superscript"/>
              </w:rPr>
              <w:footnoteReference w:id="3"/>
            </w:r>
          </w:p>
        </w:tc>
        <w:tc>
          <w:tcPr>
            <w:tcW w:w="3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1B" w14:textId="77777777" w:rsidR="00915C55" w:rsidRDefault="00950912">
            <w:pPr>
              <w:rPr>
                <w:sz w:val="20"/>
                <w:szCs w:val="20"/>
              </w:rPr>
            </w:pPr>
            <w:r>
              <w:rPr>
                <w:sz w:val="20"/>
                <w:szCs w:val="20"/>
              </w:rPr>
              <w:lastRenderedPageBreak/>
              <w:t>EIA “</w:t>
            </w:r>
            <w:hyperlink r:id="rId15">
              <w:r>
                <w:rPr>
                  <w:color w:val="1155CC"/>
                  <w:sz w:val="20"/>
                  <w:szCs w:val="20"/>
                  <w:u w:val="single"/>
                </w:rPr>
                <w:t>State Energy Data System</w:t>
              </w:r>
            </w:hyperlink>
            <w:r>
              <w:rPr>
                <w:sz w:val="20"/>
                <w:szCs w:val="20"/>
              </w:rPr>
              <w:t>” (2020)</w:t>
            </w:r>
          </w:p>
          <w:p w14:paraId="0000001C" w14:textId="77777777" w:rsidR="00915C55" w:rsidRDefault="00950912">
            <w:pPr>
              <w:rPr>
                <w:sz w:val="20"/>
                <w:szCs w:val="20"/>
              </w:rPr>
            </w:pPr>
            <w:r>
              <w:rPr>
                <w:sz w:val="20"/>
                <w:szCs w:val="20"/>
              </w:rPr>
              <w:t>“</w:t>
            </w:r>
            <w:hyperlink r:id="rId16">
              <w:r>
                <w:rPr>
                  <w:color w:val="1155CC"/>
                  <w:sz w:val="20"/>
                  <w:szCs w:val="20"/>
                  <w:u w:val="single"/>
                </w:rPr>
                <w:t>State CO2 Emissions from Fossil Fuel Combustion</w:t>
              </w:r>
            </w:hyperlink>
            <w:r>
              <w:rPr>
                <w:sz w:val="20"/>
                <w:szCs w:val="20"/>
              </w:rPr>
              <w:t>”, EPA State Inventory Tool</w:t>
            </w:r>
          </w:p>
          <w:p w14:paraId="0000001D" w14:textId="77777777" w:rsidR="00915C55" w:rsidRDefault="00950912">
            <w:pPr>
              <w:rPr>
                <w:sz w:val="20"/>
                <w:szCs w:val="20"/>
              </w:rPr>
            </w:pPr>
            <w:r>
              <w:rPr>
                <w:sz w:val="20"/>
                <w:szCs w:val="20"/>
              </w:rPr>
              <w:t xml:space="preserve">Rhodium Group </w:t>
            </w:r>
            <w:proofErr w:type="spellStart"/>
            <w:r>
              <w:rPr>
                <w:sz w:val="20"/>
                <w:szCs w:val="20"/>
              </w:rPr>
              <w:t>ClimateDeck</w:t>
            </w:r>
            <w:proofErr w:type="spellEnd"/>
            <w:r>
              <w:rPr>
                <w:sz w:val="20"/>
                <w:szCs w:val="20"/>
              </w:rPr>
              <w:t xml:space="preserve"> (2020)</w:t>
            </w:r>
          </w:p>
        </w:tc>
      </w:tr>
      <w:tr w:rsidR="00915C55" w14:paraId="34DF725A" w14:textId="77777777">
        <w:trPr>
          <w:trHeight w:val="20"/>
        </w:trPr>
        <w:tc>
          <w:tcPr>
            <w:tcW w:w="2000" w:type="dxa"/>
            <w:tcBorders>
              <w:top w:val="single" w:sz="8" w:space="0" w:color="000000"/>
              <w:left w:val="single" w:sz="8" w:space="0" w:color="000000"/>
              <w:bottom w:val="single" w:sz="8" w:space="0" w:color="000000"/>
              <w:right w:val="single" w:sz="8" w:space="0" w:color="000000"/>
            </w:tcBorders>
            <w:shd w:val="clear" w:color="auto" w:fill="44546A"/>
            <w:tcMar>
              <w:top w:w="100" w:type="dxa"/>
              <w:left w:w="100" w:type="dxa"/>
              <w:bottom w:w="100" w:type="dxa"/>
              <w:right w:w="100" w:type="dxa"/>
            </w:tcMar>
            <w:vAlign w:val="center"/>
          </w:tcPr>
          <w:p w14:paraId="0000001E" w14:textId="77777777" w:rsidR="00915C55" w:rsidRDefault="00950912">
            <w:pPr>
              <w:jc w:val="center"/>
              <w:rPr>
                <w:color w:val="FFFFFF"/>
                <w:sz w:val="20"/>
                <w:szCs w:val="20"/>
              </w:rPr>
            </w:pPr>
            <w:r>
              <w:rPr>
                <w:color w:val="FFFFFF"/>
                <w:sz w:val="20"/>
                <w:szCs w:val="20"/>
              </w:rPr>
              <w:lastRenderedPageBreak/>
              <w:t>Industrial Energy Use</w:t>
            </w:r>
          </w:p>
        </w:tc>
        <w:tc>
          <w:tcPr>
            <w:tcW w:w="2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1F" w14:textId="77777777" w:rsidR="00915C55" w:rsidRDefault="00950912">
            <w:pPr>
              <w:rPr>
                <w:sz w:val="20"/>
                <w:szCs w:val="20"/>
              </w:rPr>
            </w:pPr>
            <w:r>
              <w:rPr>
                <w:sz w:val="20"/>
                <w:szCs w:val="20"/>
              </w:rPr>
              <w:t>All fuel use for industrial sector, including oil &amp; gas extraction and refining</w:t>
            </w:r>
          </w:p>
        </w:tc>
        <w:tc>
          <w:tcPr>
            <w:tcW w:w="2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20" w14:textId="77777777" w:rsidR="00915C55" w:rsidRDefault="00950912">
            <w:pPr>
              <w:rPr>
                <w:color w:val="1155CC"/>
                <w:sz w:val="20"/>
                <w:szCs w:val="20"/>
                <w:u w:val="single"/>
              </w:rPr>
            </w:pPr>
            <w:hyperlink r:id="rId17">
              <w:r>
                <w:rPr>
                  <w:color w:val="1155CC"/>
                  <w:sz w:val="20"/>
                  <w:szCs w:val="20"/>
                  <w:u w:val="single"/>
                </w:rPr>
                <w:t>E3 Pathways Report</w:t>
              </w:r>
            </w:hyperlink>
          </w:p>
          <w:p w14:paraId="00000021" w14:textId="77777777" w:rsidR="00915C55" w:rsidRDefault="00950912">
            <w:pPr>
              <w:rPr>
                <w:sz w:val="20"/>
                <w:szCs w:val="20"/>
              </w:rPr>
            </w:pPr>
            <w:r>
              <w:rPr>
                <w:sz w:val="20"/>
                <w:szCs w:val="20"/>
              </w:rPr>
              <w:t>EIA Annual Energy Outlook Cr</w:t>
            </w:r>
            <w:r>
              <w:rPr>
                <w:sz w:val="20"/>
                <w:szCs w:val="20"/>
              </w:rPr>
              <w:t>ude Oil Production (</w:t>
            </w:r>
            <w:hyperlink r:id="rId18" w:anchor="/?id=71-AEO2021&amp;region=0-0&amp;cases=ref2021&amp;start=2019&amp;end=2050&amp;f=A&amp;linechart=ref2021-d113020a.8-71-AEO2021&amp;ctype=linechart&amp;sourcekey=0">
              <w:r>
                <w:rPr>
                  <w:color w:val="0563C1"/>
                  <w:sz w:val="20"/>
                  <w:szCs w:val="20"/>
                  <w:u w:val="single"/>
                </w:rPr>
                <w:t>Table 58</w:t>
              </w:r>
            </w:hyperlink>
            <w:r>
              <w:rPr>
                <w:sz w:val="20"/>
                <w:szCs w:val="20"/>
              </w:rPr>
              <w:t>, Gulf Coast Petroleum A</w:t>
            </w:r>
            <w:r>
              <w:rPr>
                <w:sz w:val="20"/>
                <w:szCs w:val="20"/>
              </w:rPr>
              <w:t>dministration for Defense District [PADD])</w:t>
            </w:r>
          </w:p>
          <w:p w14:paraId="00000022" w14:textId="77777777" w:rsidR="00915C55" w:rsidRDefault="00950912">
            <w:pPr>
              <w:rPr>
                <w:sz w:val="20"/>
                <w:szCs w:val="20"/>
              </w:rPr>
            </w:pPr>
            <w:r>
              <w:rPr>
                <w:sz w:val="20"/>
                <w:szCs w:val="20"/>
              </w:rPr>
              <w:t xml:space="preserve">EIA </w:t>
            </w:r>
            <w:hyperlink r:id="rId19">
              <w:r>
                <w:rPr>
                  <w:color w:val="1155CC"/>
                  <w:sz w:val="20"/>
                  <w:szCs w:val="20"/>
                  <w:u w:val="single"/>
                </w:rPr>
                <w:t>State Energy Data Systems</w:t>
              </w:r>
            </w:hyperlink>
            <w:r>
              <w:rPr>
                <w:sz w:val="20"/>
                <w:szCs w:val="20"/>
              </w:rPr>
              <w:t xml:space="preserve">, </w:t>
            </w:r>
            <w:hyperlink r:id="rId20">
              <w:r>
                <w:rPr>
                  <w:color w:val="0563C1"/>
                  <w:sz w:val="20"/>
                  <w:szCs w:val="20"/>
                  <w:u w:val="single"/>
                </w:rPr>
                <w:t>Natural Gas Con</w:t>
              </w:r>
              <w:r>
                <w:rPr>
                  <w:color w:val="0563C1"/>
                  <w:sz w:val="20"/>
                  <w:szCs w:val="20"/>
                  <w:u w:val="single"/>
                </w:rPr>
                <w:t>sumed as Refinery Fuel</w:t>
              </w:r>
            </w:hyperlink>
            <w:r>
              <w:rPr>
                <w:sz w:val="20"/>
                <w:szCs w:val="20"/>
              </w:rPr>
              <w:t xml:space="preserve"> </w:t>
            </w:r>
          </w:p>
          <w:p w14:paraId="00000023" w14:textId="77777777" w:rsidR="00915C55" w:rsidRDefault="00915C55">
            <w:pPr>
              <w:rPr>
                <w:sz w:val="20"/>
                <w:szCs w:val="20"/>
              </w:rPr>
            </w:pPr>
          </w:p>
        </w:tc>
        <w:tc>
          <w:tcPr>
            <w:tcW w:w="3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24" w14:textId="77777777" w:rsidR="00915C55" w:rsidRDefault="00950912">
            <w:pPr>
              <w:rPr>
                <w:sz w:val="20"/>
                <w:szCs w:val="20"/>
              </w:rPr>
            </w:pPr>
            <w:r>
              <w:rPr>
                <w:sz w:val="20"/>
                <w:szCs w:val="20"/>
              </w:rPr>
              <w:t>Take fuel-level consumption data from E3 report. Proportion to industrial sectors based on industrial output multiplied by energy intensity.</w:t>
            </w:r>
          </w:p>
          <w:p w14:paraId="00000025" w14:textId="77777777" w:rsidR="00915C55" w:rsidRDefault="00950912">
            <w:pPr>
              <w:rPr>
                <w:sz w:val="20"/>
                <w:szCs w:val="20"/>
              </w:rPr>
            </w:pPr>
            <w:r>
              <w:rPr>
                <w:sz w:val="20"/>
                <w:szCs w:val="20"/>
              </w:rPr>
              <w:t>For oil and gas production: oil production is first benchmarked to WESTAR-WRAP for 2018, a</w:t>
            </w:r>
            <w:r>
              <w:rPr>
                <w:sz w:val="20"/>
                <w:szCs w:val="20"/>
              </w:rPr>
              <w:t>nd then interpolated to 2020 based on historic national crude production. Then 2021-2050 projected based on growth trajectory from AEO.</w:t>
            </w:r>
          </w:p>
          <w:p w14:paraId="00000026" w14:textId="77777777" w:rsidR="00915C55" w:rsidRDefault="00950912">
            <w:pPr>
              <w:rPr>
                <w:sz w:val="20"/>
                <w:szCs w:val="20"/>
              </w:rPr>
            </w:pPr>
            <w:r>
              <w:rPr>
                <w:sz w:val="20"/>
                <w:szCs w:val="20"/>
              </w:rPr>
              <w:t xml:space="preserve">Assumes equipment performance improvements over time (described </w:t>
            </w:r>
            <w:hyperlink r:id="rId21">
              <w:r>
                <w:rPr>
                  <w:color w:val="0563C1"/>
                  <w:sz w:val="20"/>
                  <w:szCs w:val="20"/>
                  <w:u w:val="single"/>
                </w:rPr>
                <w:t>here</w:t>
              </w:r>
            </w:hyperlink>
            <w:r>
              <w:rPr>
                <w:sz w:val="20"/>
                <w:szCs w:val="20"/>
              </w:rPr>
              <w:t>)</w:t>
            </w:r>
          </w:p>
        </w:tc>
        <w:tc>
          <w:tcPr>
            <w:tcW w:w="3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27" w14:textId="77777777" w:rsidR="00915C55" w:rsidRDefault="00950912">
            <w:pPr>
              <w:rPr>
                <w:sz w:val="20"/>
                <w:szCs w:val="20"/>
              </w:rPr>
            </w:pPr>
            <w:r>
              <w:rPr>
                <w:sz w:val="20"/>
                <w:szCs w:val="20"/>
              </w:rPr>
              <w:t>NREL Electrification Futures and EIA’s “</w:t>
            </w:r>
            <w:hyperlink r:id="rId22">
              <w:r>
                <w:rPr>
                  <w:color w:val="1155CC"/>
                  <w:sz w:val="20"/>
                  <w:szCs w:val="20"/>
                  <w:u w:val="single"/>
                </w:rPr>
                <w:t>State Energy Data Systems</w:t>
              </w:r>
            </w:hyperlink>
            <w:r>
              <w:rPr>
                <w:sz w:val="20"/>
                <w:szCs w:val="20"/>
              </w:rPr>
              <w:t>”</w:t>
            </w:r>
          </w:p>
          <w:p w14:paraId="00000028" w14:textId="77777777" w:rsidR="00915C55" w:rsidRDefault="00950912">
            <w:pPr>
              <w:rPr>
                <w:sz w:val="20"/>
                <w:szCs w:val="20"/>
              </w:rPr>
            </w:pPr>
            <w:r>
              <w:rPr>
                <w:sz w:val="20"/>
                <w:szCs w:val="20"/>
              </w:rPr>
              <w:t>EPA “</w:t>
            </w:r>
            <w:hyperlink r:id="rId23">
              <w:r>
                <w:rPr>
                  <w:color w:val="1155CC"/>
                  <w:sz w:val="20"/>
                  <w:szCs w:val="20"/>
                  <w:u w:val="single"/>
                </w:rPr>
                <w:t>State CO2 Emissions from Fossil Fuel Combustion</w:t>
              </w:r>
            </w:hyperlink>
            <w:r>
              <w:rPr>
                <w:color w:val="1155CC"/>
                <w:sz w:val="20"/>
                <w:szCs w:val="20"/>
                <w:u w:val="single"/>
              </w:rPr>
              <w:t xml:space="preserve"> 1990-2018</w:t>
            </w:r>
            <w:r>
              <w:rPr>
                <w:sz w:val="20"/>
                <w:szCs w:val="20"/>
              </w:rPr>
              <w:t>”</w:t>
            </w:r>
          </w:p>
          <w:p w14:paraId="00000029" w14:textId="77777777" w:rsidR="00915C55" w:rsidRDefault="00950912">
            <w:pPr>
              <w:rPr>
                <w:sz w:val="20"/>
                <w:szCs w:val="20"/>
              </w:rPr>
            </w:pPr>
            <w:hyperlink r:id="rId24">
              <w:r>
                <w:rPr>
                  <w:color w:val="0563C1"/>
                  <w:sz w:val="20"/>
                  <w:szCs w:val="20"/>
                  <w:u w:val="single"/>
                </w:rPr>
                <w:t>Climate TRACE</w:t>
              </w:r>
            </w:hyperlink>
            <w:r>
              <w:rPr>
                <w:sz w:val="20"/>
                <w:szCs w:val="20"/>
              </w:rPr>
              <w:t>, including state-specific data</w:t>
            </w:r>
            <w:r>
              <w:rPr>
                <w:sz w:val="20"/>
                <w:szCs w:val="20"/>
                <w:vertAlign w:val="superscript"/>
              </w:rPr>
              <w:footnoteReference w:id="4"/>
            </w:r>
            <w:r>
              <w:rPr>
                <w:sz w:val="20"/>
                <w:szCs w:val="20"/>
              </w:rPr>
              <w:t>, for</w:t>
            </w:r>
            <w:r>
              <w:rPr>
                <w:sz w:val="20"/>
                <w:szCs w:val="20"/>
              </w:rPr>
              <w:t xml:space="preserve"> oil &amp; gas emissions</w:t>
            </w:r>
          </w:p>
        </w:tc>
      </w:tr>
      <w:tr w:rsidR="00915C55" w14:paraId="238D2506" w14:textId="77777777">
        <w:trPr>
          <w:trHeight w:val="20"/>
        </w:trPr>
        <w:tc>
          <w:tcPr>
            <w:tcW w:w="2000" w:type="dxa"/>
            <w:tcBorders>
              <w:top w:val="single" w:sz="8" w:space="0" w:color="000000"/>
              <w:left w:val="single" w:sz="8" w:space="0" w:color="000000"/>
              <w:bottom w:val="single" w:sz="8" w:space="0" w:color="000000"/>
              <w:right w:val="single" w:sz="8" w:space="0" w:color="000000"/>
            </w:tcBorders>
            <w:shd w:val="clear" w:color="auto" w:fill="44546A"/>
            <w:tcMar>
              <w:top w:w="100" w:type="dxa"/>
              <w:left w:w="100" w:type="dxa"/>
              <w:bottom w:w="100" w:type="dxa"/>
              <w:right w:w="100" w:type="dxa"/>
            </w:tcMar>
            <w:vAlign w:val="center"/>
          </w:tcPr>
          <w:p w14:paraId="0000002A" w14:textId="77777777" w:rsidR="00915C55" w:rsidRDefault="00950912">
            <w:pPr>
              <w:jc w:val="center"/>
              <w:rPr>
                <w:color w:val="FFFFFF"/>
                <w:sz w:val="20"/>
                <w:szCs w:val="20"/>
              </w:rPr>
            </w:pPr>
            <w:r>
              <w:rPr>
                <w:color w:val="FFFFFF"/>
                <w:sz w:val="20"/>
                <w:szCs w:val="20"/>
              </w:rPr>
              <w:t>Industrial Process Emissions</w:t>
            </w:r>
          </w:p>
        </w:tc>
        <w:tc>
          <w:tcPr>
            <w:tcW w:w="2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2B" w14:textId="77777777" w:rsidR="00915C55" w:rsidRDefault="00950912">
            <w:pPr>
              <w:rPr>
                <w:sz w:val="20"/>
                <w:szCs w:val="20"/>
              </w:rPr>
            </w:pPr>
            <w:r>
              <w:rPr>
                <w:sz w:val="20"/>
                <w:szCs w:val="20"/>
              </w:rPr>
              <w:t>Process Emissions</w:t>
            </w:r>
          </w:p>
        </w:tc>
        <w:tc>
          <w:tcPr>
            <w:tcW w:w="2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2C" w14:textId="77777777" w:rsidR="00915C55" w:rsidRDefault="00950912">
            <w:pPr>
              <w:rPr>
                <w:sz w:val="20"/>
                <w:szCs w:val="20"/>
              </w:rPr>
            </w:pPr>
            <w:hyperlink r:id="rId25">
              <w:r>
                <w:rPr>
                  <w:color w:val="1155CC"/>
                  <w:sz w:val="20"/>
                  <w:szCs w:val="20"/>
                  <w:u w:val="single"/>
                </w:rPr>
                <w:t>E3 Pathways Report</w:t>
              </w:r>
            </w:hyperlink>
          </w:p>
        </w:tc>
        <w:tc>
          <w:tcPr>
            <w:tcW w:w="3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2D" w14:textId="77777777" w:rsidR="00915C55" w:rsidRDefault="00950912">
            <w:pPr>
              <w:rPr>
                <w:sz w:val="20"/>
                <w:szCs w:val="20"/>
              </w:rPr>
            </w:pPr>
            <w:r>
              <w:rPr>
                <w:sz w:val="20"/>
                <w:szCs w:val="20"/>
              </w:rPr>
              <w:t>Take data directly from E3 report, no scaling needed.</w:t>
            </w:r>
          </w:p>
          <w:p w14:paraId="0000002E" w14:textId="77777777" w:rsidR="00915C55" w:rsidRDefault="00950912">
            <w:pPr>
              <w:rPr>
                <w:sz w:val="20"/>
                <w:szCs w:val="20"/>
              </w:rPr>
            </w:pPr>
            <w:r>
              <w:rPr>
                <w:sz w:val="20"/>
                <w:szCs w:val="20"/>
              </w:rPr>
              <w:t xml:space="preserve">Does not include implementation of the Kigali Amendment </w:t>
            </w:r>
            <w:r>
              <w:rPr>
                <w:sz w:val="20"/>
                <w:szCs w:val="20"/>
              </w:rPr>
              <w:t>to the Montreal Protocol.</w:t>
            </w:r>
          </w:p>
        </w:tc>
        <w:tc>
          <w:tcPr>
            <w:tcW w:w="3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2F" w14:textId="77777777" w:rsidR="00915C55" w:rsidRDefault="00950912">
            <w:pPr>
              <w:rPr>
                <w:sz w:val="20"/>
                <w:szCs w:val="20"/>
              </w:rPr>
            </w:pPr>
            <w:sdt>
              <w:sdtPr>
                <w:tag w:val="goog_rdk_0"/>
                <w:id w:val="1228728267"/>
              </w:sdtPr>
              <w:sdtEndPr/>
              <w:sdtContent/>
            </w:sdt>
            <w:hyperlink r:id="rId26">
              <w:r>
                <w:rPr>
                  <w:color w:val="0563C1"/>
                  <w:sz w:val="20"/>
                  <w:szCs w:val="20"/>
                  <w:u w:val="single"/>
                </w:rPr>
                <w:t>Climate TRACE</w:t>
              </w:r>
            </w:hyperlink>
            <w:r>
              <w:rPr>
                <w:sz w:val="20"/>
                <w:szCs w:val="20"/>
              </w:rPr>
              <w:t>, including state-specific data</w:t>
            </w:r>
            <w:r>
              <w:rPr>
                <w:sz w:val="20"/>
                <w:szCs w:val="20"/>
                <w:vertAlign w:val="superscript"/>
              </w:rPr>
              <w:footnoteReference w:id="5"/>
            </w:r>
            <w:r>
              <w:rPr>
                <w:sz w:val="20"/>
                <w:szCs w:val="20"/>
              </w:rPr>
              <w:t xml:space="preserve">, for oil &amp; gas emissions </w:t>
            </w:r>
          </w:p>
        </w:tc>
      </w:tr>
      <w:tr w:rsidR="00915C55" w14:paraId="78D20C61" w14:textId="77777777">
        <w:trPr>
          <w:trHeight w:val="20"/>
        </w:trPr>
        <w:tc>
          <w:tcPr>
            <w:tcW w:w="2000" w:type="dxa"/>
            <w:tcBorders>
              <w:top w:val="single" w:sz="8" w:space="0" w:color="000000"/>
              <w:left w:val="single" w:sz="8" w:space="0" w:color="000000"/>
              <w:bottom w:val="single" w:sz="8" w:space="0" w:color="000000"/>
              <w:right w:val="single" w:sz="8" w:space="0" w:color="000000"/>
            </w:tcBorders>
            <w:shd w:val="clear" w:color="auto" w:fill="44546A"/>
            <w:tcMar>
              <w:top w:w="100" w:type="dxa"/>
              <w:left w:w="100" w:type="dxa"/>
              <w:bottom w:w="100" w:type="dxa"/>
              <w:right w:w="100" w:type="dxa"/>
            </w:tcMar>
            <w:vAlign w:val="center"/>
          </w:tcPr>
          <w:p w14:paraId="00000030" w14:textId="77777777" w:rsidR="00915C55" w:rsidRDefault="00950912">
            <w:pPr>
              <w:jc w:val="center"/>
              <w:rPr>
                <w:color w:val="FFFFFF"/>
                <w:sz w:val="20"/>
                <w:szCs w:val="20"/>
              </w:rPr>
            </w:pPr>
            <w:r>
              <w:rPr>
                <w:color w:val="FFFFFF"/>
                <w:sz w:val="20"/>
                <w:szCs w:val="20"/>
              </w:rPr>
              <w:t>Agriculture, Land Use and Forestry</w:t>
            </w:r>
          </w:p>
        </w:tc>
        <w:tc>
          <w:tcPr>
            <w:tcW w:w="2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31" w14:textId="77777777" w:rsidR="00915C55" w:rsidRDefault="00950912">
            <w:pPr>
              <w:rPr>
                <w:sz w:val="20"/>
                <w:szCs w:val="20"/>
              </w:rPr>
            </w:pPr>
            <w:r>
              <w:rPr>
                <w:sz w:val="20"/>
                <w:szCs w:val="20"/>
              </w:rPr>
              <w:t>Livestock emissions</w:t>
            </w:r>
          </w:p>
          <w:p w14:paraId="00000032" w14:textId="77777777" w:rsidR="00915C55" w:rsidRDefault="00950912">
            <w:pPr>
              <w:rPr>
                <w:sz w:val="20"/>
                <w:szCs w:val="20"/>
              </w:rPr>
            </w:pPr>
            <w:r>
              <w:rPr>
                <w:sz w:val="20"/>
                <w:szCs w:val="20"/>
              </w:rPr>
              <w:t>Natural carbon sinks and sources (LULUCF)</w:t>
            </w:r>
          </w:p>
        </w:tc>
        <w:tc>
          <w:tcPr>
            <w:tcW w:w="2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33" w14:textId="77777777" w:rsidR="00915C55" w:rsidRDefault="00950912">
            <w:pPr>
              <w:rPr>
                <w:sz w:val="20"/>
                <w:szCs w:val="20"/>
              </w:rPr>
            </w:pPr>
            <w:r>
              <w:rPr>
                <w:sz w:val="20"/>
                <w:szCs w:val="20"/>
              </w:rPr>
              <w:t>EPA “</w:t>
            </w:r>
            <w:hyperlink r:id="rId27">
              <w:r>
                <w:rPr>
                  <w:color w:val="1155CC"/>
                  <w:sz w:val="20"/>
                  <w:szCs w:val="20"/>
                  <w:u w:val="single"/>
                </w:rPr>
                <w:t>State Inventory and Projection Tool</w:t>
              </w:r>
            </w:hyperlink>
            <w:r>
              <w:rPr>
                <w:sz w:val="20"/>
                <w:szCs w:val="20"/>
              </w:rPr>
              <w:t>”</w:t>
            </w:r>
          </w:p>
        </w:tc>
        <w:tc>
          <w:tcPr>
            <w:tcW w:w="3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34" w14:textId="77777777" w:rsidR="00915C55" w:rsidRDefault="00950912">
            <w:pPr>
              <w:rPr>
                <w:sz w:val="20"/>
                <w:szCs w:val="20"/>
              </w:rPr>
            </w:pPr>
            <w:r>
              <w:rPr>
                <w:sz w:val="20"/>
                <w:szCs w:val="20"/>
              </w:rPr>
              <w:t xml:space="preserve">No scaling needed. EPA reports LULUCF emissions by state. </w:t>
            </w:r>
          </w:p>
        </w:tc>
        <w:tc>
          <w:tcPr>
            <w:tcW w:w="3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35" w14:textId="77777777" w:rsidR="00915C55" w:rsidRDefault="00950912">
            <w:pPr>
              <w:rPr>
                <w:sz w:val="20"/>
                <w:szCs w:val="20"/>
              </w:rPr>
            </w:pPr>
            <w:r>
              <w:rPr>
                <w:sz w:val="20"/>
                <w:szCs w:val="20"/>
              </w:rPr>
              <w:t>EPA “</w:t>
            </w:r>
            <w:hyperlink r:id="rId28">
              <w:r>
                <w:rPr>
                  <w:color w:val="1155CC"/>
                  <w:sz w:val="20"/>
                  <w:szCs w:val="20"/>
                  <w:u w:val="single"/>
                </w:rPr>
                <w:t>State CO2 Emissions from Fossil Fuel Combustion</w:t>
              </w:r>
            </w:hyperlink>
            <w:r>
              <w:rPr>
                <w:color w:val="1155CC"/>
                <w:sz w:val="20"/>
                <w:szCs w:val="20"/>
                <w:u w:val="single"/>
              </w:rPr>
              <w:t xml:space="preserve"> 1990-2018</w:t>
            </w:r>
            <w:r>
              <w:rPr>
                <w:sz w:val="20"/>
                <w:szCs w:val="20"/>
              </w:rPr>
              <w:t>”</w:t>
            </w:r>
          </w:p>
        </w:tc>
      </w:tr>
      <w:tr w:rsidR="00915C55" w14:paraId="6BBAEE8F" w14:textId="77777777">
        <w:trPr>
          <w:trHeight w:val="3130"/>
        </w:trPr>
        <w:tc>
          <w:tcPr>
            <w:tcW w:w="2000" w:type="dxa"/>
            <w:tcBorders>
              <w:top w:val="single" w:sz="8" w:space="0" w:color="000000"/>
              <w:left w:val="single" w:sz="8" w:space="0" w:color="000000"/>
              <w:bottom w:val="single" w:sz="8" w:space="0" w:color="000000"/>
              <w:right w:val="single" w:sz="8" w:space="0" w:color="000000"/>
            </w:tcBorders>
            <w:shd w:val="clear" w:color="auto" w:fill="44546A"/>
            <w:tcMar>
              <w:top w:w="100" w:type="dxa"/>
              <w:left w:w="100" w:type="dxa"/>
              <w:bottom w:w="100" w:type="dxa"/>
              <w:right w:w="100" w:type="dxa"/>
            </w:tcMar>
            <w:vAlign w:val="center"/>
          </w:tcPr>
          <w:p w14:paraId="00000036" w14:textId="77777777" w:rsidR="00915C55" w:rsidRDefault="00950912">
            <w:pPr>
              <w:jc w:val="center"/>
              <w:rPr>
                <w:color w:val="FFFFFF"/>
                <w:sz w:val="20"/>
                <w:szCs w:val="20"/>
              </w:rPr>
            </w:pPr>
            <w:r>
              <w:rPr>
                <w:color w:val="FFFFFF"/>
                <w:sz w:val="20"/>
                <w:szCs w:val="20"/>
              </w:rPr>
              <w:lastRenderedPageBreak/>
              <w:t>Transportation</w:t>
            </w:r>
          </w:p>
        </w:tc>
        <w:tc>
          <w:tcPr>
            <w:tcW w:w="2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37" w14:textId="77777777" w:rsidR="00915C55" w:rsidRDefault="00950912">
            <w:pPr>
              <w:rPr>
                <w:sz w:val="20"/>
                <w:szCs w:val="20"/>
              </w:rPr>
            </w:pPr>
            <w:r>
              <w:rPr>
                <w:sz w:val="20"/>
                <w:szCs w:val="20"/>
              </w:rPr>
              <w:t>All energy use, vehicle miles</w:t>
            </w:r>
          </w:p>
        </w:tc>
        <w:tc>
          <w:tcPr>
            <w:tcW w:w="2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38" w14:textId="77777777" w:rsidR="00915C55" w:rsidRDefault="00950912">
            <w:pPr>
              <w:rPr>
                <w:sz w:val="20"/>
                <w:szCs w:val="20"/>
              </w:rPr>
            </w:pPr>
            <w:r>
              <w:rPr>
                <w:sz w:val="20"/>
                <w:szCs w:val="20"/>
              </w:rPr>
              <w:t xml:space="preserve">EIA’s </w:t>
            </w:r>
            <w:hyperlink r:id="rId29">
              <w:r>
                <w:rPr>
                  <w:color w:val="1155CC"/>
                  <w:sz w:val="20"/>
                  <w:szCs w:val="20"/>
                  <w:u w:val="single"/>
                </w:rPr>
                <w:t>State Energy Data Systems</w:t>
              </w:r>
            </w:hyperlink>
            <w:r>
              <w:rPr>
                <w:sz w:val="20"/>
                <w:szCs w:val="20"/>
              </w:rPr>
              <w:t xml:space="preserve"> from 2019</w:t>
            </w:r>
          </w:p>
          <w:p w14:paraId="00000039" w14:textId="77777777" w:rsidR="00915C55" w:rsidRDefault="00950912">
            <w:hyperlink r:id="rId30">
              <w:r>
                <w:rPr>
                  <w:color w:val="1155CC"/>
                  <w:sz w:val="20"/>
                  <w:szCs w:val="20"/>
                  <w:u w:val="single"/>
                </w:rPr>
                <w:t>Energy Information Association’s Annual Energy Outlook tables on Energy Use</w:t>
              </w:r>
            </w:hyperlink>
            <w:r>
              <w:rPr>
                <w:color w:val="1155CC"/>
                <w:sz w:val="20"/>
                <w:szCs w:val="20"/>
                <w:u w:val="single"/>
              </w:rPr>
              <w:t xml:space="preserve"> </w:t>
            </w:r>
            <w:r>
              <w:rPr>
                <w:sz w:val="20"/>
                <w:szCs w:val="20"/>
              </w:rPr>
              <w:t>(2021)</w:t>
            </w:r>
          </w:p>
          <w:p w14:paraId="0000003A" w14:textId="77777777" w:rsidR="00915C55" w:rsidRDefault="00950912">
            <w:pPr>
              <w:rPr>
                <w:sz w:val="20"/>
                <w:szCs w:val="20"/>
              </w:rPr>
            </w:pPr>
            <w:hyperlink r:id="rId31">
              <w:r>
                <w:rPr>
                  <w:color w:val="1155CC"/>
                  <w:sz w:val="20"/>
                  <w:szCs w:val="20"/>
                  <w:u w:val="single"/>
                </w:rPr>
                <w:t>NREL Electrification Futures Study - Reference Scenario</w:t>
              </w:r>
            </w:hyperlink>
          </w:p>
        </w:tc>
        <w:tc>
          <w:tcPr>
            <w:tcW w:w="37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3B" w14:textId="77777777" w:rsidR="00915C55" w:rsidRDefault="00950912">
            <w:pPr>
              <w:rPr>
                <w:sz w:val="20"/>
                <w:szCs w:val="20"/>
              </w:rPr>
            </w:pPr>
            <w:r>
              <w:rPr>
                <w:sz w:val="20"/>
                <w:szCs w:val="20"/>
              </w:rPr>
              <w:t>Use vehicle stock by type forecasts from NREL. Estimate miles traveled by vehicle type using total energy consumption from SEDS, average miles traveled nationally by vehicle type, and natio</w:t>
            </w:r>
            <w:r>
              <w:rPr>
                <w:sz w:val="20"/>
                <w:szCs w:val="20"/>
              </w:rPr>
              <w:t xml:space="preserve">nal vehicle stock fuel efficiency. </w:t>
            </w:r>
          </w:p>
          <w:p w14:paraId="0000003C" w14:textId="77777777" w:rsidR="00915C55" w:rsidRDefault="00950912">
            <w:pPr>
              <w:rPr>
                <w:sz w:val="20"/>
                <w:szCs w:val="20"/>
              </w:rPr>
            </w:pPr>
            <w:r>
              <w:rPr>
                <w:sz w:val="20"/>
                <w:szCs w:val="20"/>
              </w:rPr>
              <w:t>2021 AEO includes 2020 updated Corporate Average Fuel Economy Standards (CAFE)</w:t>
            </w:r>
          </w:p>
          <w:p w14:paraId="0000003D" w14:textId="77777777" w:rsidR="00915C55" w:rsidRDefault="00950912">
            <w:pPr>
              <w:rPr>
                <w:sz w:val="20"/>
                <w:szCs w:val="20"/>
              </w:rPr>
            </w:pPr>
            <w:r>
              <w:rPr>
                <w:sz w:val="20"/>
                <w:szCs w:val="20"/>
              </w:rPr>
              <w:t>Includes federal EV subsidies and economic adoption of EVs</w:t>
            </w:r>
            <w:r>
              <w:rPr>
                <w:sz w:val="20"/>
                <w:szCs w:val="20"/>
                <w:vertAlign w:val="superscript"/>
              </w:rPr>
              <w:footnoteReference w:id="6"/>
            </w:r>
          </w:p>
        </w:tc>
        <w:tc>
          <w:tcPr>
            <w:tcW w:w="3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3E" w14:textId="77777777" w:rsidR="00915C55" w:rsidRDefault="00950912">
            <w:pPr>
              <w:rPr>
                <w:sz w:val="20"/>
                <w:szCs w:val="20"/>
              </w:rPr>
            </w:pPr>
            <w:r>
              <w:rPr>
                <w:sz w:val="20"/>
                <w:szCs w:val="20"/>
              </w:rPr>
              <w:t>EPA “</w:t>
            </w:r>
            <w:hyperlink r:id="rId32">
              <w:r>
                <w:rPr>
                  <w:color w:val="1155CC"/>
                  <w:sz w:val="20"/>
                  <w:szCs w:val="20"/>
                  <w:u w:val="single"/>
                </w:rPr>
                <w:t>State CO2 Emissions from Fossil Fuel Combustion</w:t>
              </w:r>
            </w:hyperlink>
            <w:r>
              <w:rPr>
                <w:color w:val="1155CC"/>
                <w:sz w:val="20"/>
                <w:szCs w:val="20"/>
                <w:u w:val="single"/>
              </w:rPr>
              <w:t xml:space="preserve"> 1990-2018</w:t>
            </w:r>
            <w:r>
              <w:rPr>
                <w:sz w:val="20"/>
                <w:szCs w:val="20"/>
              </w:rPr>
              <w:t>”</w:t>
            </w:r>
          </w:p>
          <w:p w14:paraId="0000003F" w14:textId="77777777" w:rsidR="00915C55" w:rsidRDefault="00950912">
            <w:pPr>
              <w:rPr>
                <w:sz w:val="20"/>
                <w:szCs w:val="20"/>
              </w:rPr>
            </w:pPr>
            <w:r>
              <w:rPr>
                <w:sz w:val="20"/>
                <w:szCs w:val="20"/>
              </w:rPr>
              <w:t>Rhodium “</w:t>
            </w:r>
            <w:hyperlink r:id="rId33">
              <w:r>
                <w:rPr>
                  <w:color w:val="0563C1"/>
                  <w:sz w:val="20"/>
                  <w:szCs w:val="20"/>
                  <w:u w:val="single"/>
                </w:rPr>
                <w:t>Taking Stock 2021: US Emissions Outlook Under Current Policy</w:t>
              </w:r>
            </w:hyperlink>
            <w:r>
              <w:rPr>
                <w:sz w:val="20"/>
                <w:szCs w:val="20"/>
              </w:rPr>
              <w:t>”</w:t>
            </w:r>
          </w:p>
        </w:tc>
      </w:tr>
    </w:tbl>
    <w:p w14:paraId="00000040" w14:textId="77777777" w:rsidR="00915C55" w:rsidRDefault="00915C55">
      <w:bookmarkStart w:id="1" w:name="_heading=h.30j0zll" w:colFirst="0" w:colLast="0"/>
      <w:bookmarkEnd w:id="1"/>
    </w:p>
    <w:p w14:paraId="00000041" w14:textId="77777777" w:rsidR="00915C55" w:rsidRDefault="00950912">
      <w:pPr>
        <w:pStyle w:val="Heading2"/>
        <w:numPr>
          <w:ilvl w:val="0"/>
          <w:numId w:val="1"/>
        </w:numPr>
        <w:ind w:left="0" w:firstLine="0"/>
      </w:pPr>
      <w:sdt>
        <w:sdtPr>
          <w:tag w:val="goog_rdk_1"/>
          <w:id w:val="-88311777"/>
        </w:sdtPr>
        <w:sdtEndPr/>
        <w:sdtContent/>
      </w:sdt>
      <w:r>
        <w:t>Understanding the 2018 Business-as-Usual Projection and Additional Policy Scenarios</w:t>
      </w:r>
    </w:p>
    <w:p w14:paraId="00000042" w14:textId="77777777" w:rsidR="00915C55" w:rsidRDefault="00950912">
      <w:r>
        <w:rPr>
          <w:b/>
        </w:rPr>
        <w:t>2018 Business-as-Usual:</w:t>
      </w:r>
      <w:r>
        <w:t xml:space="preserve"> The BAU Scenario is the model’s foundation, capturing projected changes based on economic growth, technology and cost changes, and existing polic</w:t>
      </w:r>
      <w:r>
        <w:t xml:space="preserve">y commitments. The BAU is chosen to represent pre-existing trends and state and federal policies present in 2018. This allows us to isolate the impacts of recent state policies since 2018. </w:t>
      </w:r>
    </w:p>
    <w:p w14:paraId="00000043" w14:textId="77777777" w:rsidR="00915C55" w:rsidRDefault="00950912">
      <w:r>
        <w:rPr>
          <w:b/>
        </w:rPr>
        <w:t>Spring 2021 Current Policy</w:t>
      </w:r>
      <w:r>
        <w:t>: This scenario reflects “bankable” actions that have taken place since 2018. It includes all new legislation, newly announced generating plant retirements, enforceable commitments, and regulations that are already in place, focusing on incremental state l</w:t>
      </w:r>
      <w:r>
        <w:t>egislation. It does not include measures that are pending, under consideration, or have unknown impact.</w:t>
      </w:r>
    </w:p>
    <w:p w14:paraId="00000044" w14:textId="77777777" w:rsidR="00915C55" w:rsidRDefault="00950912">
      <w:r>
        <w:rPr>
          <w:b/>
        </w:rPr>
        <w:t>Spring 2021 Proposed Policy</w:t>
      </w:r>
      <w:r>
        <w:t xml:space="preserve">: </w:t>
      </w:r>
      <w:r>
        <w:rPr>
          <w:color w:val="262626"/>
          <w:highlight w:val="white"/>
        </w:rPr>
        <w:t xml:space="preserve">This reflects the Current Policy Scenario </w:t>
      </w:r>
      <w:r>
        <w:rPr>
          <w:color w:val="262626"/>
          <w:highlight w:val="white"/>
          <w:u w:val="single"/>
        </w:rPr>
        <w:t>plus</w:t>
      </w:r>
      <w:r>
        <w:rPr>
          <w:color w:val="262626"/>
          <w:highlight w:val="white"/>
        </w:rPr>
        <w:t xml:space="preserve"> any policies that have been proposed in previous climate action plans or oth</w:t>
      </w:r>
      <w:r>
        <w:rPr>
          <w:color w:val="262626"/>
          <w:highlight w:val="white"/>
        </w:rPr>
        <w:t xml:space="preserve">er processes. This can also be considered a </w:t>
      </w:r>
      <w:r>
        <w:rPr>
          <w:i/>
          <w:color w:val="262626"/>
          <w:highlight w:val="white"/>
        </w:rPr>
        <w:t>projected</w:t>
      </w:r>
      <w:r>
        <w:rPr>
          <w:color w:val="262626"/>
          <w:highlight w:val="white"/>
        </w:rPr>
        <w:t xml:space="preserve"> policy scenario: it includes optimistically extrapolated current policies of unknown impact. It also includes some additional federal policies expected to be fully reinstated under the Biden Administrat</w:t>
      </w:r>
      <w:r>
        <w:rPr>
          <w:color w:val="262626"/>
          <w:highlight w:val="white"/>
        </w:rPr>
        <w:t>ion.</w:t>
      </w:r>
    </w:p>
    <w:p w14:paraId="00000045" w14:textId="77777777" w:rsidR="00915C55" w:rsidRDefault="00950912">
      <w:r>
        <w:rPr>
          <w:b/>
        </w:rPr>
        <w:t>Fall 2021 Proposed Policy</w:t>
      </w:r>
      <w:r>
        <w:t xml:space="preserve">: </w:t>
      </w:r>
      <w:r>
        <w:rPr>
          <w:color w:val="262626"/>
          <w:highlight w:val="white"/>
        </w:rPr>
        <w:t>This scenario reflects the Spring 2021 Proposed Policy Scenario with additions based on July 2021 planning workshops held with the New Mexico Climate Action Teams.</w:t>
      </w:r>
    </w:p>
    <w:p w14:paraId="00000046" w14:textId="77777777" w:rsidR="00915C55" w:rsidRDefault="00915C55"/>
    <w:p w14:paraId="00000047" w14:textId="77777777" w:rsidR="00915C55" w:rsidRDefault="00915C55"/>
    <w:p w14:paraId="00000048" w14:textId="77777777" w:rsidR="00915C55" w:rsidRDefault="00915C55"/>
    <w:p w14:paraId="00000049" w14:textId="77777777" w:rsidR="00915C55" w:rsidRDefault="00915C55"/>
    <w:p w14:paraId="0000004A" w14:textId="77777777" w:rsidR="00915C55" w:rsidRDefault="00950912">
      <w:r>
        <w:t xml:space="preserve">The table below summarizes the policies included in the </w:t>
      </w:r>
      <w:r>
        <w:t>BAU and Additional Policy Scenarios.</w:t>
      </w:r>
    </w:p>
    <w:p w14:paraId="0000004B" w14:textId="77777777" w:rsidR="00915C55" w:rsidRDefault="00950912">
      <w:pPr>
        <w:rPr>
          <w:b/>
        </w:rPr>
      </w:pPr>
      <w:r>
        <w:rPr>
          <w:b/>
        </w:rPr>
        <w:t> </w:t>
      </w:r>
      <w:sdt>
        <w:sdtPr>
          <w:tag w:val="goog_rdk_2"/>
          <w:id w:val="-1867891907"/>
        </w:sdtPr>
        <w:sdtEndPr/>
        <w:sdtContent/>
      </w:sdt>
      <w:r>
        <w:rPr>
          <w:b/>
        </w:rPr>
        <w:t>SUMMARY OF POLICY ASSUMPTIONS</w:t>
      </w:r>
    </w:p>
    <w:tbl>
      <w:tblPr>
        <w:tblStyle w:val="a6"/>
        <w:tblW w:w="14910" w:type="dxa"/>
        <w:tblInd w:w="-3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560"/>
        <w:gridCol w:w="1500"/>
        <w:gridCol w:w="1530"/>
        <w:gridCol w:w="1830"/>
        <w:gridCol w:w="3225"/>
        <w:gridCol w:w="2835"/>
        <w:gridCol w:w="2430"/>
      </w:tblGrid>
      <w:tr w:rsidR="00915C55" w14:paraId="45CD98C2" w14:textId="77777777">
        <w:trPr>
          <w:tblHeader/>
        </w:trPr>
        <w:tc>
          <w:tcPr>
            <w:tcW w:w="1560"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tcPr>
          <w:p w14:paraId="0000004C" w14:textId="77777777" w:rsidR="00915C55" w:rsidRDefault="00950912">
            <w:pPr>
              <w:spacing w:before="40" w:after="40"/>
            </w:pPr>
            <w:r>
              <w:rPr>
                <w:b/>
              </w:rPr>
              <w:t>Sector</w:t>
            </w:r>
          </w:p>
        </w:tc>
        <w:tc>
          <w:tcPr>
            <w:tcW w:w="1500"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tcPr>
          <w:p w14:paraId="0000004D" w14:textId="77777777" w:rsidR="00915C55" w:rsidRDefault="00950912">
            <w:pPr>
              <w:spacing w:before="40" w:after="40"/>
              <w:rPr>
                <w:b/>
              </w:rPr>
            </w:pPr>
            <w:r>
              <w:rPr>
                <w:b/>
              </w:rPr>
              <w:t>Strategy</w:t>
            </w:r>
          </w:p>
        </w:tc>
        <w:tc>
          <w:tcPr>
            <w:tcW w:w="1530"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tcPr>
          <w:p w14:paraId="0000004E" w14:textId="77777777" w:rsidR="00915C55" w:rsidRDefault="00950912">
            <w:pPr>
              <w:spacing w:before="40" w:after="40"/>
              <w:rPr>
                <w:b/>
              </w:rPr>
            </w:pPr>
            <w:r>
              <w:rPr>
                <w:b/>
              </w:rPr>
              <w:t>Expressed as</w:t>
            </w:r>
          </w:p>
        </w:tc>
        <w:tc>
          <w:tcPr>
            <w:tcW w:w="1830"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tcPr>
          <w:p w14:paraId="0000004F" w14:textId="77777777" w:rsidR="00915C55" w:rsidRDefault="00950912">
            <w:pPr>
              <w:spacing w:before="40" w:after="40"/>
            </w:pPr>
            <w:r>
              <w:rPr>
                <w:b/>
              </w:rPr>
              <w:t>2018 BAU</w:t>
            </w:r>
          </w:p>
        </w:tc>
        <w:tc>
          <w:tcPr>
            <w:tcW w:w="3225"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0050" w14:textId="77777777" w:rsidR="00915C55" w:rsidRDefault="00950912">
            <w:pPr>
              <w:spacing w:before="40" w:after="40"/>
              <w:rPr>
                <w:b/>
              </w:rPr>
            </w:pPr>
            <w:r>
              <w:rPr>
                <w:b/>
              </w:rPr>
              <w:t>Spring 2021 Current Policy</w:t>
            </w:r>
          </w:p>
        </w:tc>
        <w:tc>
          <w:tcPr>
            <w:tcW w:w="2835"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0051" w14:textId="77777777" w:rsidR="00915C55" w:rsidRDefault="00950912">
            <w:pPr>
              <w:spacing w:before="40" w:after="40"/>
              <w:rPr>
                <w:b/>
              </w:rPr>
            </w:pPr>
            <w:r>
              <w:rPr>
                <w:b/>
              </w:rPr>
              <w:t>Spring 2021 Proposed Policy</w:t>
            </w:r>
          </w:p>
        </w:tc>
        <w:tc>
          <w:tcPr>
            <w:tcW w:w="2430"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0052" w14:textId="77777777" w:rsidR="00915C55" w:rsidRDefault="00950912">
            <w:pPr>
              <w:spacing w:before="40" w:after="40"/>
              <w:rPr>
                <w:b/>
              </w:rPr>
            </w:pPr>
            <w:r>
              <w:rPr>
                <w:b/>
              </w:rPr>
              <w:t>Fall 2021 Proposed Policy</w:t>
            </w:r>
          </w:p>
        </w:tc>
      </w:tr>
      <w:tr w:rsidR="00915C55" w14:paraId="7B6A1A1F" w14:textId="77777777">
        <w:trPr>
          <w:trHeight w:val="915"/>
        </w:trPr>
        <w:tc>
          <w:tcPr>
            <w:tcW w:w="1560" w:type="dxa"/>
            <w:vMerge w:val="restart"/>
            <w:tcBorders>
              <w:top w:val="single" w:sz="4" w:space="0" w:color="000000"/>
              <w:left w:val="single" w:sz="4" w:space="0" w:color="000000"/>
              <w:bottom w:val="single" w:sz="4" w:space="0" w:color="44546A"/>
              <w:right w:val="single" w:sz="4" w:space="0" w:color="000000"/>
            </w:tcBorders>
            <w:shd w:val="clear" w:color="auto" w:fill="44546A"/>
            <w:tcMar>
              <w:top w:w="0" w:type="dxa"/>
              <w:left w:w="108" w:type="dxa"/>
              <w:bottom w:w="0" w:type="dxa"/>
              <w:right w:w="108" w:type="dxa"/>
            </w:tcMar>
            <w:vAlign w:val="center"/>
          </w:tcPr>
          <w:p w14:paraId="00000053" w14:textId="77777777" w:rsidR="00915C55" w:rsidRDefault="00950912">
            <w:pPr>
              <w:spacing w:before="40" w:after="40"/>
              <w:rPr>
                <w:color w:val="FFFFFF"/>
              </w:rPr>
            </w:pPr>
            <w:r>
              <w:rPr>
                <w:color w:val="FFFFFF"/>
              </w:rPr>
              <w:t>Electricity</w:t>
            </w:r>
          </w:p>
        </w:tc>
        <w:tc>
          <w:tcPr>
            <w:tcW w:w="15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54" w14:textId="77777777" w:rsidR="00915C55" w:rsidRDefault="00950912">
            <w:pPr>
              <w:spacing w:before="40" w:after="40"/>
            </w:pPr>
            <w:r>
              <w:t>Coal retirements</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55" w14:textId="77777777" w:rsidR="00915C55" w:rsidRDefault="00950912">
            <w:pPr>
              <w:spacing w:before="40" w:after="40"/>
            </w:pPr>
            <w:r>
              <w:t>MW Retired</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56" w14:textId="77777777" w:rsidR="00915C55" w:rsidRDefault="00950912">
            <w:pPr>
              <w:spacing w:before="40" w:after="40"/>
              <w:rPr>
                <w:color w:val="262626"/>
                <w:highlight w:val="white"/>
              </w:rPr>
            </w:pPr>
            <w:r>
              <w:rPr>
                <w:color w:val="262626"/>
                <w:highlight w:val="white"/>
              </w:rPr>
              <w:t xml:space="preserve">1540 MW in 2031 </w:t>
            </w:r>
          </w:p>
          <w:p w14:paraId="00000057" w14:textId="77777777" w:rsidR="00915C55" w:rsidRDefault="00950912">
            <w:pPr>
              <w:spacing w:before="40" w:after="40"/>
            </w:pPr>
            <w:r>
              <w:rPr>
                <w:color w:val="262626"/>
                <w:highlight w:val="white"/>
              </w:rPr>
              <w:t xml:space="preserve">(Four Corners) </w:t>
            </w:r>
          </w:p>
        </w:tc>
        <w:tc>
          <w:tcPr>
            <w:tcW w:w="3225" w:type="dxa"/>
            <w:tcBorders>
              <w:top w:val="single" w:sz="4" w:space="0" w:color="000000"/>
              <w:left w:val="single" w:sz="4" w:space="0" w:color="000000"/>
              <w:bottom w:val="single" w:sz="4" w:space="0" w:color="000000"/>
              <w:right w:val="single" w:sz="4" w:space="0" w:color="000000"/>
            </w:tcBorders>
            <w:vAlign w:val="center"/>
          </w:tcPr>
          <w:p w14:paraId="00000058" w14:textId="77777777" w:rsidR="00915C55" w:rsidRDefault="00950912">
            <w:pPr>
              <w:spacing w:before="40" w:after="40"/>
              <w:rPr>
                <w:highlight w:val="white"/>
              </w:rPr>
            </w:pPr>
            <w:r>
              <w:rPr>
                <w:highlight w:val="white"/>
              </w:rPr>
              <w:t>250 MW in 2020 (Escalante) +</w:t>
            </w:r>
          </w:p>
          <w:p w14:paraId="00000059" w14:textId="77777777" w:rsidR="00915C55" w:rsidRDefault="00950912">
            <w:pPr>
              <w:spacing w:before="40" w:after="40"/>
              <w:rPr>
                <w:highlight w:val="white"/>
              </w:rPr>
            </w:pPr>
            <w:r>
              <w:rPr>
                <w:highlight w:val="white"/>
              </w:rPr>
              <w:t>850 MW in 2022 (San Juan) +</w:t>
            </w:r>
          </w:p>
          <w:p w14:paraId="0000005A" w14:textId="77777777" w:rsidR="00915C55" w:rsidRDefault="00950912">
            <w:pPr>
              <w:spacing w:before="40" w:after="40"/>
            </w:pPr>
            <w:r>
              <w:rPr>
                <w:highlight w:val="white"/>
              </w:rPr>
              <w:t xml:space="preserve">1540 MW in 2031 (Four Corners) </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05B" w14:textId="77777777" w:rsidR="00915C55" w:rsidRDefault="00950912">
            <w:pPr>
              <w:spacing w:before="40" w:after="40"/>
              <w:rPr>
                <w:highlight w:val="white"/>
              </w:rPr>
            </w:pPr>
            <w:r>
              <w:rPr>
                <w:highlight w:val="white"/>
              </w:rPr>
              <w:t>Same as Spring 2021 Current Policy</w:t>
            </w:r>
          </w:p>
        </w:tc>
        <w:tc>
          <w:tcPr>
            <w:tcW w:w="2430" w:type="dxa"/>
            <w:tcBorders>
              <w:top w:val="single" w:sz="4" w:space="0" w:color="000000"/>
              <w:left w:val="single" w:sz="4" w:space="0" w:color="000000"/>
              <w:bottom w:val="single" w:sz="4" w:space="0" w:color="000000"/>
              <w:right w:val="single" w:sz="4" w:space="0" w:color="000000"/>
            </w:tcBorders>
            <w:vAlign w:val="center"/>
          </w:tcPr>
          <w:p w14:paraId="0000005C" w14:textId="77777777" w:rsidR="00915C55" w:rsidRDefault="00950912">
            <w:pPr>
              <w:spacing w:before="40" w:after="40"/>
              <w:rPr>
                <w:highlight w:val="white"/>
              </w:rPr>
            </w:pPr>
            <w:r>
              <w:rPr>
                <w:highlight w:val="white"/>
              </w:rPr>
              <w:t>Same as Spring</w:t>
            </w:r>
          </w:p>
          <w:p w14:paraId="0000005D" w14:textId="77777777" w:rsidR="00915C55" w:rsidRDefault="00950912">
            <w:pPr>
              <w:spacing w:before="40" w:after="40"/>
            </w:pPr>
            <w:r>
              <w:rPr>
                <w:highlight w:val="white"/>
              </w:rPr>
              <w:t>2021 Current Policy</w:t>
            </w:r>
          </w:p>
        </w:tc>
      </w:tr>
      <w:tr w:rsidR="00915C55" w14:paraId="30791AB0" w14:textId="77777777">
        <w:trPr>
          <w:trHeight w:val="915"/>
        </w:trPr>
        <w:tc>
          <w:tcPr>
            <w:tcW w:w="1560" w:type="dxa"/>
            <w:vMerge/>
            <w:tcBorders>
              <w:top w:val="single" w:sz="4" w:space="0" w:color="000000"/>
              <w:left w:val="single" w:sz="4" w:space="0" w:color="000000"/>
              <w:bottom w:val="single" w:sz="4" w:space="0" w:color="44546A"/>
              <w:right w:val="single" w:sz="4" w:space="0" w:color="000000"/>
            </w:tcBorders>
            <w:shd w:val="clear" w:color="auto" w:fill="44546A"/>
            <w:tcMar>
              <w:top w:w="0" w:type="dxa"/>
              <w:left w:w="108" w:type="dxa"/>
              <w:bottom w:w="0" w:type="dxa"/>
              <w:right w:w="108" w:type="dxa"/>
            </w:tcMar>
            <w:vAlign w:val="center"/>
          </w:tcPr>
          <w:p w14:paraId="0000005E" w14:textId="77777777" w:rsidR="00915C55" w:rsidRDefault="00915C55">
            <w:pPr>
              <w:pBdr>
                <w:top w:val="nil"/>
                <w:left w:val="nil"/>
                <w:bottom w:val="nil"/>
                <w:right w:val="nil"/>
                <w:between w:val="nil"/>
              </w:pBdr>
              <w:spacing w:before="0" w:line="276" w:lineRule="auto"/>
            </w:pPr>
          </w:p>
        </w:tc>
        <w:tc>
          <w:tcPr>
            <w:tcW w:w="15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5F" w14:textId="77777777" w:rsidR="00915C55" w:rsidRDefault="00950912">
            <w:pPr>
              <w:spacing w:before="40" w:after="40"/>
            </w:pPr>
            <w:r>
              <w:t xml:space="preserve">Clean electricity </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60" w14:textId="77777777" w:rsidR="00915C55" w:rsidRDefault="00950912">
            <w:pPr>
              <w:spacing w:before="40" w:after="40"/>
            </w:pPr>
            <w:r>
              <w:t xml:space="preserve">% Clean Energy Standard (CES) </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61" w14:textId="77777777" w:rsidR="00915C55" w:rsidRDefault="00950912">
            <w:pPr>
              <w:spacing w:before="40" w:after="40"/>
              <w:rPr>
                <w:highlight w:val="white"/>
              </w:rPr>
            </w:pPr>
            <w:r>
              <w:t>20% by 2020</w:t>
            </w:r>
          </w:p>
        </w:tc>
        <w:tc>
          <w:tcPr>
            <w:tcW w:w="3225" w:type="dxa"/>
            <w:tcBorders>
              <w:top w:val="single" w:sz="4" w:space="0" w:color="000000"/>
              <w:left w:val="single" w:sz="4" w:space="0" w:color="000000"/>
              <w:bottom w:val="single" w:sz="4" w:space="0" w:color="000000"/>
              <w:right w:val="single" w:sz="4" w:space="0" w:color="000000"/>
            </w:tcBorders>
            <w:vAlign w:val="center"/>
          </w:tcPr>
          <w:p w14:paraId="00000062" w14:textId="77777777" w:rsidR="00915C55" w:rsidRDefault="00950912">
            <w:pPr>
              <w:spacing w:before="40" w:after="40"/>
            </w:pPr>
            <w:r>
              <w:t>20% by 2020</w:t>
            </w:r>
          </w:p>
          <w:p w14:paraId="00000063" w14:textId="77777777" w:rsidR="00915C55" w:rsidRDefault="00950912">
            <w:pPr>
              <w:spacing w:before="40" w:after="40"/>
            </w:pPr>
            <w:r>
              <w:t>50% by 2030</w:t>
            </w:r>
          </w:p>
          <w:p w14:paraId="00000064" w14:textId="77777777" w:rsidR="00915C55" w:rsidRDefault="00950912">
            <w:pPr>
              <w:spacing w:before="40" w:after="40"/>
            </w:pPr>
            <w:r>
              <w:t>80% by 2040</w:t>
            </w:r>
          </w:p>
          <w:p w14:paraId="00000065" w14:textId="77777777" w:rsidR="00915C55" w:rsidRDefault="00950912">
            <w:pPr>
              <w:spacing w:before="40" w:after="40"/>
              <w:rPr>
                <w:highlight w:val="white"/>
              </w:rPr>
            </w:pPr>
            <w:r>
              <w:t>100% by 2045</w:t>
            </w:r>
            <w:r>
              <w:rPr>
                <w:vertAlign w:val="superscript"/>
              </w:rPr>
              <w:t>15</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066" w14:textId="77777777" w:rsidR="00915C55" w:rsidRDefault="00950912">
            <w:pPr>
              <w:spacing w:before="40" w:after="40"/>
              <w:rPr>
                <w:highlight w:val="white"/>
              </w:rPr>
            </w:pPr>
            <w:r>
              <w:rPr>
                <w:highlight w:val="white"/>
              </w:rPr>
              <w:t>Same as Spring 2021 Current Policy</w:t>
            </w:r>
          </w:p>
        </w:tc>
        <w:tc>
          <w:tcPr>
            <w:tcW w:w="2430" w:type="dxa"/>
            <w:tcBorders>
              <w:top w:val="single" w:sz="4" w:space="0" w:color="000000"/>
              <w:left w:val="single" w:sz="4" w:space="0" w:color="000000"/>
              <w:bottom w:val="single" w:sz="4" w:space="0" w:color="000000"/>
              <w:right w:val="single" w:sz="4" w:space="0" w:color="000000"/>
            </w:tcBorders>
            <w:vAlign w:val="center"/>
          </w:tcPr>
          <w:p w14:paraId="00000067" w14:textId="77777777" w:rsidR="00915C55" w:rsidRDefault="00950912">
            <w:pPr>
              <w:spacing w:before="40" w:after="40"/>
            </w:pPr>
            <w:r>
              <w:t xml:space="preserve">20% by 2020 </w:t>
            </w:r>
          </w:p>
          <w:p w14:paraId="00000068" w14:textId="77777777" w:rsidR="00915C55" w:rsidRDefault="00950912">
            <w:pPr>
              <w:spacing w:before="40" w:after="40"/>
            </w:pPr>
            <w:r>
              <w:t xml:space="preserve">80% by 2030 </w:t>
            </w:r>
          </w:p>
          <w:p w14:paraId="00000069" w14:textId="77777777" w:rsidR="00915C55" w:rsidRDefault="00950912">
            <w:pPr>
              <w:spacing w:before="40" w:after="40"/>
              <w:rPr>
                <w:highlight w:val="white"/>
              </w:rPr>
            </w:pPr>
            <w:r>
              <w:t>100% by 2040</w:t>
            </w:r>
          </w:p>
        </w:tc>
      </w:tr>
      <w:tr w:rsidR="00915C55" w14:paraId="31019C7E" w14:textId="77777777">
        <w:trPr>
          <w:trHeight w:val="915"/>
        </w:trPr>
        <w:tc>
          <w:tcPr>
            <w:tcW w:w="1560" w:type="dxa"/>
            <w:vMerge/>
            <w:tcBorders>
              <w:top w:val="single" w:sz="4" w:space="0" w:color="000000"/>
              <w:left w:val="single" w:sz="4" w:space="0" w:color="000000"/>
              <w:bottom w:val="single" w:sz="4" w:space="0" w:color="44546A"/>
              <w:right w:val="single" w:sz="4" w:space="0" w:color="000000"/>
            </w:tcBorders>
            <w:shd w:val="clear" w:color="auto" w:fill="44546A"/>
            <w:tcMar>
              <w:top w:w="0" w:type="dxa"/>
              <w:left w:w="108" w:type="dxa"/>
              <w:bottom w:w="0" w:type="dxa"/>
              <w:right w:w="108" w:type="dxa"/>
            </w:tcMar>
            <w:vAlign w:val="center"/>
          </w:tcPr>
          <w:p w14:paraId="0000006A" w14:textId="77777777" w:rsidR="00915C55" w:rsidRDefault="00915C55">
            <w:pPr>
              <w:pBdr>
                <w:top w:val="nil"/>
                <w:left w:val="nil"/>
                <w:bottom w:val="nil"/>
                <w:right w:val="nil"/>
                <w:between w:val="nil"/>
              </w:pBdr>
              <w:spacing w:before="0" w:line="276" w:lineRule="auto"/>
              <w:rPr>
                <w:highlight w:val="white"/>
              </w:rPr>
            </w:pPr>
          </w:p>
        </w:tc>
        <w:tc>
          <w:tcPr>
            <w:tcW w:w="15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6B" w14:textId="77777777" w:rsidR="00915C55" w:rsidRDefault="00950912">
            <w:pPr>
              <w:spacing w:before="40" w:after="40"/>
            </w:pPr>
            <w:r>
              <w:t xml:space="preserve">Renewable integration </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6C" w14:textId="77777777" w:rsidR="00915C55" w:rsidRDefault="00950912">
            <w:pPr>
              <w:spacing w:before="40" w:after="40"/>
            </w:pPr>
            <w:r>
              <w:t xml:space="preserve">Demand response (DR), </w:t>
            </w:r>
          </w:p>
          <w:p w14:paraId="0000006D" w14:textId="77777777" w:rsidR="00915C55" w:rsidRDefault="00950912">
            <w:pPr>
              <w:spacing w:before="40" w:after="40"/>
            </w:pPr>
            <w:r>
              <w:t xml:space="preserve">storage, </w:t>
            </w:r>
          </w:p>
          <w:p w14:paraId="0000006E" w14:textId="77777777" w:rsidR="00915C55" w:rsidRDefault="00950912">
            <w:pPr>
              <w:spacing w:before="40" w:after="40"/>
            </w:pPr>
            <w:r>
              <w:t>and transmission</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6F" w14:textId="77777777" w:rsidR="00915C55" w:rsidRDefault="00950912">
            <w:pPr>
              <w:spacing w:before="40" w:after="40"/>
              <w:rPr>
                <w:highlight w:val="white"/>
              </w:rPr>
            </w:pPr>
            <w:r>
              <w:rPr>
                <w:i/>
              </w:rPr>
              <w:t>Downscaled projections from AEO</w:t>
            </w:r>
          </w:p>
        </w:tc>
        <w:tc>
          <w:tcPr>
            <w:tcW w:w="3225" w:type="dxa"/>
            <w:tcBorders>
              <w:top w:val="single" w:sz="4" w:space="0" w:color="000000"/>
              <w:left w:val="single" w:sz="4" w:space="0" w:color="000000"/>
              <w:bottom w:val="single" w:sz="4" w:space="0" w:color="000000"/>
              <w:right w:val="single" w:sz="4" w:space="0" w:color="000000"/>
            </w:tcBorders>
            <w:vAlign w:val="center"/>
          </w:tcPr>
          <w:p w14:paraId="00000070" w14:textId="77777777" w:rsidR="00915C55" w:rsidRDefault="00950912">
            <w:pPr>
              <w:spacing w:before="40" w:after="40"/>
            </w:pPr>
            <w:r>
              <w:t>4% of storage potential in 2022</w:t>
            </w:r>
          </w:p>
          <w:p w14:paraId="00000071" w14:textId="77777777" w:rsidR="00915C55" w:rsidRDefault="00950912">
            <w:pPr>
              <w:spacing w:before="40" w:after="40"/>
              <w:rPr>
                <w:highlight w:val="white"/>
              </w:rPr>
            </w:pPr>
            <w:r>
              <w:t>(300 MW for San Juan replacement)</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072" w14:textId="77777777" w:rsidR="00915C55" w:rsidRDefault="00950912">
            <w:pPr>
              <w:spacing w:before="40" w:after="40"/>
            </w:pPr>
            <w:r>
              <w:t xml:space="preserve">4% of storage potential in 2022 + 12% by </w:t>
            </w:r>
            <w:proofErr w:type="gramStart"/>
            <w:r>
              <w:t>2030;</w:t>
            </w:r>
            <w:proofErr w:type="gramEnd"/>
          </w:p>
          <w:p w14:paraId="00000073" w14:textId="77777777" w:rsidR="00915C55" w:rsidRDefault="00950912">
            <w:pPr>
              <w:spacing w:before="40" w:after="40"/>
            </w:pPr>
            <w:r>
              <w:t xml:space="preserve">100% of DR potential by </w:t>
            </w:r>
            <w:proofErr w:type="gramStart"/>
            <w:r>
              <w:t>2030;</w:t>
            </w:r>
            <w:proofErr w:type="gramEnd"/>
          </w:p>
          <w:p w14:paraId="00000074" w14:textId="77777777" w:rsidR="00915C55" w:rsidRDefault="00950912">
            <w:pPr>
              <w:spacing w:before="40" w:after="40"/>
              <w:rPr>
                <w:highlight w:val="white"/>
              </w:rPr>
            </w:pPr>
            <w:r>
              <w:t>10% increased transmission by 2040</w:t>
            </w:r>
          </w:p>
        </w:tc>
        <w:tc>
          <w:tcPr>
            <w:tcW w:w="2430" w:type="dxa"/>
            <w:tcBorders>
              <w:top w:val="single" w:sz="4" w:space="0" w:color="000000"/>
              <w:left w:val="single" w:sz="4" w:space="0" w:color="000000"/>
              <w:bottom w:val="single" w:sz="4" w:space="0" w:color="000000"/>
              <w:right w:val="single" w:sz="4" w:space="0" w:color="000000"/>
            </w:tcBorders>
            <w:vAlign w:val="center"/>
          </w:tcPr>
          <w:p w14:paraId="00000075" w14:textId="77777777" w:rsidR="00915C55" w:rsidRDefault="00950912">
            <w:pPr>
              <w:spacing w:before="40" w:after="40"/>
              <w:rPr>
                <w:highlight w:val="white"/>
              </w:rPr>
            </w:pPr>
            <w:r>
              <w:rPr>
                <w:highlight w:val="white"/>
              </w:rPr>
              <w:t>Same as Spring</w:t>
            </w:r>
          </w:p>
          <w:p w14:paraId="00000076" w14:textId="77777777" w:rsidR="00915C55" w:rsidRDefault="00950912">
            <w:pPr>
              <w:spacing w:before="40" w:after="40"/>
              <w:rPr>
                <w:highlight w:val="white"/>
              </w:rPr>
            </w:pPr>
            <w:r>
              <w:rPr>
                <w:highlight w:val="white"/>
              </w:rPr>
              <w:t>2021 Proposed</w:t>
            </w:r>
          </w:p>
          <w:p w14:paraId="00000077" w14:textId="77777777" w:rsidR="00915C55" w:rsidRDefault="00950912">
            <w:pPr>
              <w:spacing w:before="40" w:after="40"/>
              <w:rPr>
                <w:highlight w:val="white"/>
              </w:rPr>
            </w:pPr>
            <w:r>
              <w:rPr>
                <w:highlight w:val="white"/>
              </w:rPr>
              <w:t>Policy</w:t>
            </w:r>
          </w:p>
        </w:tc>
      </w:tr>
      <w:tr w:rsidR="00915C55" w14:paraId="25DD5D59" w14:textId="77777777">
        <w:trPr>
          <w:trHeight w:val="915"/>
        </w:trPr>
        <w:tc>
          <w:tcPr>
            <w:tcW w:w="1560" w:type="dxa"/>
            <w:vMerge/>
            <w:tcBorders>
              <w:top w:val="single" w:sz="4" w:space="0" w:color="000000"/>
              <w:left w:val="single" w:sz="4" w:space="0" w:color="000000"/>
              <w:bottom w:val="single" w:sz="4" w:space="0" w:color="44546A"/>
              <w:right w:val="single" w:sz="4" w:space="0" w:color="000000"/>
            </w:tcBorders>
            <w:shd w:val="clear" w:color="auto" w:fill="44546A"/>
            <w:tcMar>
              <w:top w:w="0" w:type="dxa"/>
              <w:left w:w="108" w:type="dxa"/>
              <w:bottom w:w="0" w:type="dxa"/>
              <w:right w:w="108" w:type="dxa"/>
            </w:tcMar>
            <w:vAlign w:val="center"/>
          </w:tcPr>
          <w:p w14:paraId="00000078" w14:textId="77777777" w:rsidR="00915C55" w:rsidRDefault="00915C55">
            <w:pPr>
              <w:pBdr>
                <w:top w:val="nil"/>
                <w:left w:val="nil"/>
                <w:bottom w:val="nil"/>
                <w:right w:val="nil"/>
                <w:between w:val="nil"/>
              </w:pBdr>
              <w:spacing w:before="0" w:line="276" w:lineRule="auto"/>
              <w:rPr>
                <w:highlight w:val="white"/>
              </w:rPr>
            </w:pPr>
          </w:p>
        </w:tc>
        <w:tc>
          <w:tcPr>
            <w:tcW w:w="15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79" w14:textId="77777777" w:rsidR="00915C55" w:rsidRDefault="00950912">
            <w:pPr>
              <w:spacing w:before="40" w:after="40"/>
            </w:pPr>
            <w:r>
              <w:t xml:space="preserve">Distributed solar </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7A" w14:textId="77777777" w:rsidR="00915C55" w:rsidRDefault="00950912">
            <w:pPr>
              <w:spacing w:before="40" w:after="40"/>
            </w:pPr>
            <w:r>
              <w:t xml:space="preserve">Subsidy for distributed solar </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7B" w14:textId="77777777" w:rsidR="00915C55" w:rsidRDefault="00950912">
            <w:pPr>
              <w:spacing w:before="40" w:after="40"/>
              <w:rPr>
                <w:highlight w:val="white"/>
              </w:rPr>
            </w:pPr>
            <w:r>
              <w:rPr>
                <w:highlight w:val="white"/>
              </w:rPr>
              <w:t>None</w:t>
            </w:r>
          </w:p>
        </w:tc>
        <w:tc>
          <w:tcPr>
            <w:tcW w:w="3225" w:type="dxa"/>
            <w:tcBorders>
              <w:top w:val="single" w:sz="4" w:space="0" w:color="000000"/>
              <w:left w:val="single" w:sz="4" w:space="0" w:color="000000"/>
              <w:bottom w:val="single" w:sz="4" w:space="0" w:color="000000"/>
              <w:right w:val="single" w:sz="4" w:space="0" w:color="000000"/>
            </w:tcBorders>
            <w:vAlign w:val="center"/>
          </w:tcPr>
          <w:p w14:paraId="0000007C" w14:textId="77777777" w:rsidR="00915C55" w:rsidRDefault="00950912">
            <w:pPr>
              <w:spacing w:before="40" w:after="40"/>
              <w:rPr>
                <w:highlight w:val="white"/>
              </w:rPr>
            </w:pPr>
            <w:r>
              <w:rPr>
                <w:highlight w:val="white"/>
              </w:rPr>
              <w:t>10%</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07D" w14:textId="77777777" w:rsidR="00915C55" w:rsidRDefault="00950912">
            <w:pPr>
              <w:spacing w:before="40" w:after="40"/>
              <w:rPr>
                <w:highlight w:val="white"/>
              </w:rPr>
            </w:pPr>
            <w:r>
              <w:rPr>
                <w:highlight w:val="white"/>
              </w:rPr>
              <w:t>Same as Spring 2021 Current Policy</w:t>
            </w:r>
          </w:p>
        </w:tc>
        <w:tc>
          <w:tcPr>
            <w:tcW w:w="2430" w:type="dxa"/>
            <w:tcBorders>
              <w:top w:val="single" w:sz="4" w:space="0" w:color="000000"/>
              <w:left w:val="single" w:sz="4" w:space="0" w:color="000000"/>
              <w:bottom w:val="single" w:sz="4" w:space="0" w:color="000000"/>
              <w:right w:val="single" w:sz="4" w:space="0" w:color="000000"/>
            </w:tcBorders>
            <w:vAlign w:val="center"/>
          </w:tcPr>
          <w:p w14:paraId="0000007E" w14:textId="77777777" w:rsidR="00915C55" w:rsidRDefault="00950912">
            <w:pPr>
              <w:spacing w:before="40" w:after="40"/>
            </w:pPr>
            <w:r>
              <w:t>Distributed solar</w:t>
            </w:r>
          </w:p>
          <w:p w14:paraId="0000007F" w14:textId="77777777" w:rsidR="00915C55" w:rsidRDefault="00950912">
            <w:pPr>
              <w:spacing w:before="40" w:after="40"/>
            </w:pPr>
            <w:r>
              <w:t>increases to 5% of</w:t>
            </w:r>
          </w:p>
          <w:p w14:paraId="00000080" w14:textId="77777777" w:rsidR="00915C55" w:rsidRDefault="00950912">
            <w:pPr>
              <w:spacing w:before="40" w:after="40"/>
              <w:rPr>
                <w:highlight w:val="white"/>
              </w:rPr>
            </w:pPr>
            <w:r>
              <w:t>retail sales by 2030</w:t>
            </w:r>
          </w:p>
        </w:tc>
      </w:tr>
      <w:tr w:rsidR="00915C55" w14:paraId="3852F56D" w14:textId="77777777">
        <w:trPr>
          <w:trHeight w:val="710"/>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44546A"/>
            <w:tcMar>
              <w:top w:w="0" w:type="dxa"/>
              <w:left w:w="108" w:type="dxa"/>
              <w:bottom w:w="0" w:type="dxa"/>
              <w:right w:w="108" w:type="dxa"/>
            </w:tcMar>
            <w:vAlign w:val="center"/>
          </w:tcPr>
          <w:p w14:paraId="00000081" w14:textId="77777777" w:rsidR="00915C55" w:rsidRDefault="00950912">
            <w:pPr>
              <w:spacing w:before="40" w:after="40"/>
              <w:rPr>
                <w:color w:val="FFFFFF"/>
              </w:rPr>
            </w:pPr>
            <w:r>
              <w:rPr>
                <w:color w:val="FFFFFF"/>
              </w:rPr>
              <w:t>Buildings</w:t>
            </w:r>
          </w:p>
        </w:tc>
        <w:tc>
          <w:tcPr>
            <w:tcW w:w="15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82" w14:textId="77777777" w:rsidR="00915C55" w:rsidRDefault="00950912">
            <w:pPr>
              <w:spacing w:before="40" w:after="40"/>
            </w:pPr>
            <w:r>
              <w:t>Energy efficiency</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83" w14:textId="77777777" w:rsidR="00915C55" w:rsidRDefault="00950912">
            <w:pPr>
              <w:spacing w:before="40" w:after="40"/>
            </w:pPr>
            <w:r>
              <w:t xml:space="preserve">% </w:t>
            </w:r>
            <w:proofErr w:type="gramStart"/>
            <w:r>
              <w:t>energy</w:t>
            </w:r>
            <w:proofErr w:type="gramEnd"/>
            <w:r>
              <w:t xml:space="preserve"> reduction relative to BAU </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84" w14:textId="77777777" w:rsidR="00915C55" w:rsidRDefault="00950912">
            <w:pPr>
              <w:spacing w:before="40" w:after="40"/>
            </w:pPr>
            <w:r>
              <w:t>None</w:t>
            </w:r>
          </w:p>
        </w:tc>
        <w:tc>
          <w:tcPr>
            <w:tcW w:w="3225" w:type="dxa"/>
            <w:tcBorders>
              <w:top w:val="single" w:sz="4" w:space="0" w:color="000000"/>
              <w:left w:val="single" w:sz="4" w:space="0" w:color="000000"/>
              <w:bottom w:val="single" w:sz="4" w:space="0" w:color="000000"/>
              <w:right w:val="single" w:sz="4" w:space="0" w:color="000000"/>
            </w:tcBorders>
            <w:vAlign w:val="center"/>
          </w:tcPr>
          <w:p w14:paraId="00000085" w14:textId="77777777" w:rsidR="00915C55" w:rsidRDefault="00950912">
            <w:pPr>
              <w:spacing w:before="40" w:after="40"/>
            </w:pPr>
            <w:r>
              <w:t>15% by 2030</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086" w14:textId="77777777" w:rsidR="00915C55" w:rsidRDefault="00950912">
            <w:pPr>
              <w:spacing w:before="40" w:after="40"/>
              <w:rPr>
                <w:highlight w:val="white"/>
              </w:rPr>
            </w:pPr>
            <w:r>
              <w:rPr>
                <w:highlight w:val="white"/>
              </w:rPr>
              <w:t>Same as Spring 2021</w:t>
            </w:r>
          </w:p>
          <w:p w14:paraId="00000087" w14:textId="77777777" w:rsidR="00915C55" w:rsidRDefault="00950912">
            <w:pPr>
              <w:spacing w:before="40" w:after="40"/>
            </w:pPr>
            <w:r>
              <w:rPr>
                <w:highlight w:val="white"/>
              </w:rPr>
              <w:t>Current Policy</w:t>
            </w:r>
          </w:p>
        </w:tc>
        <w:tc>
          <w:tcPr>
            <w:tcW w:w="2430" w:type="dxa"/>
            <w:tcBorders>
              <w:top w:val="single" w:sz="4" w:space="0" w:color="000000"/>
              <w:left w:val="single" w:sz="4" w:space="0" w:color="000000"/>
              <w:bottom w:val="single" w:sz="4" w:space="0" w:color="000000"/>
              <w:right w:val="single" w:sz="4" w:space="0" w:color="000000"/>
            </w:tcBorders>
            <w:vAlign w:val="center"/>
          </w:tcPr>
          <w:p w14:paraId="00000088" w14:textId="77777777" w:rsidR="00915C55" w:rsidRDefault="00950912">
            <w:pPr>
              <w:spacing w:before="40" w:after="40"/>
              <w:rPr>
                <w:highlight w:val="white"/>
              </w:rPr>
            </w:pPr>
            <w:r>
              <w:rPr>
                <w:highlight w:val="white"/>
              </w:rPr>
              <w:t>Same as Spring</w:t>
            </w:r>
          </w:p>
          <w:p w14:paraId="00000089" w14:textId="77777777" w:rsidR="00915C55" w:rsidRDefault="00950912">
            <w:pPr>
              <w:spacing w:before="40" w:after="40"/>
            </w:pPr>
            <w:r>
              <w:rPr>
                <w:highlight w:val="white"/>
              </w:rPr>
              <w:t>2021 Current Policy</w:t>
            </w:r>
          </w:p>
        </w:tc>
      </w:tr>
      <w:tr w:rsidR="00915C55" w14:paraId="619E251F" w14:textId="77777777">
        <w:trPr>
          <w:trHeight w:val="710"/>
        </w:trPr>
        <w:tc>
          <w:tcPr>
            <w:tcW w:w="1560" w:type="dxa"/>
            <w:vMerge/>
            <w:tcBorders>
              <w:top w:val="single" w:sz="4" w:space="0" w:color="000000"/>
              <w:left w:val="single" w:sz="4" w:space="0" w:color="000000"/>
              <w:bottom w:val="single" w:sz="4" w:space="0" w:color="000000"/>
              <w:right w:val="single" w:sz="4" w:space="0" w:color="000000"/>
            </w:tcBorders>
            <w:shd w:val="clear" w:color="auto" w:fill="44546A"/>
            <w:tcMar>
              <w:top w:w="0" w:type="dxa"/>
              <w:left w:w="108" w:type="dxa"/>
              <w:bottom w:w="0" w:type="dxa"/>
              <w:right w:w="108" w:type="dxa"/>
            </w:tcMar>
            <w:vAlign w:val="center"/>
          </w:tcPr>
          <w:p w14:paraId="0000008A" w14:textId="77777777" w:rsidR="00915C55" w:rsidRDefault="00915C55">
            <w:pPr>
              <w:pBdr>
                <w:top w:val="nil"/>
                <w:left w:val="nil"/>
                <w:bottom w:val="nil"/>
                <w:right w:val="nil"/>
                <w:between w:val="nil"/>
              </w:pBdr>
              <w:spacing w:before="0" w:line="276" w:lineRule="auto"/>
            </w:pPr>
          </w:p>
        </w:tc>
        <w:tc>
          <w:tcPr>
            <w:tcW w:w="15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8B" w14:textId="77777777" w:rsidR="00915C55" w:rsidRDefault="00950912">
            <w:pPr>
              <w:spacing w:before="40" w:after="40"/>
            </w:pPr>
            <w:r>
              <w:t>Energy efficiency</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8C" w14:textId="77777777" w:rsidR="00915C55" w:rsidRDefault="00950912">
            <w:pPr>
              <w:spacing w:before="40" w:after="40"/>
            </w:pPr>
            <w:r>
              <w:t xml:space="preserve">% </w:t>
            </w:r>
            <w:proofErr w:type="gramStart"/>
            <w:r>
              <w:t>of</w:t>
            </w:r>
            <w:proofErr w:type="gramEnd"/>
            <w:r>
              <w:t xml:space="preserve"> buildings retrofit </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8D" w14:textId="77777777" w:rsidR="00915C55" w:rsidRDefault="00950912">
            <w:pPr>
              <w:spacing w:before="40" w:after="40"/>
            </w:pPr>
            <w:r>
              <w:t>BAU building stock turnover</w:t>
            </w:r>
          </w:p>
        </w:tc>
        <w:tc>
          <w:tcPr>
            <w:tcW w:w="3225" w:type="dxa"/>
            <w:tcBorders>
              <w:top w:val="single" w:sz="4" w:space="0" w:color="000000"/>
              <w:left w:val="single" w:sz="4" w:space="0" w:color="000000"/>
              <w:bottom w:val="single" w:sz="4" w:space="0" w:color="000000"/>
              <w:right w:val="single" w:sz="4" w:space="0" w:color="000000"/>
            </w:tcBorders>
            <w:vAlign w:val="center"/>
          </w:tcPr>
          <w:p w14:paraId="0000008E" w14:textId="77777777" w:rsidR="00915C55" w:rsidRDefault="00950912">
            <w:pPr>
              <w:spacing w:before="40" w:after="40"/>
            </w:pPr>
            <w:r>
              <w:t>5% of buildings additionally retrofit by 2050</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08F" w14:textId="77777777" w:rsidR="00915C55" w:rsidRDefault="00950912">
            <w:pPr>
              <w:spacing w:before="40" w:after="40"/>
              <w:rPr>
                <w:highlight w:val="white"/>
              </w:rPr>
            </w:pPr>
            <w:r>
              <w:rPr>
                <w:highlight w:val="white"/>
              </w:rPr>
              <w:t>Same as Spring 2021</w:t>
            </w:r>
          </w:p>
          <w:p w14:paraId="00000090" w14:textId="77777777" w:rsidR="00915C55" w:rsidRDefault="00950912">
            <w:pPr>
              <w:spacing w:before="40" w:after="40"/>
              <w:rPr>
                <w:highlight w:val="white"/>
              </w:rPr>
            </w:pPr>
            <w:r>
              <w:rPr>
                <w:highlight w:val="white"/>
              </w:rPr>
              <w:t>Current Policy</w:t>
            </w:r>
          </w:p>
        </w:tc>
        <w:tc>
          <w:tcPr>
            <w:tcW w:w="2430" w:type="dxa"/>
            <w:tcBorders>
              <w:top w:val="single" w:sz="4" w:space="0" w:color="000000"/>
              <w:left w:val="single" w:sz="4" w:space="0" w:color="000000"/>
              <w:bottom w:val="single" w:sz="4" w:space="0" w:color="000000"/>
              <w:right w:val="single" w:sz="4" w:space="0" w:color="000000"/>
            </w:tcBorders>
            <w:vAlign w:val="center"/>
          </w:tcPr>
          <w:p w14:paraId="00000091" w14:textId="77777777" w:rsidR="00915C55" w:rsidRDefault="00950912">
            <w:pPr>
              <w:spacing w:before="40" w:after="40"/>
              <w:rPr>
                <w:highlight w:val="white"/>
              </w:rPr>
            </w:pPr>
            <w:r>
              <w:rPr>
                <w:highlight w:val="white"/>
              </w:rPr>
              <w:t>Same as Spring 2021 Current Policy</w:t>
            </w:r>
          </w:p>
        </w:tc>
      </w:tr>
      <w:tr w:rsidR="00915C55" w14:paraId="0B02FDE4" w14:textId="77777777">
        <w:trPr>
          <w:trHeight w:val="710"/>
        </w:trPr>
        <w:tc>
          <w:tcPr>
            <w:tcW w:w="1560" w:type="dxa"/>
            <w:vMerge/>
            <w:tcBorders>
              <w:top w:val="single" w:sz="4" w:space="0" w:color="000000"/>
              <w:left w:val="single" w:sz="4" w:space="0" w:color="000000"/>
              <w:bottom w:val="single" w:sz="4" w:space="0" w:color="000000"/>
              <w:right w:val="single" w:sz="4" w:space="0" w:color="000000"/>
            </w:tcBorders>
            <w:shd w:val="clear" w:color="auto" w:fill="44546A"/>
            <w:tcMar>
              <w:top w:w="0" w:type="dxa"/>
              <w:left w:w="108" w:type="dxa"/>
              <w:bottom w:w="0" w:type="dxa"/>
              <w:right w:w="108" w:type="dxa"/>
            </w:tcMar>
            <w:vAlign w:val="center"/>
          </w:tcPr>
          <w:p w14:paraId="00000092" w14:textId="77777777" w:rsidR="00915C55" w:rsidRDefault="00915C55">
            <w:pPr>
              <w:pBdr>
                <w:top w:val="nil"/>
                <w:left w:val="nil"/>
                <w:bottom w:val="nil"/>
                <w:right w:val="nil"/>
                <w:between w:val="nil"/>
              </w:pBdr>
              <w:spacing w:before="0" w:line="276" w:lineRule="auto"/>
              <w:rPr>
                <w:highlight w:val="white"/>
              </w:rPr>
            </w:pPr>
          </w:p>
        </w:tc>
        <w:tc>
          <w:tcPr>
            <w:tcW w:w="15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93" w14:textId="77777777" w:rsidR="00915C55" w:rsidRDefault="00950912">
            <w:pPr>
              <w:spacing w:before="40" w:after="40"/>
            </w:pPr>
            <w:r>
              <w:t>Building electrification</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94" w14:textId="77777777" w:rsidR="00915C55" w:rsidRDefault="00950912">
            <w:pPr>
              <w:spacing w:before="40" w:after="40"/>
            </w:pPr>
            <w:r>
              <w:t xml:space="preserve">% </w:t>
            </w:r>
            <w:proofErr w:type="gramStart"/>
            <w:r>
              <w:t>electric</w:t>
            </w:r>
            <w:proofErr w:type="gramEnd"/>
            <w:r>
              <w:t xml:space="preserve"> fuel appliance switching sales</w:t>
            </w:r>
            <w:r>
              <w:rPr>
                <w:vertAlign w:val="superscript"/>
              </w:rPr>
              <w:t>19</w:t>
            </w:r>
            <w:r>
              <w:t xml:space="preserve"> </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95" w14:textId="77777777" w:rsidR="00915C55" w:rsidRDefault="00950912">
            <w:pPr>
              <w:spacing w:before="40" w:after="40"/>
            </w:pPr>
            <w:r>
              <w:t>None</w:t>
            </w:r>
          </w:p>
        </w:tc>
        <w:tc>
          <w:tcPr>
            <w:tcW w:w="3225" w:type="dxa"/>
            <w:tcBorders>
              <w:top w:val="single" w:sz="4" w:space="0" w:color="000000"/>
              <w:left w:val="single" w:sz="4" w:space="0" w:color="000000"/>
              <w:bottom w:val="single" w:sz="4" w:space="0" w:color="000000"/>
              <w:right w:val="single" w:sz="4" w:space="0" w:color="000000"/>
            </w:tcBorders>
            <w:vAlign w:val="center"/>
          </w:tcPr>
          <w:p w14:paraId="00000096" w14:textId="77777777" w:rsidR="00915C55" w:rsidRDefault="00950912">
            <w:pPr>
              <w:spacing w:before="40" w:after="40"/>
            </w:pPr>
            <w:r>
              <w:t>10% by 2030</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097" w14:textId="77777777" w:rsidR="00915C55" w:rsidRDefault="00950912">
            <w:pPr>
              <w:spacing w:before="40" w:after="40"/>
              <w:rPr>
                <w:highlight w:val="white"/>
              </w:rPr>
            </w:pPr>
            <w:r>
              <w:rPr>
                <w:highlight w:val="white"/>
              </w:rPr>
              <w:t>Same as Spring 2021</w:t>
            </w:r>
          </w:p>
          <w:p w14:paraId="00000098" w14:textId="77777777" w:rsidR="00915C55" w:rsidRDefault="00950912">
            <w:pPr>
              <w:spacing w:before="40" w:after="40"/>
              <w:rPr>
                <w:highlight w:val="white"/>
              </w:rPr>
            </w:pPr>
            <w:r>
              <w:rPr>
                <w:highlight w:val="white"/>
              </w:rPr>
              <w:t>Current Policy</w:t>
            </w:r>
          </w:p>
        </w:tc>
        <w:tc>
          <w:tcPr>
            <w:tcW w:w="2430" w:type="dxa"/>
            <w:tcBorders>
              <w:top w:val="single" w:sz="4" w:space="0" w:color="000000"/>
              <w:left w:val="single" w:sz="4" w:space="0" w:color="000000"/>
              <w:bottom w:val="single" w:sz="4" w:space="0" w:color="000000"/>
              <w:right w:val="single" w:sz="4" w:space="0" w:color="000000"/>
            </w:tcBorders>
            <w:vAlign w:val="center"/>
          </w:tcPr>
          <w:p w14:paraId="00000099" w14:textId="77777777" w:rsidR="00915C55" w:rsidRDefault="00950912">
            <w:pPr>
              <w:spacing w:before="40" w:after="40"/>
              <w:rPr>
                <w:highlight w:val="white"/>
              </w:rPr>
            </w:pPr>
            <w:r>
              <w:t>100% for space and water heating by 2030</w:t>
            </w:r>
          </w:p>
        </w:tc>
      </w:tr>
      <w:tr w:rsidR="00915C55" w14:paraId="0CD2CF53" w14:textId="77777777">
        <w:trPr>
          <w:trHeight w:val="1088"/>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44546A"/>
            <w:tcMar>
              <w:top w:w="0" w:type="dxa"/>
              <w:left w:w="108" w:type="dxa"/>
              <w:bottom w:w="0" w:type="dxa"/>
              <w:right w:w="108" w:type="dxa"/>
            </w:tcMar>
            <w:vAlign w:val="center"/>
          </w:tcPr>
          <w:p w14:paraId="0000009A" w14:textId="77777777" w:rsidR="00915C55" w:rsidRDefault="00950912">
            <w:pPr>
              <w:spacing w:before="40" w:after="40"/>
              <w:rPr>
                <w:color w:val="FFFFFF"/>
              </w:rPr>
            </w:pPr>
            <w:r>
              <w:rPr>
                <w:color w:val="FFFFFF"/>
              </w:rPr>
              <w:lastRenderedPageBreak/>
              <w:t>Transportation</w:t>
            </w:r>
          </w:p>
        </w:tc>
        <w:tc>
          <w:tcPr>
            <w:tcW w:w="15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9B" w14:textId="77777777" w:rsidR="00915C55" w:rsidRDefault="00950912">
            <w:pPr>
              <w:spacing w:before="40" w:after="40"/>
            </w:pPr>
            <w:r>
              <w:t>Fuel efficiency</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9C" w14:textId="77777777" w:rsidR="00915C55" w:rsidRDefault="00950912">
            <w:pPr>
              <w:spacing w:before="40" w:after="40"/>
            </w:pPr>
            <w:r>
              <w:t>Light duty</w:t>
            </w:r>
            <w:r>
              <w:rPr>
                <w:b/>
              </w:rPr>
              <w:t xml:space="preserve"> </w:t>
            </w:r>
            <w:r>
              <w:t>vehicle (LDV) fuel economy</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9D" w14:textId="77777777" w:rsidR="00915C55" w:rsidRDefault="00950912">
            <w:pPr>
              <w:spacing w:before="40" w:after="40"/>
            </w:pPr>
            <w:r>
              <w:t>AEO 2021</w:t>
            </w:r>
          </w:p>
        </w:tc>
        <w:tc>
          <w:tcPr>
            <w:tcW w:w="3225" w:type="dxa"/>
            <w:tcBorders>
              <w:top w:val="single" w:sz="4" w:space="0" w:color="000000"/>
              <w:left w:val="single" w:sz="4" w:space="0" w:color="000000"/>
              <w:bottom w:val="single" w:sz="4" w:space="0" w:color="000000"/>
              <w:right w:val="single" w:sz="4" w:space="0" w:color="000000"/>
            </w:tcBorders>
            <w:vAlign w:val="center"/>
          </w:tcPr>
          <w:p w14:paraId="0000009E" w14:textId="77777777" w:rsidR="00915C55" w:rsidRDefault="00950912">
            <w:pPr>
              <w:spacing w:before="40" w:after="40"/>
            </w:pPr>
            <w:r>
              <w:t>Increased 15% by 2026 (</w:t>
            </w:r>
            <w:r>
              <w:rPr>
                <w:b/>
              </w:rPr>
              <w:t>"</w:t>
            </w:r>
            <w:r>
              <w:t>California Compromise”)</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09F" w14:textId="77777777" w:rsidR="00915C55" w:rsidRDefault="00950912">
            <w:pPr>
              <w:spacing w:before="40" w:after="40"/>
              <w:rPr>
                <w:highlight w:val="white"/>
              </w:rPr>
            </w:pPr>
            <w:r>
              <w:rPr>
                <w:highlight w:val="white"/>
              </w:rPr>
              <w:t>Same as Spring 2021</w:t>
            </w:r>
          </w:p>
          <w:p w14:paraId="000000A0" w14:textId="77777777" w:rsidR="00915C55" w:rsidRDefault="00950912">
            <w:pPr>
              <w:spacing w:before="40" w:after="40"/>
            </w:pPr>
            <w:r>
              <w:rPr>
                <w:highlight w:val="white"/>
              </w:rPr>
              <w:t>Current Policy</w:t>
            </w:r>
          </w:p>
        </w:tc>
        <w:tc>
          <w:tcPr>
            <w:tcW w:w="2430" w:type="dxa"/>
            <w:tcBorders>
              <w:top w:val="single" w:sz="4" w:space="0" w:color="000000"/>
              <w:left w:val="single" w:sz="4" w:space="0" w:color="000000"/>
              <w:bottom w:val="single" w:sz="4" w:space="0" w:color="000000"/>
              <w:right w:val="single" w:sz="4" w:space="0" w:color="000000"/>
            </w:tcBorders>
            <w:vAlign w:val="center"/>
          </w:tcPr>
          <w:p w14:paraId="000000A1" w14:textId="77777777" w:rsidR="00915C55" w:rsidRDefault="00950912">
            <w:pPr>
              <w:spacing w:before="40" w:after="40"/>
              <w:rPr>
                <w:highlight w:val="white"/>
              </w:rPr>
            </w:pPr>
            <w:r>
              <w:rPr>
                <w:highlight w:val="white"/>
              </w:rPr>
              <w:t>Same as Spring 2021</w:t>
            </w:r>
          </w:p>
          <w:p w14:paraId="000000A2" w14:textId="77777777" w:rsidR="00915C55" w:rsidRDefault="00950912">
            <w:pPr>
              <w:spacing w:before="40" w:after="40"/>
            </w:pPr>
            <w:r>
              <w:rPr>
                <w:highlight w:val="white"/>
              </w:rPr>
              <w:t>Current Policy</w:t>
            </w:r>
          </w:p>
        </w:tc>
      </w:tr>
      <w:tr w:rsidR="00915C55" w14:paraId="0E685F2C" w14:textId="77777777">
        <w:trPr>
          <w:trHeight w:val="1365"/>
        </w:trPr>
        <w:tc>
          <w:tcPr>
            <w:tcW w:w="1560" w:type="dxa"/>
            <w:vMerge/>
            <w:tcBorders>
              <w:top w:val="single" w:sz="4" w:space="0" w:color="000000"/>
              <w:left w:val="single" w:sz="4" w:space="0" w:color="000000"/>
              <w:bottom w:val="single" w:sz="4" w:space="0" w:color="000000"/>
              <w:right w:val="single" w:sz="4" w:space="0" w:color="000000"/>
            </w:tcBorders>
            <w:shd w:val="clear" w:color="auto" w:fill="44546A"/>
            <w:tcMar>
              <w:top w:w="0" w:type="dxa"/>
              <w:left w:w="108" w:type="dxa"/>
              <w:bottom w:w="0" w:type="dxa"/>
              <w:right w:w="108" w:type="dxa"/>
            </w:tcMar>
            <w:vAlign w:val="center"/>
          </w:tcPr>
          <w:p w14:paraId="000000A3" w14:textId="77777777" w:rsidR="00915C55" w:rsidRDefault="00915C55">
            <w:pPr>
              <w:pBdr>
                <w:top w:val="nil"/>
                <w:left w:val="nil"/>
                <w:bottom w:val="nil"/>
                <w:right w:val="nil"/>
                <w:between w:val="nil"/>
              </w:pBdr>
              <w:spacing w:before="0" w:line="276" w:lineRule="auto"/>
            </w:pPr>
          </w:p>
        </w:tc>
        <w:tc>
          <w:tcPr>
            <w:tcW w:w="15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A4" w14:textId="77777777" w:rsidR="00915C55" w:rsidRDefault="00950912">
            <w:pPr>
              <w:spacing w:before="40" w:after="40"/>
            </w:pPr>
            <w:r>
              <w:t xml:space="preserve">Smart growth </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A5" w14:textId="77777777" w:rsidR="00915C55" w:rsidRDefault="00950912">
            <w:pPr>
              <w:spacing w:before="40" w:after="40"/>
            </w:pPr>
            <w:r>
              <w:t>% Passenger LDV vehicle miles traveled (VMT) reduction from BAU</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A6" w14:textId="77777777" w:rsidR="00915C55" w:rsidRDefault="00950912">
            <w:pPr>
              <w:spacing w:before="40" w:after="40"/>
            </w:pPr>
            <w:r>
              <w:t>None</w:t>
            </w:r>
          </w:p>
        </w:tc>
        <w:tc>
          <w:tcPr>
            <w:tcW w:w="3225" w:type="dxa"/>
            <w:tcBorders>
              <w:top w:val="single" w:sz="4" w:space="0" w:color="000000"/>
              <w:left w:val="single" w:sz="4" w:space="0" w:color="000000"/>
              <w:bottom w:val="single" w:sz="4" w:space="0" w:color="000000"/>
              <w:right w:val="single" w:sz="4" w:space="0" w:color="000000"/>
            </w:tcBorders>
            <w:vAlign w:val="center"/>
          </w:tcPr>
          <w:p w14:paraId="000000A7" w14:textId="77777777" w:rsidR="00915C55" w:rsidRDefault="00950912">
            <w:pPr>
              <w:spacing w:before="40" w:after="40"/>
            </w:pPr>
            <w:r>
              <w:t>None</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0A8" w14:textId="77777777" w:rsidR="00915C55" w:rsidRDefault="00950912">
            <w:pPr>
              <w:spacing w:before="40" w:after="40"/>
              <w:rPr>
                <w:highlight w:val="white"/>
              </w:rPr>
            </w:pPr>
            <w:r>
              <w:t>20% by 2030</w:t>
            </w:r>
          </w:p>
        </w:tc>
        <w:tc>
          <w:tcPr>
            <w:tcW w:w="2430" w:type="dxa"/>
            <w:tcBorders>
              <w:top w:val="single" w:sz="4" w:space="0" w:color="000000"/>
              <w:left w:val="single" w:sz="4" w:space="0" w:color="000000"/>
              <w:bottom w:val="single" w:sz="4" w:space="0" w:color="000000"/>
              <w:right w:val="single" w:sz="4" w:space="0" w:color="000000"/>
            </w:tcBorders>
            <w:vAlign w:val="center"/>
          </w:tcPr>
          <w:p w14:paraId="000000A9" w14:textId="77777777" w:rsidR="00915C55" w:rsidRDefault="00950912">
            <w:pPr>
              <w:spacing w:before="40" w:after="40"/>
              <w:rPr>
                <w:highlight w:val="white"/>
              </w:rPr>
            </w:pPr>
            <w:r>
              <w:rPr>
                <w:highlight w:val="white"/>
              </w:rPr>
              <w:t>Same as Spring</w:t>
            </w:r>
          </w:p>
          <w:p w14:paraId="000000AA" w14:textId="77777777" w:rsidR="00915C55" w:rsidRDefault="00950912">
            <w:pPr>
              <w:spacing w:before="40" w:after="40"/>
              <w:rPr>
                <w:highlight w:val="white"/>
              </w:rPr>
            </w:pPr>
            <w:r>
              <w:rPr>
                <w:highlight w:val="white"/>
              </w:rPr>
              <w:t>2021 Proposed</w:t>
            </w:r>
          </w:p>
          <w:p w14:paraId="000000AB" w14:textId="77777777" w:rsidR="00915C55" w:rsidRDefault="00950912">
            <w:pPr>
              <w:spacing w:before="40" w:after="40"/>
              <w:rPr>
                <w:highlight w:val="white"/>
              </w:rPr>
            </w:pPr>
            <w:r>
              <w:rPr>
                <w:highlight w:val="white"/>
              </w:rPr>
              <w:t>Policy</w:t>
            </w:r>
          </w:p>
        </w:tc>
      </w:tr>
      <w:tr w:rsidR="00915C55" w14:paraId="5517E16A" w14:textId="77777777">
        <w:trPr>
          <w:trHeight w:val="1088"/>
        </w:trPr>
        <w:tc>
          <w:tcPr>
            <w:tcW w:w="1560" w:type="dxa"/>
            <w:vMerge/>
            <w:tcBorders>
              <w:top w:val="single" w:sz="4" w:space="0" w:color="000000"/>
              <w:left w:val="single" w:sz="4" w:space="0" w:color="000000"/>
              <w:bottom w:val="single" w:sz="4" w:space="0" w:color="000000"/>
              <w:right w:val="single" w:sz="4" w:space="0" w:color="000000"/>
            </w:tcBorders>
            <w:shd w:val="clear" w:color="auto" w:fill="44546A"/>
            <w:tcMar>
              <w:top w:w="0" w:type="dxa"/>
              <w:left w:w="108" w:type="dxa"/>
              <w:bottom w:w="0" w:type="dxa"/>
              <w:right w:w="108" w:type="dxa"/>
            </w:tcMar>
            <w:vAlign w:val="center"/>
          </w:tcPr>
          <w:p w14:paraId="000000AC" w14:textId="77777777" w:rsidR="00915C55" w:rsidRDefault="00915C55">
            <w:pPr>
              <w:pBdr>
                <w:top w:val="nil"/>
                <w:left w:val="nil"/>
                <w:bottom w:val="nil"/>
                <w:right w:val="nil"/>
                <w:between w:val="nil"/>
              </w:pBdr>
              <w:spacing w:before="0" w:line="276" w:lineRule="auto"/>
              <w:rPr>
                <w:highlight w:val="white"/>
              </w:rPr>
            </w:pPr>
          </w:p>
        </w:tc>
        <w:tc>
          <w:tcPr>
            <w:tcW w:w="15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AD" w14:textId="77777777" w:rsidR="00915C55" w:rsidRDefault="00950912">
            <w:pPr>
              <w:spacing w:before="40" w:after="40"/>
            </w:pPr>
            <w:r>
              <w:t xml:space="preserve">Vehicle electrification </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AE" w14:textId="77777777" w:rsidR="00915C55" w:rsidRDefault="00950912">
            <w:pPr>
              <w:spacing w:before="40" w:after="40"/>
            </w:pPr>
            <w:r>
              <w:t>Number of new (DCFC) EV chargers</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AF" w14:textId="77777777" w:rsidR="00915C55" w:rsidRDefault="00950912">
            <w:pPr>
              <w:spacing w:before="40" w:after="40"/>
            </w:pPr>
            <w:r>
              <w:t>None</w:t>
            </w:r>
          </w:p>
        </w:tc>
        <w:tc>
          <w:tcPr>
            <w:tcW w:w="3225" w:type="dxa"/>
            <w:tcBorders>
              <w:top w:val="single" w:sz="4" w:space="0" w:color="000000"/>
              <w:left w:val="single" w:sz="4" w:space="0" w:color="000000"/>
              <w:bottom w:val="single" w:sz="4" w:space="0" w:color="000000"/>
              <w:right w:val="single" w:sz="4" w:space="0" w:color="000000"/>
            </w:tcBorders>
            <w:vAlign w:val="center"/>
          </w:tcPr>
          <w:p w14:paraId="000000B0" w14:textId="77777777" w:rsidR="00915C55" w:rsidRDefault="00950912">
            <w:pPr>
              <w:spacing w:before="40" w:after="40"/>
            </w:pPr>
            <w:r>
              <w:t>20 per 100,000 people by 2040</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0B1" w14:textId="77777777" w:rsidR="00915C55" w:rsidRDefault="00950912">
            <w:pPr>
              <w:spacing w:before="40" w:after="40"/>
              <w:rPr>
                <w:highlight w:val="white"/>
              </w:rPr>
            </w:pPr>
            <w:r>
              <w:t>140 per 100,000 by 2030</w:t>
            </w:r>
          </w:p>
        </w:tc>
        <w:tc>
          <w:tcPr>
            <w:tcW w:w="2430" w:type="dxa"/>
            <w:tcBorders>
              <w:top w:val="single" w:sz="4" w:space="0" w:color="000000"/>
              <w:left w:val="single" w:sz="4" w:space="0" w:color="000000"/>
              <w:bottom w:val="single" w:sz="4" w:space="0" w:color="000000"/>
              <w:right w:val="single" w:sz="4" w:space="0" w:color="000000"/>
            </w:tcBorders>
            <w:vAlign w:val="center"/>
          </w:tcPr>
          <w:p w14:paraId="000000B2" w14:textId="77777777" w:rsidR="00915C55" w:rsidRDefault="00950912">
            <w:pPr>
              <w:spacing w:before="40" w:after="40"/>
              <w:rPr>
                <w:highlight w:val="white"/>
              </w:rPr>
            </w:pPr>
            <w:r>
              <w:rPr>
                <w:highlight w:val="white"/>
              </w:rPr>
              <w:t>Same as Spring</w:t>
            </w:r>
          </w:p>
          <w:p w14:paraId="000000B3" w14:textId="77777777" w:rsidR="00915C55" w:rsidRDefault="00950912">
            <w:pPr>
              <w:spacing w:before="40" w:after="40"/>
              <w:rPr>
                <w:highlight w:val="white"/>
              </w:rPr>
            </w:pPr>
            <w:r>
              <w:rPr>
                <w:highlight w:val="white"/>
              </w:rPr>
              <w:t>2021 Proposed</w:t>
            </w:r>
          </w:p>
          <w:p w14:paraId="000000B4" w14:textId="77777777" w:rsidR="00915C55" w:rsidRDefault="00950912">
            <w:pPr>
              <w:spacing w:before="40" w:after="40"/>
              <w:rPr>
                <w:highlight w:val="white"/>
              </w:rPr>
            </w:pPr>
            <w:r>
              <w:rPr>
                <w:highlight w:val="white"/>
              </w:rPr>
              <w:t>Policy</w:t>
            </w:r>
          </w:p>
        </w:tc>
      </w:tr>
      <w:tr w:rsidR="00915C55" w14:paraId="102F95D3" w14:textId="77777777">
        <w:trPr>
          <w:trHeight w:val="1088"/>
        </w:trPr>
        <w:tc>
          <w:tcPr>
            <w:tcW w:w="1560" w:type="dxa"/>
            <w:vMerge/>
            <w:tcBorders>
              <w:top w:val="single" w:sz="4" w:space="0" w:color="000000"/>
              <w:left w:val="single" w:sz="4" w:space="0" w:color="000000"/>
              <w:bottom w:val="single" w:sz="4" w:space="0" w:color="000000"/>
              <w:right w:val="single" w:sz="4" w:space="0" w:color="000000"/>
            </w:tcBorders>
            <w:shd w:val="clear" w:color="auto" w:fill="44546A"/>
            <w:tcMar>
              <w:top w:w="0" w:type="dxa"/>
              <w:left w:w="108" w:type="dxa"/>
              <w:bottom w:w="0" w:type="dxa"/>
              <w:right w:w="108" w:type="dxa"/>
            </w:tcMar>
            <w:vAlign w:val="center"/>
          </w:tcPr>
          <w:p w14:paraId="000000B5" w14:textId="77777777" w:rsidR="00915C55" w:rsidRDefault="00915C55">
            <w:pPr>
              <w:pBdr>
                <w:top w:val="nil"/>
                <w:left w:val="nil"/>
                <w:bottom w:val="nil"/>
                <w:right w:val="nil"/>
                <w:between w:val="nil"/>
              </w:pBdr>
              <w:spacing w:before="0" w:line="276" w:lineRule="auto"/>
              <w:rPr>
                <w:highlight w:val="white"/>
              </w:rPr>
            </w:pPr>
          </w:p>
        </w:tc>
        <w:tc>
          <w:tcPr>
            <w:tcW w:w="15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B6" w14:textId="77777777" w:rsidR="00915C55" w:rsidRDefault="00950912">
            <w:pPr>
              <w:spacing w:before="40" w:after="40"/>
            </w:pPr>
            <w:r>
              <w:t xml:space="preserve">Vehicle electrification </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B7" w14:textId="77777777" w:rsidR="00915C55" w:rsidRDefault="00950912">
            <w:pPr>
              <w:spacing w:before="40" w:after="40"/>
            </w:pPr>
            <w:r>
              <w:t>ZEV sales standard for HDVs</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B8" w14:textId="77777777" w:rsidR="00915C55" w:rsidRDefault="00950912">
            <w:pPr>
              <w:spacing w:before="40" w:after="40"/>
            </w:pPr>
            <w:r>
              <w:t>None (sales reach 22% by 2030 from economic adoption)</w:t>
            </w:r>
          </w:p>
        </w:tc>
        <w:tc>
          <w:tcPr>
            <w:tcW w:w="3225" w:type="dxa"/>
            <w:tcBorders>
              <w:top w:val="single" w:sz="4" w:space="0" w:color="000000"/>
              <w:left w:val="single" w:sz="4" w:space="0" w:color="000000"/>
              <w:bottom w:val="single" w:sz="4" w:space="0" w:color="000000"/>
              <w:right w:val="single" w:sz="4" w:space="0" w:color="000000"/>
            </w:tcBorders>
            <w:vAlign w:val="center"/>
          </w:tcPr>
          <w:p w14:paraId="000000B9" w14:textId="77777777" w:rsidR="00915C55" w:rsidRDefault="00950912">
            <w:pPr>
              <w:spacing w:before="40" w:after="40"/>
            </w:pPr>
            <w:r>
              <w:t>Same as 2018 BAU</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0BA" w14:textId="77777777" w:rsidR="00915C55" w:rsidRDefault="00950912">
            <w:pPr>
              <w:spacing w:before="40" w:after="40"/>
              <w:rPr>
                <w:highlight w:val="white"/>
              </w:rPr>
            </w:pPr>
            <w:r>
              <w:t>60% by 2035</w:t>
            </w:r>
          </w:p>
        </w:tc>
        <w:tc>
          <w:tcPr>
            <w:tcW w:w="2430" w:type="dxa"/>
            <w:tcBorders>
              <w:top w:val="single" w:sz="4" w:space="0" w:color="000000"/>
              <w:left w:val="single" w:sz="4" w:space="0" w:color="000000"/>
              <w:bottom w:val="single" w:sz="4" w:space="0" w:color="000000"/>
              <w:right w:val="single" w:sz="4" w:space="0" w:color="000000"/>
            </w:tcBorders>
            <w:vAlign w:val="center"/>
          </w:tcPr>
          <w:p w14:paraId="000000BB" w14:textId="77777777" w:rsidR="00915C55" w:rsidRDefault="00950912">
            <w:pPr>
              <w:spacing w:before="40" w:after="40"/>
              <w:rPr>
                <w:highlight w:val="white"/>
              </w:rPr>
            </w:pPr>
            <w:r>
              <w:t>100% by 2035</w:t>
            </w:r>
          </w:p>
        </w:tc>
      </w:tr>
      <w:tr w:rsidR="00915C55" w14:paraId="0C936BDD" w14:textId="77777777">
        <w:trPr>
          <w:trHeight w:val="1088"/>
        </w:trPr>
        <w:tc>
          <w:tcPr>
            <w:tcW w:w="1560" w:type="dxa"/>
            <w:vMerge/>
            <w:tcBorders>
              <w:top w:val="single" w:sz="4" w:space="0" w:color="000000"/>
              <w:left w:val="single" w:sz="4" w:space="0" w:color="000000"/>
              <w:bottom w:val="single" w:sz="4" w:space="0" w:color="000000"/>
              <w:right w:val="single" w:sz="4" w:space="0" w:color="000000"/>
            </w:tcBorders>
            <w:shd w:val="clear" w:color="auto" w:fill="44546A"/>
            <w:tcMar>
              <w:top w:w="0" w:type="dxa"/>
              <w:left w:w="108" w:type="dxa"/>
              <w:bottom w:w="0" w:type="dxa"/>
              <w:right w:w="108" w:type="dxa"/>
            </w:tcMar>
            <w:vAlign w:val="center"/>
          </w:tcPr>
          <w:p w14:paraId="000000BC" w14:textId="77777777" w:rsidR="00915C55" w:rsidRDefault="00915C55">
            <w:pPr>
              <w:pBdr>
                <w:top w:val="nil"/>
                <w:left w:val="nil"/>
                <w:bottom w:val="nil"/>
                <w:right w:val="nil"/>
                <w:between w:val="nil"/>
              </w:pBdr>
              <w:spacing w:before="0" w:line="276" w:lineRule="auto"/>
              <w:rPr>
                <w:highlight w:val="white"/>
              </w:rPr>
            </w:pPr>
          </w:p>
        </w:tc>
        <w:tc>
          <w:tcPr>
            <w:tcW w:w="15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BD" w14:textId="77777777" w:rsidR="00915C55" w:rsidRDefault="00950912">
            <w:pPr>
              <w:spacing w:before="40" w:after="40"/>
            </w:pPr>
            <w:r>
              <w:t>Vehicle electrification</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BE" w14:textId="77777777" w:rsidR="00915C55" w:rsidRDefault="00950912">
            <w:pPr>
              <w:spacing w:before="40" w:after="40"/>
            </w:pPr>
            <w:r>
              <w:t xml:space="preserve">ZEV sales standard for HDVs </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BF" w14:textId="77777777" w:rsidR="00915C55" w:rsidRDefault="00950912">
            <w:pPr>
              <w:spacing w:before="40" w:after="40"/>
            </w:pPr>
            <w:r>
              <w:t>None</w:t>
            </w:r>
          </w:p>
        </w:tc>
        <w:tc>
          <w:tcPr>
            <w:tcW w:w="3225" w:type="dxa"/>
            <w:tcBorders>
              <w:top w:val="single" w:sz="4" w:space="0" w:color="000000"/>
              <w:left w:val="single" w:sz="4" w:space="0" w:color="000000"/>
              <w:bottom w:val="single" w:sz="4" w:space="0" w:color="000000"/>
              <w:right w:val="single" w:sz="4" w:space="0" w:color="000000"/>
            </w:tcBorders>
            <w:vAlign w:val="center"/>
          </w:tcPr>
          <w:p w14:paraId="000000C0" w14:textId="77777777" w:rsidR="00915C55" w:rsidRDefault="00950912">
            <w:pPr>
              <w:spacing w:before="40" w:after="40"/>
            </w:pPr>
            <w:r>
              <w:t>Same as 2018 BAU</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0C1" w14:textId="77777777" w:rsidR="00915C55" w:rsidRDefault="00950912">
            <w:pPr>
              <w:spacing w:before="40" w:after="40"/>
              <w:rPr>
                <w:highlight w:val="white"/>
              </w:rPr>
            </w:pPr>
            <w:r>
              <w:t>Same as 2018 BAU</w:t>
            </w:r>
          </w:p>
        </w:tc>
        <w:tc>
          <w:tcPr>
            <w:tcW w:w="2430" w:type="dxa"/>
            <w:tcBorders>
              <w:top w:val="single" w:sz="4" w:space="0" w:color="000000"/>
              <w:left w:val="single" w:sz="4" w:space="0" w:color="000000"/>
              <w:bottom w:val="single" w:sz="4" w:space="0" w:color="000000"/>
              <w:right w:val="single" w:sz="4" w:space="0" w:color="000000"/>
            </w:tcBorders>
            <w:vAlign w:val="center"/>
          </w:tcPr>
          <w:p w14:paraId="000000C2" w14:textId="77777777" w:rsidR="00915C55" w:rsidRDefault="00950912">
            <w:pPr>
              <w:spacing w:before="40" w:after="40"/>
              <w:rPr>
                <w:highlight w:val="white"/>
              </w:rPr>
            </w:pPr>
            <w:r>
              <w:t>100% by 2045</w:t>
            </w:r>
          </w:p>
        </w:tc>
      </w:tr>
      <w:tr w:rsidR="00915C55" w14:paraId="0E9DB735" w14:textId="77777777">
        <w:trPr>
          <w:trHeight w:val="1088"/>
        </w:trPr>
        <w:tc>
          <w:tcPr>
            <w:tcW w:w="1560" w:type="dxa"/>
            <w:vMerge/>
            <w:tcBorders>
              <w:top w:val="single" w:sz="4" w:space="0" w:color="000000"/>
              <w:left w:val="single" w:sz="4" w:space="0" w:color="000000"/>
              <w:bottom w:val="single" w:sz="4" w:space="0" w:color="000000"/>
              <w:right w:val="single" w:sz="4" w:space="0" w:color="000000"/>
            </w:tcBorders>
            <w:shd w:val="clear" w:color="auto" w:fill="44546A"/>
            <w:tcMar>
              <w:top w:w="0" w:type="dxa"/>
              <w:left w:w="108" w:type="dxa"/>
              <w:bottom w:w="0" w:type="dxa"/>
              <w:right w:w="108" w:type="dxa"/>
            </w:tcMar>
            <w:vAlign w:val="center"/>
          </w:tcPr>
          <w:p w14:paraId="000000C3" w14:textId="77777777" w:rsidR="00915C55" w:rsidRDefault="00915C55">
            <w:pPr>
              <w:pBdr>
                <w:top w:val="nil"/>
                <w:left w:val="nil"/>
                <w:bottom w:val="nil"/>
                <w:right w:val="nil"/>
                <w:between w:val="nil"/>
              </w:pBdr>
              <w:spacing w:before="0" w:line="276" w:lineRule="auto"/>
              <w:rPr>
                <w:highlight w:val="white"/>
              </w:rPr>
            </w:pPr>
          </w:p>
        </w:tc>
        <w:tc>
          <w:tcPr>
            <w:tcW w:w="15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C4" w14:textId="77777777" w:rsidR="00915C55" w:rsidRDefault="00950912">
            <w:pPr>
              <w:spacing w:before="40" w:after="40"/>
            </w:pPr>
            <w:r>
              <w:t xml:space="preserve">Clean vehicle fuels </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C5" w14:textId="77777777" w:rsidR="00915C55" w:rsidRDefault="00950912">
            <w:pPr>
              <w:spacing w:before="40" w:after="40"/>
            </w:pPr>
            <w:r>
              <w:t>LCFS Carbon Intensity Reduction</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C6" w14:textId="77777777" w:rsidR="00915C55" w:rsidRDefault="00950912">
            <w:pPr>
              <w:spacing w:before="40" w:after="40"/>
            </w:pPr>
            <w:r>
              <w:t>0%</w:t>
            </w:r>
          </w:p>
        </w:tc>
        <w:tc>
          <w:tcPr>
            <w:tcW w:w="3225" w:type="dxa"/>
            <w:tcBorders>
              <w:top w:val="single" w:sz="4" w:space="0" w:color="000000"/>
              <w:left w:val="single" w:sz="4" w:space="0" w:color="000000"/>
              <w:bottom w:val="single" w:sz="4" w:space="0" w:color="000000"/>
              <w:right w:val="single" w:sz="4" w:space="0" w:color="000000"/>
            </w:tcBorders>
            <w:vAlign w:val="center"/>
          </w:tcPr>
          <w:p w14:paraId="000000C7" w14:textId="77777777" w:rsidR="00915C55" w:rsidRDefault="00950912">
            <w:pPr>
              <w:spacing w:before="40" w:after="40"/>
            </w:pPr>
            <w:r>
              <w:t>0%</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0C8" w14:textId="77777777" w:rsidR="00915C55" w:rsidRDefault="00950912">
            <w:pPr>
              <w:spacing w:before="40" w:after="40"/>
              <w:rPr>
                <w:highlight w:val="white"/>
              </w:rPr>
            </w:pPr>
            <w:r>
              <w:rPr>
                <w:highlight w:val="white"/>
              </w:rPr>
              <w:t>0%</w:t>
            </w:r>
          </w:p>
        </w:tc>
        <w:tc>
          <w:tcPr>
            <w:tcW w:w="2430" w:type="dxa"/>
            <w:tcBorders>
              <w:top w:val="single" w:sz="4" w:space="0" w:color="000000"/>
              <w:left w:val="single" w:sz="4" w:space="0" w:color="000000"/>
              <w:bottom w:val="single" w:sz="4" w:space="0" w:color="000000"/>
              <w:right w:val="single" w:sz="4" w:space="0" w:color="000000"/>
            </w:tcBorders>
            <w:vAlign w:val="center"/>
          </w:tcPr>
          <w:p w14:paraId="000000C9" w14:textId="77777777" w:rsidR="00915C55" w:rsidRDefault="00950912">
            <w:pPr>
              <w:spacing w:before="40" w:after="40"/>
            </w:pPr>
            <w:r>
              <w:t>20%</w:t>
            </w:r>
          </w:p>
        </w:tc>
      </w:tr>
      <w:tr w:rsidR="00915C55" w14:paraId="538A2F64" w14:textId="77777777">
        <w:trPr>
          <w:trHeight w:val="1088"/>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44546A"/>
            <w:tcMar>
              <w:top w:w="0" w:type="dxa"/>
              <w:left w:w="108" w:type="dxa"/>
              <w:bottom w:w="0" w:type="dxa"/>
              <w:right w:w="108" w:type="dxa"/>
            </w:tcMar>
            <w:vAlign w:val="center"/>
          </w:tcPr>
          <w:p w14:paraId="000000CA" w14:textId="77777777" w:rsidR="00915C55" w:rsidRDefault="00950912">
            <w:pPr>
              <w:spacing w:before="40" w:after="40"/>
              <w:rPr>
                <w:color w:val="FFFFFF"/>
              </w:rPr>
            </w:pPr>
            <w:r>
              <w:rPr>
                <w:color w:val="FFFFFF"/>
              </w:rPr>
              <w:t>Industry</w:t>
            </w:r>
          </w:p>
        </w:tc>
        <w:tc>
          <w:tcPr>
            <w:tcW w:w="1500" w:type="dxa"/>
            <w:tcBorders>
              <w:top w:val="nil"/>
              <w:left w:val="nil"/>
              <w:bottom w:val="single" w:sz="8" w:space="0" w:color="999999"/>
              <w:right w:val="single" w:sz="8" w:space="0" w:color="999999"/>
            </w:tcBorders>
            <w:shd w:val="clear" w:color="auto" w:fill="auto"/>
            <w:tcMar>
              <w:top w:w="0" w:type="dxa"/>
              <w:left w:w="0" w:type="dxa"/>
              <w:bottom w:w="0" w:type="dxa"/>
              <w:right w:w="0" w:type="dxa"/>
            </w:tcMar>
            <w:vAlign w:val="center"/>
          </w:tcPr>
          <w:p w14:paraId="000000CB" w14:textId="77777777" w:rsidR="00915C55" w:rsidRDefault="00950912">
            <w:pPr>
              <w:widowControl/>
              <w:pBdr>
                <w:top w:val="none" w:sz="0" w:space="0" w:color="000000"/>
                <w:left w:val="none" w:sz="0" w:space="0" w:color="000000"/>
                <w:bottom w:val="none" w:sz="0" w:space="0" w:color="000000"/>
                <w:right w:val="none" w:sz="0" w:space="0" w:color="000000"/>
                <w:between w:val="none" w:sz="0" w:space="0" w:color="000000"/>
              </w:pBdr>
              <w:spacing w:before="0"/>
              <w:jc w:val="center"/>
            </w:pPr>
            <w:r>
              <w:t>Fugitive</w:t>
            </w:r>
          </w:p>
          <w:p w14:paraId="000000CC" w14:textId="77777777" w:rsidR="00915C55" w:rsidRDefault="00950912">
            <w:pPr>
              <w:widowControl/>
              <w:pBdr>
                <w:top w:val="none" w:sz="0" w:space="0" w:color="000000"/>
                <w:left w:val="none" w:sz="0" w:space="0" w:color="000000"/>
                <w:bottom w:val="none" w:sz="0" w:space="0" w:color="000000"/>
                <w:right w:val="none" w:sz="0" w:space="0" w:color="000000"/>
                <w:between w:val="none" w:sz="0" w:space="0" w:color="000000"/>
              </w:pBdr>
              <w:spacing w:before="0"/>
              <w:jc w:val="center"/>
            </w:pPr>
            <w:r>
              <w:t xml:space="preserve">methane abatement </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CD" w14:textId="77777777" w:rsidR="00915C55" w:rsidRDefault="00950912">
            <w:pPr>
              <w:spacing w:before="40" w:after="40"/>
            </w:pPr>
            <w:r>
              <w:t xml:space="preserve">% </w:t>
            </w:r>
            <w:proofErr w:type="gramStart"/>
            <w:r>
              <w:t>of</w:t>
            </w:r>
            <w:proofErr w:type="gramEnd"/>
            <w:r>
              <w:t xml:space="preserve"> potential abatement of oil and gas methane</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CE" w14:textId="77777777" w:rsidR="00915C55" w:rsidRDefault="00950912">
            <w:pPr>
              <w:spacing w:before="40" w:after="40"/>
            </w:pPr>
            <w:r>
              <w:t>Flat emissions based on 2018 Inventory Baseline scenario</w:t>
            </w:r>
          </w:p>
        </w:tc>
        <w:tc>
          <w:tcPr>
            <w:tcW w:w="3225" w:type="dxa"/>
            <w:tcBorders>
              <w:top w:val="single" w:sz="4" w:space="0" w:color="000000"/>
              <w:left w:val="single" w:sz="4" w:space="0" w:color="000000"/>
              <w:bottom w:val="single" w:sz="4" w:space="0" w:color="000000"/>
              <w:right w:val="single" w:sz="4" w:space="0" w:color="000000"/>
            </w:tcBorders>
            <w:vAlign w:val="center"/>
          </w:tcPr>
          <w:p w14:paraId="000000CF" w14:textId="77777777" w:rsidR="00915C55" w:rsidRDefault="00950912">
            <w:pPr>
              <w:spacing w:before="40" w:after="40"/>
            </w:pPr>
            <w:r>
              <w:t>80% for methane currently vented by</w:t>
            </w:r>
          </w:p>
          <w:p w14:paraId="000000D0" w14:textId="77777777" w:rsidR="00915C55" w:rsidRDefault="00950912">
            <w:pPr>
              <w:spacing w:before="40" w:after="40"/>
            </w:pPr>
            <w:r>
              <w:t>2026</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0D1" w14:textId="77777777" w:rsidR="00915C55" w:rsidRDefault="00950912">
            <w:pPr>
              <w:spacing w:before="40" w:after="40"/>
            </w:pPr>
            <w:r>
              <w:t>80% for all methane leaks by 2030</w:t>
            </w:r>
          </w:p>
        </w:tc>
        <w:tc>
          <w:tcPr>
            <w:tcW w:w="2430" w:type="dxa"/>
            <w:tcBorders>
              <w:top w:val="single" w:sz="4" w:space="0" w:color="000000"/>
              <w:left w:val="single" w:sz="4" w:space="0" w:color="000000"/>
              <w:bottom w:val="single" w:sz="4" w:space="0" w:color="000000"/>
              <w:right w:val="single" w:sz="4" w:space="0" w:color="000000"/>
            </w:tcBorders>
            <w:vAlign w:val="center"/>
          </w:tcPr>
          <w:p w14:paraId="000000D2" w14:textId="77777777" w:rsidR="00915C55" w:rsidRDefault="00950912">
            <w:pPr>
              <w:spacing w:before="40" w:after="40"/>
            </w:pPr>
            <w:r>
              <w:t>60% for all methane</w:t>
            </w:r>
          </w:p>
          <w:p w14:paraId="000000D3" w14:textId="77777777" w:rsidR="00915C55" w:rsidRDefault="00950912">
            <w:pPr>
              <w:spacing w:before="40" w:after="40"/>
            </w:pPr>
            <w:r>
              <w:t>leaks by 2025 and</w:t>
            </w:r>
          </w:p>
          <w:p w14:paraId="000000D4" w14:textId="77777777" w:rsidR="00915C55" w:rsidRDefault="00950912">
            <w:pPr>
              <w:spacing w:before="40" w:after="40"/>
            </w:pPr>
            <w:r>
              <w:t>100% by 2028</w:t>
            </w:r>
          </w:p>
        </w:tc>
      </w:tr>
      <w:tr w:rsidR="00915C55" w14:paraId="7748DF93" w14:textId="77777777">
        <w:trPr>
          <w:trHeight w:val="1088"/>
        </w:trPr>
        <w:tc>
          <w:tcPr>
            <w:tcW w:w="1560" w:type="dxa"/>
            <w:vMerge/>
            <w:tcBorders>
              <w:top w:val="single" w:sz="4" w:space="0" w:color="000000"/>
              <w:left w:val="single" w:sz="4" w:space="0" w:color="000000"/>
              <w:bottom w:val="single" w:sz="4" w:space="0" w:color="000000"/>
              <w:right w:val="single" w:sz="4" w:space="0" w:color="000000"/>
            </w:tcBorders>
            <w:shd w:val="clear" w:color="auto" w:fill="44546A"/>
            <w:tcMar>
              <w:top w:w="0" w:type="dxa"/>
              <w:left w:w="108" w:type="dxa"/>
              <w:bottom w:w="0" w:type="dxa"/>
              <w:right w:w="108" w:type="dxa"/>
            </w:tcMar>
            <w:vAlign w:val="center"/>
          </w:tcPr>
          <w:p w14:paraId="000000D5" w14:textId="77777777" w:rsidR="00915C55" w:rsidRDefault="00915C55">
            <w:pPr>
              <w:pBdr>
                <w:top w:val="nil"/>
                <w:left w:val="nil"/>
                <w:bottom w:val="nil"/>
                <w:right w:val="nil"/>
                <w:between w:val="nil"/>
              </w:pBdr>
              <w:spacing w:before="0" w:line="276" w:lineRule="auto"/>
            </w:pPr>
          </w:p>
        </w:tc>
        <w:tc>
          <w:tcPr>
            <w:tcW w:w="1500" w:type="dxa"/>
            <w:tcBorders>
              <w:top w:val="nil"/>
              <w:left w:val="nil"/>
              <w:bottom w:val="single" w:sz="8" w:space="0" w:color="999999"/>
              <w:right w:val="single" w:sz="8" w:space="0" w:color="999999"/>
            </w:tcBorders>
            <w:shd w:val="clear" w:color="auto" w:fill="auto"/>
            <w:tcMar>
              <w:top w:w="0" w:type="dxa"/>
              <w:left w:w="0" w:type="dxa"/>
              <w:bottom w:w="0" w:type="dxa"/>
              <w:right w:w="0" w:type="dxa"/>
            </w:tcMar>
            <w:vAlign w:val="center"/>
          </w:tcPr>
          <w:p w14:paraId="000000D6" w14:textId="77777777" w:rsidR="00915C55" w:rsidRDefault="00950912">
            <w:pPr>
              <w:widowControl/>
              <w:pBdr>
                <w:top w:val="none" w:sz="0" w:space="0" w:color="000000"/>
                <w:left w:val="none" w:sz="0" w:space="0" w:color="000000"/>
                <w:bottom w:val="none" w:sz="0" w:space="0" w:color="000000"/>
                <w:right w:val="none" w:sz="0" w:space="0" w:color="000000"/>
                <w:between w:val="none" w:sz="0" w:space="0" w:color="000000"/>
              </w:pBdr>
              <w:spacing w:before="0"/>
              <w:jc w:val="center"/>
            </w:pPr>
            <w:r>
              <w:t>Energy efficiency</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D7" w14:textId="77777777" w:rsidR="00915C55" w:rsidRDefault="00950912">
            <w:pPr>
              <w:spacing w:before="40" w:after="40"/>
            </w:pPr>
            <w:r>
              <w:t xml:space="preserve">Oil &amp; gas industries % reduction of fossil fuel consumption from BAU </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D8" w14:textId="77777777" w:rsidR="00915C55" w:rsidRDefault="00950912">
            <w:pPr>
              <w:spacing w:before="40" w:after="40"/>
            </w:pPr>
            <w:r>
              <w:t>None</w:t>
            </w:r>
          </w:p>
        </w:tc>
        <w:tc>
          <w:tcPr>
            <w:tcW w:w="3225" w:type="dxa"/>
            <w:tcBorders>
              <w:top w:val="single" w:sz="4" w:space="0" w:color="000000"/>
              <w:left w:val="single" w:sz="4" w:space="0" w:color="000000"/>
              <w:bottom w:val="single" w:sz="4" w:space="0" w:color="000000"/>
              <w:right w:val="single" w:sz="4" w:space="0" w:color="000000"/>
            </w:tcBorders>
            <w:vAlign w:val="center"/>
          </w:tcPr>
          <w:p w14:paraId="000000D9" w14:textId="77777777" w:rsidR="00915C55" w:rsidRDefault="00950912">
            <w:pPr>
              <w:spacing w:before="40" w:after="40"/>
            </w:pPr>
            <w:r>
              <w:t>Same as 2018 BAU</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0DA" w14:textId="77777777" w:rsidR="00915C55" w:rsidRDefault="00950912">
            <w:pPr>
              <w:spacing w:before="40" w:after="40"/>
            </w:pPr>
            <w:r>
              <w:t>10% by 2030</w:t>
            </w:r>
          </w:p>
        </w:tc>
        <w:tc>
          <w:tcPr>
            <w:tcW w:w="2430" w:type="dxa"/>
            <w:tcBorders>
              <w:top w:val="single" w:sz="4" w:space="0" w:color="000000"/>
              <w:left w:val="single" w:sz="4" w:space="0" w:color="000000"/>
              <w:bottom w:val="single" w:sz="4" w:space="0" w:color="000000"/>
              <w:right w:val="single" w:sz="4" w:space="0" w:color="000000"/>
            </w:tcBorders>
            <w:vAlign w:val="center"/>
          </w:tcPr>
          <w:p w14:paraId="000000DB" w14:textId="77777777" w:rsidR="00915C55" w:rsidRDefault="00950912">
            <w:pPr>
              <w:spacing w:before="40" w:after="40"/>
              <w:rPr>
                <w:highlight w:val="white"/>
              </w:rPr>
            </w:pPr>
            <w:r>
              <w:rPr>
                <w:highlight w:val="white"/>
              </w:rPr>
              <w:t>Same as Spring</w:t>
            </w:r>
          </w:p>
          <w:p w14:paraId="000000DC" w14:textId="77777777" w:rsidR="00915C55" w:rsidRDefault="00950912">
            <w:pPr>
              <w:spacing w:before="40" w:after="40"/>
              <w:rPr>
                <w:highlight w:val="white"/>
              </w:rPr>
            </w:pPr>
            <w:r>
              <w:rPr>
                <w:highlight w:val="white"/>
              </w:rPr>
              <w:t>2021 Proposed</w:t>
            </w:r>
          </w:p>
          <w:p w14:paraId="000000DD" w14:textId="77777777" w:rsidR="00915C55" w:rsidRDefault="00950912">
            <w:pPr>
              <w:spacing w:before="40" w:after="40"/>
            </w:pPr>
            <w:r>
              <w:rPr>
                <w:highlight w:val="white"/>
              </w:rPr>
              <w:t>Policy</w:t>
            </w:r>
          </w:p>
        </w:tc>
      </w:tr>
      <w:tr w:rsidR="00915C55" w14:paraId="41B5F8D9" w14:textId="77777777">
        <w:trPr>
          <w:trHeight w:val="1088"/>
        </w:trPr>
        <w:tc>
          <w:tcPr>
            <w:tcW w:w="1560" w:type="dxa"/>
            <w:vMerge/>
            <w:tcBorders>
              <w:top w:val="single" w:sz="4" w:space="0" w:color="000000"/>
              <w:left w:val="single" w:sz="4" w:space="0" w:color="000000"/>
              <w:bottom w:val="single" w:sz="4" w:space="0" w:color="000000"/>
              <w:right w:val="single" w:sz="4" w:space="0" w:color="000000"/>
            </w:tcBorders>
            <w:shd w:val="clear" w:color="auto" w:fill="44546A"/>
            <w:tcMar>
              <w:top w:w="0" w:type="dxa"/>
              <w:left w:w="108" w:type="dxa"/>
              <w:bottom w:w="0" w:type="dxa"/>
              <w:right w:w="108" w:type="dxa"/>
            </w:tcMar>
            <w:vAlign w:val="center"/>
          </w:tcPr>
          <w:p w14:paraId="000000DE" w14:textId="77777777" w:rsidR="00915C55" w:rsidRDefault="00915C55">
            <w:pPr>
              <w:pBdr>
                <w:top w:val="nil"/>
                <w:left w:val="nil"/>
                <w:bottom w:val="nil"/>
                <w:right w:val="nil"/>
                <w:between w:val="nil"/>
              </w:pBdr>
              <w:spacing w:before="0" w:line="276" w:lineRule="auto"/>
            </w:pPr>
          </w:p>
        </w:tc>
        <w:tc>
          <w:tcPr>
            <w:tcW w:w="1500" w:type="dxa"/>
            <w:tcBorders>
              <w:top w:val="nil"/>
              <w:left w:val="nil"/>
              <w:bottom w:val="single" w:sz="8" w:space="0" w:color="999999"/>
              <w:right w:val="single" w:sz="8" w:space="0" w:color="999999"/>
            </w:tcBorders>
            <w:shd w:val="clear" w:color="auto" w:fill="auto"/>
            <w:tcMar>
              <w:top w:w="0" w:type="dxa"/>
              <w:left w:w="0" w:type="dxa"/>
              <w:bottom w:w="0" w:type="dxa"/>
              <w:right w:w="0" w:type="dxa"/>
            </w:tcMar>
            <w:vAlign w:val="center"/>
          </w:tcPr>
          <w:p w14:paraId="000000DF" w14:textId="77777777" w:rsidR="00915C55" w:rsidRDefault="00950912">
            <w:pPr>
              <w:widowControl/>
              <w:pBdr>
                <w:top w:val="none" w:sz="0" w:space="0" w:color="000000"/>
                <w:left w:val="none" w:sz="0" w:space="0" w:color="000000"/>
                <w:bottom w:val="none" w:sz="0" w:space="0" w:color="000000"/>
                <w:right w:val="none" w:sz="0" w:space="0" w:color="000000"/>
                <w:between w:val="none" w:sz="0" w:space="0" w:color="000000"/>
              </w:pBdr>
              <w:spacing w:before="0"/>
              <w:jc w:val="center"/>
            </w:pPr>
            <w:r>
              <w:t>F-gas abatement</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E0" w14:textId="77777777" w:rsidR="00915C55" w:rsidRDefault="00950912">
            <w:pPr>
              <w:spacing w:before="40" w:after="40"/>
            </w:pPr>
            <w:r>
              <w:t xml:space="preserve">% </w:t>
            </w:r>
            <w:proofErr w:type="gramStart"/>
            <w:r>
              <w:t>of</w:t>
            </w:r>
            <w:proofErr w:type="gramEnd"/>
            <w:r>
              <w:t xml:space="preserve"> potential HFC reduction from BAU</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E1" w14:textId="77777777" w:rsidR="00915C55" w:rsidRDefault="00950912">
            <w:pPr>
              <w:spacing w:before="40" w:after="40"/>
            </w:pPr>
            <w:r>
              <w:t>None</w:t>
            </w:r>
          </w:p>
        </w:tc>
        <w:tc>
          <w:tcPr>
            <w:tcW w:w="3225" w:type="dxa"/>
            <w:tcBorders>
              <w:top w:val="single" w:sz="4" w:space="0" w:color="000000"/>
              <w:left w:val="single" w:sz="4" w:space="0" w:color="000000"/>
              <w:bottom w:val="single" w:sz="4" w:space="0" w:color="000000"/>
              <w:right w:val="single" w:sz="4" w:space="0" w:color="000000"/>
            </w:tcBorders>
            <w:vAlign w:val="center"/>
          </w:tcPr>
          <w:p w14:paraId="000000E2" w14:textId="77777777" w:rsidR="00915C55" w:rsidRDefault="00950912">
            <w:pPr>
              <w:spacing w:before="40" w:after="40"/>
            </w:pPr>
            <w:r>
              <w:t>Same as 2018 BAU</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0E3" w14:textId="77777777" w:rsidR="00915C55" w:rsidRDefault="00950912">
            <w:pPr>
              <w:spacing w:before="40" w:after="40"/>
            </w:pPr>
            <w:r>
              <w:t>100% substitution potential by 2035 and recycling and destruction potential by 2050</w:t>
            </w:r>
          </w:p>
        </w:tc>
        <w:tc>
          <w:tcPr>
            <w:tcW w:w="2430" w:type="dxa"/>
            <w:tcBorders>
              <w:top w:val="single" w:sz="4" w:space="0" w:color="000000"/>
              <w:left w:val="single" w:sz="4" w:space="0" w:color="000000"/>
              <w:bottom w:val="single" w:sz="4" w:space="0" w:color="000000"/>
              <w:right w:val="single" w:sz="4" w:space="0" w:color="000000"/>
            </w:tcBorders>
            <w:vAlign w:val="center"/>
          </w:tcPr>
          <w:p w14:paraId="000000E4" w14:textId="77777777" w:rsidR="00915C55" w:rsidRDefault="00950912">
            <w:pPr>
              <w:spacing w:before="40" w:after="40"/>
              <w:rPr>
                <w:highlight w:val="white"/>
              </w:rPr>
            </w:pPr>
            <w:r>
              <w:rPr>
                <w:highlight w:val="white"/>
              </w:rPr>
              <w:t>Same as Spring</w:t>
            </w:r>
          </w:p>
          <w:p w14:paraId="000000E5" w14:textId="77777777" w:rsidR="00915C55" w:rsidRDefault="00950912">
            <w:pPr>
              <w:spacing w:before="40" w:after="40"/>
              <w:rPr>
                <w:highlight w:val="white"/>
              </w:rPr>
            </w:pPr>
            <w:r>
              <w:rPr>
                <w:highlight w:val="white"/>
              </w:rPr>
              <w:t>2021 Proposed</w:t>
            </w:r>
          </w:p>
          <w:p w14:paraId="000000E6" w14:textId="77777777" w:rsidR="00915C55" w:rsidRDefault="00950912">
            <w:pPr>
              <w:spacing w:before="40" w:after="40"/>
            </w:pPr>
            <w:r>
              <w:rPr>
                <w:highlight w:val="white"/>
              </w:rPr>
              <w:t>Policy</w:t>
            </w:r>
          </w:p>
        </w:tc>
      </w:tr>
      <w:tr w:rsidR="00915C55" w14:paraId="7D186CC7" w14:textId="77777777">
        <w:trPr>
          <w:trHeight w:val="1088"/>
        </w:trPr>
        <w:tc>
          <w:tcPr>
            <w:tcW w:w="1560" w:type="dxa"/>
            <w:vMerge/>
            <w:tcBorders>
              <w:top w:val="single" w:sz="4" w:space="0" w:color="000000"/>
              <w:left w:val="single" w:sz="4" w:space="0" w:color="000000"/>
              <w:bottom w:val="single" w:sz="4" w:space="0" w:color="000000"/>
              <w:right w:val="single" w:sz="4" w:space="0" w:color="000000"/>
            </w:tcBorders>
            <w:shd w:val="clear" w:color="auto" w:fill="44546A"/>
            <w:tcMar>
              <w:top w:w="0" w:type="dxa"/>
              <w:left w:w="108" w:type="dxa"/>
              <w:bottom w:w="0" w:type="dxa"/>
              <w:right w:w="108" w:type="dxa"/>
            </w:tcMar>
            <w:vAlign w:val="center"/>
          </w:tcPr>
          <w:p w14:paraId="000000E7" w14:textId="77777777" w:rsidR="00915C55" w:rsidRDefault="00915C55">
            <w:pPr>
              <w:pBdr>
                <w:top w:val="nil"/>
                <w:left w:val="nil"/>
                <w:bottom w:val="nil"/>
                <w:right w:val="nil"/>
                <w:between w:val="nil"/>
              </w:pBdr>
              <w:spacing w:before="0" w:line="276" w:lineRule="auto"/>
            </w:pPr>
          </w:p>
        </w:tc>
        <w:tc>
          <w:tcPr>
            <w:tcW w:w="1500" w:type="dxa"/>
            <w:tcBorders>
              <w:top w:val="nil"/>
              <w:left w:val="nil"/>
              <w:bottom w:val="single" w:sz="8" w:space="0" w:color="999999"/>
              <w:right w:val="single" w:sz="8" w:space="0" w:color="999999"/>
            </w:tcBorders>
            <w:shd w:val="clear" w:color="auto" w:fill="auto"/>
            <w:tcMar>
              <w:top w:w="0" w:type="dxa"/>
              <w:left w:w="0" w:type="dxa"/>
              <w:bottom w:w="0" w:type="dxa"/>
              <w:right w:w="0" w:type="dxa"/>
            </w:tcMar>
            <w:vAlign w:val="center"/>
          </w:tcPr>
          <w:p w14:paraId="000000E8" w14:textId="77777777" w:rsidR="00915C55" w:rsidRDefault="00950912">
            <w:pPr>
              <w:widowControl/>
              <w:pBdr>
                <w:top w:val="none" w:sz="0" w:space="0" w:color="000000"/>
                <w:left w:val="none" w:sz="0" w:space="0" w:color="000000"/>
                <w:bottom w:val="none" w:sz="0" w:space="0" w:color="000000"/>
                <w:right w:val="none" w:sz="0" w:space="0" w:color="000000"/>
                <w:between w:val="none" w:sz="0" w:space="0" w:color="000000"/>
              </w:pBdr>
              <w:spacing w:before="0"/>
              <w:jc w:val="center"/>
            </w:pPr>
            <w:r>
              <w:t>Oil &amp; gas fuel decarbonization</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E9" w14:textId="77777777" w:rsidR="00915C55" w:rsidRDefault="00950912">
            <w:pPr>
              <w:spacing w:before="40" w:after="40"/>
            </w:pPr>
            <w:r>
              <w:t xml:space="preserve">% </w:t>
            </w:r>
            <w:proofErr w:type="gramStart"/>
            <w:r>
              <w:t>of</w:t>
            </w:r>
            <w:proofErr w:type="gramEnd"/>
            <w:r>
              <w:t xml:space="preserve"> petroleum refining CO</w:t>
            </w:r>
            <w:r>
              <w:rPr>
                <w:vertAlign w:val="subscript"/>
              </w:rPr>
              <w:t>2</w:t>
            </w:r>
            <w:r>
              <w:t xml:space="preserve"> captured </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EA" w14:textId="77777777" w:rsidR="00915C55" w:rsidRDefault="00950912">
            <w:pPr>
              <w:spacing w:before="40" w:after="40"/>
            </w:pPr>
            <w:r>
              <w:t>None</w:t>
            </w:r>
          </w:p>
        </w:tc>
        <w:tc>
          <w:tcPr>
            <w:tcW w:w="3225" w:type="dxa"/>
            <w:tcBorders>
              <w:top w:val="single" w:sz="4" w:space="0" w:color="000000"/>
              <w:left w:val="single" w:sz="4" w:space="0" w:color="000000"/>
              <w:bottom w:val="single" w:sz="4" w:space="0" w:color="000000"/>
              <w:right w:val="single" w:sz="4" w:space="0" w:color="000000"/>
            </w:tcBorders>
            <w:vAlign w:val="center"/>
          </w:tcPr>
          <w:p w14:paraId="000000EB" w14:textId="77777777" w:rsidR="00915C55" w:rsidRDefault="00950912">
            <w:pPr>
              <w:spacing w:before="40" w:after="40"/>
            </w:pPr>
            <w:r>
              <w:t>Same as 2018 BAU</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0EC" w14:textId="77777777" w:rsidR="00915C55" w:rsidRDefault="00950912">
            <w:pPr>
              <w:spacing w:before="40" w:after="40"/>
            </w:pPr>
            <w:r>
              <w:t>Same as 2018 BAU</w:t>
            </w:r>
          </w:p>
        </w:tc>
        <w:tc>
          <w:tcPr>
            <w:tcW w:w="2430" w:type="dxa"/>
            <w:tcBorders>
              <w:top w:val="single" w:sz="4" w:space="0" w:color="000000"/>
              <w:left w:val="single" w:sz="4" w:space="0" w:color="000000"/>
              <w:bottom w:val="single" w:sz="4" w:space="0" w:color="000000"/>
              <w:right w:val="single" w:sz="4" w:space="0" w:color="000000"/>
            </w:tcBorders>
            <w:vAlign w:val="center"/>
          </w:tcPr>
          <w:p w14:paraId="000000ED" w14:textId="77777777" w:rsidR="00915C55" w:rsidRDefault="00950912">
            <w:pPr>
              <w:spacing w:before="40" w:after="40"/>
            </w:pPr>
            <w:r>
              <w:t>50% by 2030</w:t>
            </w:r>
          </w:p>
        </w:tc>
      </w:tr>
      <w:tr w:rsidR="00915C55" w14:paraId="2D12073B" w14:textId="77777777">
        <w:trPr>
          <w:trHeight w:val="1088"/>
        </w:trPr>
        <w:tc>
          <w:tcPr>
            <w:tcW w:w="1560" w:type="dxa"/>
            <w:vMerge/>
            <w:tcBorders>
              <w:top w:val="single" w:sz="4" w:space="0" w:color="000000"/>
              <w:left w:val="single" w:sz="4" w:space="0" w:color="000000"/>
              <w:bottom w:val="single" w:sz="4" w:space="0" w:color="000000"/>
              <w:right w:val="single" w:sz="4" w:space="0" w:color="000000"/>
            </w:tcBorders>
            <w:shd w:val="clear" w:color="auto" w:fill="44546A"/>
            <w:tcMar>
              <w:top w:w="0" w:type="dxa"/>
              <w:left w:w="108" w:type="dxa"/>
              <w:bottom w:w="0" w:type="dxa"/>
              <w:right w:w="108" w:type="dxa"/>
            </w:tcMar>
            <w:vAlign w:val="center"/>
          </w:tcPr>
          <w:p w14:paraId="000000EE" w14:textId="77777777" w:rsidR="00915C55" w:rsidRDefault="00915C55">
            <w:pPr>
              <w:pBdr>
                <w:top w:val="nil"/>
                <w:left w:val="nil"/>
                <w:bottom w:val="nil"/>
                <w:right w:val="nil"/>
                <w:between w:val="nil"/>
              </w:pBdr>
              <w:spacing w:before="0" w:line="276" w:lineRule="auto"/>
            </w:pPr>
          </w:p>
        </w:tc>
        <w:tc>
          <w:tcPr>
            <w:tcW w:w="1500" w:type="dxa"/>
            <w:tcBorders>
              <w:top w:val="nil"/>
              <w:left w:val="nil"/>
              <w:bottom w:val="single" w:sz="8" w:space="0" w:color="999999"/>
              <w:right w:val="single" w:sz="8" w:space="0" w:color="999999"/>
            </w:tcBorders>
            <w:shd w:val="clear" w:color="auto" w:fill="auto"/>
            <w:tcMar>
              <w:top w:w="0" w:type="dxa"/>
              <w:left w:w="0" w:type="dxa"/>
              <w:bottom w:w="0" w:type="dxa"/>
              <w:right w:w="0" w:type="dxa"/>
            </w:tcMar>
            <w:vAlign w:val="center"/>
          </w:tcPr>
          <w:p w14:paraId="000000EF" w14:textId="77777777" w:rsidR="00915C55" w:rsidRDefault="00950912">
            <w:pPr>
              <w:widowControl/>
              <w:pBdr>
                <w:top w:val="none" w:sz="0" w:space="0" w:color="000000"/>
                <w:left w:val="none" w:sz="0" w:space="0" w:color="000000"/>
                <w:bottom w:val="none" w:sz="0" w:space="0" w:color="000000"/>
                <w:right w:val="none" w:sz="0" w:space="0" w:color="000000"/>
                <w:between w:val="none" w:sz="0" w:space="0" w:color="000000"/>
              </w:pBdr>
              <w:spacing w:before="0"/>
              <w:jc w:val="center"/>
            </w:pPr>
            <w:r>
              <w:rPr>
                <w:color w:val="262626"/>
                <w:sz w:val="18"/>
                <w:szCs w:val="18"/>
              </w:rPr>
              <w:t xml:space="preserve">Oil &amp; gas fuel decarbonization </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F0" w14:textId="77777777" w:rsidR="00915C55" w:rsidRDefault="00950912">
            <w:pPr>
              <w:spacing w:before="40" w:after="40"/>
            </w:pPr>
            <w:r>
              <w:rPr>
                <w:color w:val="262626"/>
                <w:sz w:val="18"/>
                <w:szCs w:val="18"/>
              </w:rPr>
              <w:t xml:space="preserve">% </w:t>
            </w:r>
            <w:proofErr w:type="gramStart"/>
            <w:r>
              <w:rPr>
                <w:color w:val="262626"/>
                <w:sz w:val="18"/>
                <w:szCs w:val="18"/>
              </w:rPr>
              <w:t>of</w:t>
            </w:r>
            <w:proofErr w:type="gramEnd"/>
            <w:r>
              <w:rPr>
                <w:color w:val="262626"/>
                <w:sz w:val="18"/>
                <w:szCs w:val="18"/>
              </w:rPr>
              <w:t xml:space="preserve"> oil &amp; gas extraction electrified</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F1" w14:textId="77777777" w:rsidR="00915C55" w:rsidRDefault="00950912">
            <w:pPr>
              <w:spacing w:before="40" w:after="40"/>
            </w:pPr>
            <w:r>
              <w:t>None</w:t>
            </w:r>
          </w:p>
        </w:tc>
        <w:tc>
          <w:tcPr>
            <w:tcW w:w="3225" w:type="dxa"/>
            <w:tcBorders>
              <w:top w:val="single" w:sz="4" w:space="0" w:color="000000"/>
              <w:left w:val="single" w:sz="4" w:space="0" w:color="000000"/>
              <w:bottom w:val="single" w:sz="4" w:space="0" w:color="000000"/>
              <w:right w:val="single" w:sz="4" w:space="0" w:color="000000"/>
            </w:tcBorders>
            <w:vAlign w:val="center"/>
          </w:tcPr>
          <w:p w14:paraId="000000F2" w14:textId="77777777" w:rsidR="00915C55" w:rsidRDefault="00950912">
            <w:pPr>
              <w:spacing w:before="40" w:after="40"/>
            </w:pPr>
            <w:r>
              <w:t>Same as 2018 BAU</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0F3" w14:textId="77777777" w:rsidR="00915C55" w:rsidRDefault="00950912">
            <w:pPr>
              <w:spacing w:before="40" w:after="40"/>
            </w:pPr>
            <w:r>
              <w:t>Same as 2018 BAU</w:t>
            </w:r>
          </w:p>
        </w:tc>
        <w:tc>
          <w:tcPr>
            <w:tcW w:w="2430" w:type="dxa"/>
            <w:tcBorders>
              <w:top w:val="single" w:sz="4" w:space="0" w:color="000000"/>
              <w:left w:val="single" w:sz="4" w:space="0" w:color="000000"/>
              <w:bottom w:val="single" w:sz="4" w:space="0" w:color="000000"/>
              <w:right w:val="single" w:sz="4" w:space="0" w:color="000000"/>
            </w:tcBorders>
            <w:vAlign w:val="center"/>
          </w:tcPr>
          <w:p w14:paraId="000000F4" w14:textId="77777777" w:rsidR="00915C55" w:rsidRDefault="00950912">
            <w:pPr>
              <w:spacing w:before="40" w:after="40"/>
            </w:pPr>
            <w:r>
              <w:t>50% by 2030</w:t>
            </w:r>
          </w:p>
        </w:tc>
      </w:tr>
      <w:tr w:rsidR="00915C55" w14:paraId="27AC1C81" w14:textId="77777777">
        <w:trPr>
          <w:trHeight w:val="800"/>
        </w:trPr>
        <w:tc>
          <w:tcPr>
            <w:tcW w:w="1560" w:type="dxa"/>
            <w:tcBorders>
              <w:top w:val="single" w:sz="4" w:space="0" w:color="000000"/>
              <w:left w:val="single" w:sz="4" w:space="0" w:color="000000"/>
              <w:bottom w:val="single" w:sz="4" w:space="0" w:color="000000"/>
              <w:right w:val="single" w:sz="4" w:space="0" w:color="000000"/>
            </w:tcBorders>
            <w:shd w:val="clear" w:color="auto" w:fill="44546A"/>
            <w:tcMar>
              <w:top w:w="0" w:type="dxa"/>
              <w:left w:w="108" w:type="dxa"/>
              <w:bottom w:w="0" w:type="dxa"/>
              <w:right w:w="108" w:type="dxa"/>
            </w:tcMar>
            <w:vAlign w:val="center"/>
          </w:tcPr>
          <w:p w14:paraId="000000F5" w14:textId="77777777" w:rsidR="00915C55" w:rsidRDefault="00950912">
            <w:pPr>
              <w:spacing w:before="40" w:after="40"/>
              <w:rPr>
                <w:color w:val="FFFFFF"/>
              </w:rPr>
            </w:pPr>
            <w:r>
              <w:rPr>
                <w:color w:val="FFFFFF"/>
              </w:rPr>
              <w:t>Land use and</w:t>
            </w:r>
          </w:p>
          <w:p w14:paraId="000000F6" w14:textId="77777777" w:rsidR="00915C55" w:rsidRDefault="00950912">
            <w:pPr>
              <w:spacing w:before="40" w:after="40"/>
              <w:rPr>
                <w:color w:val="FFFFFF"/>
              </w:rPr>
            </w:pPr>
            <w:r>
              <w:rPr>
                <w:color w:val="FFFFFF"/>
              </w:rPr>
              <w:t>Agriculture</w:t>
            </w:r>
          </w:p>
        </w:tc>
        <w:tc>
          <w:tcPr>
            <w:tcW w:w="15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F7" w14:textId="77777777" w:rsidR="00915C55" w:rsidRDefault="00950912">
            <w:pPr>
              <w:spacing w:before="40" w:after="40"/>
            </w:pPr>
            <w:r>
              <w:t>All strategies</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0000F8" w14:textId="77777777" w:rsidR="00915C55" w:rsidRDefault="00950912">
            <w:pPr>
              <w:spacing w:before="40" w:after="40"/>
            </w:pPr>
            <w:r>
              <w:t>All EPS measures except for changes in diet</w:t>
            </w:r>
          </w:p>
        </w:tc>
        <w:tc>
          <w:tcPr>
            <w:tcW w:w="1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F9" w14:textId="77777777" w:rsidR="00915C55" w:rsidRDefault="00950912">
            <w:pPr>
              <w:spacing w:before="40" w:after="40"/>
            </w:pPr>
            <w:r>
              <w:t>None</w:t>
            </w:r>
          </w:p>
        </w:tc>
        <w:tc>
          <w:tcPr>
            <w:tcW w:w="3225" w:type="dxa"/>
            <w:tcBorders>
              <w:top w:val="single" w:sz="4" w:space="0" w:color="000000"/>
              <w:left w:val="single" w:sz="4" w:space="0" w:color="000000"/>
              <w:bottom w:val="single" w:sz="4" w:space="0" w:color="000000"/>
              <w:right w:val="single" w:sz="4" w:space="0" w:color="000000"/>
            </w:tcBorders>
            <w:vAlign w:val="center"/>
          </w:tcPr>
          <w:p w14:paraId="000000FA" w14:textId="77777777" w:rsidR="00915C55" w:rsidRDefault="00950912">
            <w:pPr>
              <w:spacing w:before="40" w:after="40"/>
            </w:pPr>
            <w:r>
              <w:t>None</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0FB" w14:textId="77777777" w:rsidR="00915C55" w:rsidRDefault="00950912">
            <w:pPr>
              <w:spacing w:before="40" w:after="40"/>
              <w:rPr>
                <w:i/>
              </w:rPr>
            </w:pPr>
            <w:r>
              <w:t>100% of potential by 2050</w:t>
            </w:r>
          </w:p>
        </w:tc>
        <w:tc>
          <w:tcPr>
            <w:tcW w:w="2430" w:type="dxa"/>
            <w:tcBorders>
              <w:top w:val="single" w:sz="4" w:space="0" w:color="000000"/>
              <w:left w:val="single" w:sz="4" w:space="0" w:color="000000"/>
              <w:bottom w:val="single" w:sz="4" w:space="0" w:color="000000"/>
              <w:right w:val="single" w:sz="4" w:space="0" w:color="000000"/>
            </w:tcBorders>
            <w:vAlign w:val="center"/>
          </w:tcPr>
          <w:p w14:paraId="000000FC" w14:textId="77777777" w:rsidR="00915C55" w:rsidRDefault="00950912">
            <w:pPr>
              <w:spacing w:before="40" w:after="40"/>
              <w:rPr>
                <w:highlight w:val="white"/>
              </w:rPr>
            </w:pPr>
            <w:r>
              <w:rPr>
                <w:highlight w:val="white"/>
              </w:rPr>
              <w:t>Same as Spring</w:t>
            </w:r>
          </w:p>
          <w:p w14:paraId="000000FD" w14:textId="77777777" w:rsidR="00915C55" w:rsidRDefault="00950912">
            <w:pPr>
              <w:spacing w:before="40" w:after="40"/>
              <w:rPr>
                <w:i/>
              </w:rPr>
            </w:pPr>
            <w:r>
              <w:rPr>
                <w:highlight w:val="white"/>
              </w:rPr>
              <w:t>2021 Proposed Policy</w:t>
            </w:r>
          </w:p>
        </w:tc>
      </w:tr>
    </w:tbl>
    <w:p w14:paraId="000000FE" w14:textId="77777777" w:rsidR="00915C55" w:rsidRDefault="00915C55"/>
    <w:p w14:paraId="000000FF" w14:textId="77777777" w:rsidR="00915C55" w:rsidRDefault="00950912">
      <w:pPr>
        <w:pStyle w:val="Heading2"/>
        <w:numPr>
          <w:ilvl w:val="0"/>
          <w:numId w:val="1"/>
        </w:numPr>
        <w:ind w:left="0" w:firstLine="0"/>
      </w:pPr>
      <w:bookmarkStart w:id="2" w:name="_heading=h.1fob9te" w:colFirst="0" w:colLast="0"/>
      <w:bookmarkEnd w:id="2"/>
      <w:r>
        <w:t>Example Climate Mitigation Scenario: US NDC Scenario</w:t>
      </w:r>
      <w:r>
        <w:tab/>
      </w:r>
      <w:r>
        <w:tab/>
      </w:r>
      <w:r>
        <w:tab/>
      </w:r>
      <w:r>
        <w:tab/>
      </w:r>
      <w:r>
        <w:tab/>
      </w:r>
      <w:r>
        <w:tab/>
      </w:r>
      <w:r>
        <w:tab/>
      </w:r>
      <w:r>
        <w:tab/>
      </w:r>
      <w:r>
        <w:tab/>
      </w:r>
      <w:r>
        <w:tab/>
      </w:r>
      <w:r>
        <w:tab/>
      </w:r>
      <w:r>
        <w:tab/>
      </w:r>
    </w:p>
    <w:p w14:paraId="00000100" w14:textId="77777777" w:rsidR="00915C55" w:rsidRDefault="00950912">
      <w:pPr>
        <w:spacing w:after="120"/>
      </w:pPr>
      <w:bookmarkStart w:id="3" w:name="_heading=h.3znysh7" w:colFirst="0" w:colLast="0"/>
      <w:bookmarkEnd w:id="3"/>
      <w:r>
        <w:t>In addition to the scenarios that RMI designed for New Mexico, the EPS also contains a “US NDC Scenario.”  The US NDC Scenario was designed by Energy Innovation to result in an emissions pathway that meets the United States’ Nationally Determined Contribut</w:t>
      </w:r>
      <w:r>
        <w:t>ion to decarbonization broadly consistent with limiting global warming to 1.5°C by 2100.</w:t>
      </w:r>
      <w:r>
        <w:rPr>
          <w:vertAlign w:val="superscript"/>
        </w:rPr>
        <w:footnoteReference w:id="7"/>
      </w:r>
      <w:r>
        <w:t xml:space="preserve"> This pathway puts the US on track to reducing emissions 50 percent below a 2005 baseline by 2030 and achieving net zero emissions by 2050. This national scenario has</w:t>
      </w:r>
      <w:r>
        <w:t xml:space="preserve"> been downscaled to each state, adjusting for differences in the state technology mix compared to the national technology mix. This policy scenario is illustrative and is meant to represent one set of policies that could be used to reduce emissions in line</w:t>
      </w:r>
      <w:r>
        <w:t xml:space="preserve"> with a 1.5°C scenario.</w:t>
      </w:r>
    </w:p>
    <w:p w14:paraId="79CBFB4F" w14:textId="77777777" w:rsidR="0046483E" w:rsidRDefault="0046483E">
      <w:pPr>
        <w:rPr>
          <w:i/>
          <w:color w:val="44546A"/>
        </w:rPr>
      </w:pPr>
      <w:bookmarkStart w:id="4" w:name="_heading=h.2et92p0" w:colFirst="0" w:colLast="0"/>
      <w:bookmarkEnd w:id="4"/>
      <w:r>
        <w:rPr>
          <w:i/>
          <w:color w:val="44546A"/>
        </w:rPr>
        <w:br w:type="page"/>
      </w:r>
    </w:p>
    <w:p w14:paraId="00000101" w14:textId="3723F71E" w:rsidR="00915C55" w:rsidRDefault="00950912">
      <w:pPr>
        <w:keepNext/>
        <w:pBdr>
          <w:top w:val="nil"/>
          <w:left w:val="nil"/>
          <w:bottom w:val="nil"/>
          <w:right w:val="nil"/>
          <w:between w:val="nil"/>
        </w:pBdr>
        <w:spacing w:before="240" w:after="200"/>
        <w:jc w:val="center"/>
        <w:rPr>
          <w:i/>
          <w:color w:val="44546A"/>
        </w:rPr>
      </w:pPr>
      <w:r>
        <w:rPr>
          <w:i/>
          <w:color w:val="44546A"/>
        </w:rPr>
        <w:lastRenderedPageBreak/>
        <w:t>Table 8: Policy Assumptions in the US NDC Scenario</w:t>
      </w:r>
    </w:p>
    <w:tbl>
      <w:tblPr>
        <w:tblStyle w:val="a7"/>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5"/>
        <w:gridCol w:w="12585"/>
      </w:tblGrid>
      <w:tr w:rsidR="00915C55" w14:paraId="562A2C31" w14:textId="77777777">
        <w:trPr>
          <w:trHeight w:val="368"/>
        </w:trPr>
        <w:tc>
          <w:tcPr>
            <w:tcW w:w="1805" w:type="dxa"/>
            <w:shd w:val="clear" w:color="auto" w:fill="E7E6E6"/>
            <w:vAlign w:val="center"/>
          </w:tcPr>
          <w:p w14:paraId="00000102" w14:textId="77777777" w:rsidR="00915C55" w:rsidRDefault="00950912">
            <w:pPr>
              <w:spacing w:before="60" w:after="60"/>
              <w:jc w:val="center"/>
              <w:rPr>
                <w:b/>
              </w:rPr>
            </w:pPr>
            <w:r>
              <w:rPr>
                <w:b/>
              </w:rPr>
              <w:t>Sector</w:t>
            </w:r>
          </w:p>
        </w:tc>
        <w:tc>
          <w:tcPr>
            <w:tcW w:w="12585" w:type="dxa"/>
            <w:shd w:val="clear" w:color="auto" w:fill="E7E6E6"/>
            <w:vAlign w:val="center"/>
          </w:tcPr>
          <w:p w14:paraId="00000103" w14:textId="77777777" w:rsidR="00915C55" w:rsidRDefault="00950912">
            <w:pPr>
              <w:spacing w:before="60" w:after="60"/>
              <w:jc w:val="center"/>
              <w:rPr>
                <w:b/>
              </w:rPr>
            </w:pPr>
            <w:r>
              <w:rPr>
                <w:b/>
              </w:rPr>
              <w:t>US NDC Scenario</w:t>
            </w:r>
          </w:p>
        </w:tc>
      </w:tr>
      <w:tr w:rsidR="00915C55" w14:paraId="2AEE42FF" w14:textId="77777777">
        <w:trPr>
          <w:trHeight w:val="845"/>
        </w:trPr>
        <w:tc>
          <w:tcPr>
            <w:tcW w:w="1805" w:type="dxa"/>
            <w:shd w:val="clear" w:color="auto" w:fill="44546A"/>
            <w:vAlign w:val="center"/>
          </w:tcPr>
          <w:p w14:paraId="00000104" w14:textId="77777777" w:rsidR="00915C55" w:rsidRDefault="00950912">
            <w:pPr>
              <w:spacing w:before="60" w:after="60"/>
              <w:jc w:val="center"/>
              <w:rPr>
                <w:color w:val="FFFFFF"/>
              </w:rPr>
            </w:pPr>
            <w:r>
              <w:rPr>
                <w:color w:val="FFFFFF"/>
              </w:rPr>
              <w:t>Electricity</w:t>
            </w:r>
          </w:p>
        </w:tc>
        <w:tc>
          <w:tcPr>
            <w:tcW w:w="12585" w:type="dxa"/>
            <w:vAlign w:val="center"/>
          </w:tcPr>
          <w:p w14:paraId="00000105" w14:textId="77777777" w:rsidR="00915C55" w:rsidRDefault="00950912">
            <w:pPr>
              <w:numPr>
                <w:ilvl w:val="0"/>
                <w:numId w:val="2"/>
              </w:numPr>
              <w:spacing w:before="60" w:after="60"/>
              <w:rPr>
                <w:sz w:val="20"/>
                <w:szCs w:val="20"/>
              </w:rPr>
            </w:pPr>
            <w:r>
              <w:rPr>
                <w:sz w:val="20"/>
                <w:szCs w:val="20"/>
              </w:rPr>
              <w:t>Clean Electricity Standard of 80% by 2030, 100% by 2035</w:t>
            </w:r>
          </w:p>
          <w:p w14:paraId="00000106" w14:textId="77777777" w:rsidR="00915C55" w:rsidRDefault="00950912">
            <w:pPr>
              <w:numPr>
                <w:ilvl w:val="0"/>
                <w:numId w:val="2"/>
              </w:numPr>
              <w:spacing w:before="60" w:after="60"/>
              <w:rPr>
                <w:sz w:val="20"/>
                <w:szCs w:val="20"/>
              </w:rPr>
            </w:pPr>
            <w:r>
              <w:rPr>
                <w:sz w:val="20"/>
                <w:szCs w:val="20"/>
              </w:rPr>
              <w:t>Accelerate deployment of storage, transmission, and demand response</w:t>
            </w:r>
          </w:p>
          <w:p w14:paraId="00000107" w14:textId="77777777" w:rsidR="00915C55" w:rsidRDefault="00950912">
            <w:pPr>
              <w:numPr>
                <w:ilvl w:val="0"/>
                <w:numId w:val="2"/>
              </w:numPr>
              <w:spacing w:before="60" w:after="60"/>
              <w:rPr>
                <w:sz w:val="20"/>
                <w:szCs w:val="20"/>
              </w:rPr>
            </w:pPr>
            <w:r>
              <w:rPr>
                <w:sz w:val="20"/>
                <w:szCs w:val="20"/>
              </w:rPr>
              <w:t>No new construction of coal and natural gas plants</w:t>
            </w:r>
          </w:p>
          <w:p w14:paraId="00000108" w14:textId="77777777" w:rsidR="00915C55" w:rsidRDefault="00950912">
            <w:pPr>
              <w:numPr>
                <w:ilvl w:val="0"/>
                <w:numId w:val="2"/>
              </w:numPr>
              <w:spacing w:before="60" w:after="60"/>
              <w:rPr>
                <w:sz w:val="20"/>
                <w:szCs w:val="20"/>
              </w:rPr>
            </w:pPr>
            <w:r>
              <w:rPr>
                <w:sz w:val="20"/>
                <w:szCs w:val="20"/>
              </w:rPr>
              <w:t>Power plant retirements eliminate coal by 2030</w:t>
            </w:r>
          </w:p>
          <w:p w14:paraId="00000109" w14:textId="77777777" w:rsidR="00915C55" w:rsidRDefault="00950912">
            <w:pPr>
              <w:numPr>
                <w:ilvl w:val="0"/>
                <w:numId w:val="2"/>
              </w:numPr>
              <w:spacing w:before="60" w:after="60"/>
              <w:rPr>
                <w:sz w:val="20"/>
                <w:szCs w:val="20"/>
              </w:rPr>
            </w:pPr>
            <w:r>
              <w:rPr>
                <w:sz w:val="20"/>
                <w:szCs w:val="20"/>
              </w:rPr>
              <w:t>Electricity Sector CCS applied to remaining gas plants run for occasional balancing and re</w:t>
            </w:r>
            <w:r>
              <w:rPr>
                <w:sz w:val="20"/>
                <w:szCs w:val="20"/>
              </w:rPr>
              <w:t>liability</w:t>
            </w:r>
          </w:p>
        </w:tc>
      </w:tr>
      <w:tr w:rsidR="00915C55" w14:paraId="118CF965" w14:textId="77777777">
        <w:trPr>
          <w:trHeight w:val="710"/>
        </w:trPr>
        <w:tc>
          <w:tcPr>
            <w:tcW w:w="1805" w:type="dxa"/>
            <w:shd w:val="clear" w:color="auto" w:fill="44546A"/>
            <w:vAlign w:val="center"/>
          </w:tcPr>
          <w:p w14:paraId="0000010A" w14:textId="77777777" w:rsidR="00915C55" w:rsidRDefault="00950912">
            <w:pPr>
              <w:spacing w:before="60" w:after="60"/>
              <w:jc w:val="center"/>
              <w:rPr>
                <w:color w:val="FFFFFF"/>
              </w:rPr>
            </w:pPr>
            <w:r>
              <w:rPr>
                <w:color w:val="FFFFFF"/>
              </w:rPr>
              <w:t>Buildings</w:t>
            </w:r>
          </w:p>
        </w:tc>
        <w:tc>
          <w:tcPr>
            <w:tcW w:w="12585" w:type="dxa"/>
            <w:vAlign w:val="center"/>
          </w:tcPr>
          <w:p w14:paraId="0000010B" w14:textId="77777777" w:rsidR="00915C55" w:rsidRDefault="00950912">
            <w:pPr>
              <w:numPr>
                <w:ilvl w:val="0"/>
                <w:numId w:val="2"/>
              </w:numPr>
              <w:spacing w:before="60" w:after="60"/>
              <w:rPr>
                <w:sz w:val="20"/>
                <w:szCs w:val="20"/>
              </w:rPr>
            </w:pPr>
            <w:r>
              <w:rPr>
                <w:sz w:val="20"/>
                <w:szCs w:val="20"/>
              </w:rPr>
              <w:t>100% electric new appliances and buildings by 2030 (“building component electrification”)</w:t>
            </w:r>
          </w:p>
          <w:p w14:paraId="0000010C" w14:textId="77777777" w:rsidR="00915C55" w:rsidRDefault="00950912">
            <w:pPr>
              <w:numPr>
                <w:ilvl w:val="0"/>
                <w:numId w:val="2"/>
              </w:numPr>
              <w:spacing w:before="60" w:after="60"/>
              <w:rPr>
                <w:sz w:val="20"/>
                <w:szCs w:val="20"/>
              </w:rPr>
            </w:pPr>
            <w:r>
              <w:rPr>
                <w:sz w:val="20"/>
                <w:szCs w:val="20"/>
              </w:rPr>
              <w:t>15% of existing buildings are retrofit by 2050, in addition to natural turnover</w:t>
            </w:r>
          </w:p>
          <w:p w14:paraId="0000010D" w14:textId="77777777" w:rsidR="00915C55" w:rsidRDefault="00950912">
            <w:pPr>
              <w:numPr>
                <w:ilvl w:val="0"/>
                <w:numId w:val="2"/>
              </w:numPr>
              <w:spacing w:before="60" w:after="60"/>
              <w:rPr>
                <w:sz w:val="20"/>
                <w:szCs w:val="20"/>
              </w:rPr>
            </w:pPr>
            <w:r>
              <w:rPr>
                <w:sz w:val="20"/>
                <w:szCs w:val="20"/>
              </w:rPr>
              <w:t>Efficiency improvement with ambition extended to 2050, plus additional efficiency improvements for building heating equipment and appliances</w:t>
            </w:r>
          </w:p>
        </w:tc>
      </w:tr>
      <w:tr w:rsidR="00915C55" w14:paraId="6848597A" w14:textId="77777777">
        <w:trPr>
          <w:trHeight w:val="1088"/>
        </w:trPr>
        <w:tc>
          <w:tcPr>
            <w:tcW w:w="1805" w:type="dxa"/>
            <w:shd w:val="clear" w:color="auto" w:fill="44546A"/>
            <w:vAlign w:val="center"/>
          </w:tcPr>
          <w:p w14:paraId="0000010E" w14:textId="77777777" w:rsidR="00915C55" w:rsidRDefault="00950912">
            <w:pPr>
              <w:spacing w:before="60" w:after="60"/>
              <w:jc w:val="center"/>
              <w:rPr>
                <w:color w:val="FFFFFF"/>
              </w:rPr>
            </w:pPr>
            <w:r>
              <w:rPr>
                <w:color w:val="FFFFFF"/>
              </w:rPr>
              <w:t>Transportation</w:t>
            </w:r>
          </w:p>
        </w:tc>
        <w:tc>
          <w:tcPr>
            <w:tcW w:w="12585" w:type="dxa"/>
            <w:vAlign w:val="center"/>
          </w:tcPr>
          <w:p w14:paraId="0000010F" w14:textId="77777777" w:rsidR="00915C55" w:rsidRDefault="00950912">
            <w:pPr>
              <w:numPr>
                <w:ilvl w:val="0"/>
                <w:numId w:val="2"/>
              </w:numPr>
              <w:spacing w:before="60" w:after="60"/>
              <w:rPr>
                <w:sz w:val="20"/>
                <w:szCs w:val="20"/>
              </w:rPr>
            </w:pPr>
            <w:r>
              <w:rPr>
                <w:sz w:val="20"/>
                <w:szCs w:val="20"/>
              </w:rPr>
              <w:t>100% electric new l</w:t>
            </w:r>
            <w:r>
              <w:rPr>
                <w:sz w:val="20"/>
                <w:szCs w:val="20"/>
              </w:rPr>
              <w:t>ight-duty vehicle, motorbike, and bus sales by 2035</w:t>
            </w:r>
          </w:p>
          <w:p w14:paraId="00000110" w14:textId="77777777" w:rsidR="00915C55" w:rsidRDefault="00950912">
            <w:pPr>
              <w:numPr>
                <w:ilvl w:val="0"/>
                <w:numId w:val="2"/>
              </w:numPr>
              <w:spacing w:before="60" w:after="60"/>
              <w:rPr>
                <w:sz w:val="20"/>
                <w:szCs w:val="20"/>
              </w:rPr>
            </w:pPr>
            <w:r>
              <w:rPr>
                <w:sz w:val="20"/>
                <w:szCs w:val="20"/>
              </w:rPr>
              <w:t>100% electric new medium- and heavy-duty truck sales by 2045</w:t>
            </w:r>
          </w:p>
          <w:p w14:paraId="00000111" w14:textId="77777777" w:rsidR="00915C55" w:rsidRDefault="00950912">
            <w:pPr>
              <w:numPr>
                <w:ilvl w:val="0"/>
                <w:numId w:val="2"/>
              </w:numPr>
              <w:spacing w:before="60" w:after="60"/>
              <w:rPr>
                <w:sz w:val="20"/>
                <w:szCs w:val="20"/>
              </w:rPr>
            </w:pPr>
            <w:r>
              <w:rPr>
                <w:sz w:val="20"/>
                <w:szCs w:val="20"/>
              </w:rPr>
              <w:t>60% improvement in fuel economy standards for internal combustion engine light-duty vehicles by 2035, as well as a 50% improvement for buses, a 50% improvement for medium- and heavy-duty freight vehicles, a 60% improvement for aircraft, and a 25% improveme</w:t>
            </w:r>
            <w:r>
              <w:rPr>
                <w:sz w:val="20"/>
                <w:szCs w:val="20"/>
              </w:rPr>
              <w:t>nt for rail and ships</w:t>
            </w:r>
          </w:p>
          <w:p w14:paraId="00000112" w14:textId="77777777" w:rsidR="00915C55" w:rsidRDefault="00950912">
            <w:pPr>
              <w:numPr>
                <w:ilvl w:val="0"/>
                <w:numId w:val="2"/>
              </w:numPr>
              <w:spacing w:before="60" w:after="60"/>
              <w:rPr>
                <w:sz w:val="20"/>
                <w:szCs w:val="20"/>
              </w:rPr>
            </w:pPr>
            <w:r>
              <w:rPr>
                <w:sz w:val="20"/>
                <w:szCs w:val="20"/>
              </w:rPr>
              <w:t>20% light-duty vehicle miles traveled reduced or shifted from BAU by 2050</w:t>
            </w:r>
          </w:p>
          <w:p w14:paraId="00000113" w14:textId="77777777" w:rsidR="00915C55" w:rsidRDefault="00950912">
            <w:pPr>
              <w:numPr>
                <w:ilvl w:val="0"/>
                <w:numId w:val="2"/>
              </w:numPr>
              <w:spacing w:before="60" w:after="60"/>
              <w:rPr>
                <w:sz w:val="20"/>
                <w:szCs w:val="20"/>
              </w:rPr>
            </w:pPr>
            <w:r>
              <w:rPr>
                <w:sz w:val="20"/>
                <w:szCs w:val="20"/>
              </w:rPr>
              <w:t>6.3% reduction in truck freight transport by 2050</w:t>
            </w:r>
          </w:p>
        </w:tc>
      </w:tr>
      <w:tr w:rsidR="00915C55" w14:paraId="3A9D8998" w14:textId="77777777">
        <w:trPr>
          <w:trHeight w:val="1088"/>
        </w:trPr>
        <w:tc>
          <w:tcPr>
            <w:tcW w:w="1805" w:type="dxa"/>
            <w:shd w:val="clear" w:color="auto" w:fill="44546A"/>
            <w:vAlign w:val="center"/>
          </w:tcPr>
          <w:p w14:paraId="00000114" w14:textId="77777777" w:rsidR="00915C55" w:rsidRDefault="00950912">
            <w:pPr>
              <w:spacing w:before="60" w:after="60"/>
              <w:jc w:val="center"/>
              <w:rPr>
                <w:color w:val="FFFFFF"/>
              </w:rPr>
            </w:pPr>
            <w:r>
              <w:rPr>
                <w:color w:val="FFFFFF"/>
              </w:rPr>
              <w:t>Industry</w:t>
            </w:r>
          </w:p>
        </w:tc>
        <w:tc>
          <w:tcPr>
            <w:tcW w:w="12585" w:type="dxa"/>
            <w:vAlign w:val="center"/>
          </w:tcPr>
          <w:p w14:paraId="00000115" w14:textId="77777777" w:rsidR="00915C55" w:rsidRDefault="00950912">
            <w:pPr>
              <w:numPr>
                <w:ilvl w:val="0"/>
                <w:numId w:val="2"/>
              </w:numPr>
              <w:spacing w:before="60" w:after="60"/>
              <w:rPr>
                <w:sz w:val="20"/>
                <w:szCs w:val="20"/>
              </w:rPr>
            </w:pPr>
            <w:r>
              <w:rPr>
                <w:sz w:val="20"/>
                <w:szCs w:val="20"/>
              </w:rPr>
              <w:t>100% achievement of cement clinker substitution by 2030</w:t>
            </w:r>
          </w:p>
          <w:p w14:paraId="00000116" w14:textId="77777777" w:rsidR="00915C55" w:rsidRDefault="00950912">
            <w:pPr>
              <w:numPr>
                <w:ilvl w:val="0"/>
                <w:numId w:val="2"/>
              </w:numPr>
              <w:spacing w:before="60" w:after="60"/>
              <w:rPr>
                <w:sz w:val="20"/>
                <w:szCs w:val="20"/>
              </w:rPr>
            </w:pPr>
            <w:r>
              <w:rPr>
                <w:sz w:val="20"/>
                <w:szCs w:val="20"/>
              </w:rPr>
              <w:t>100% achievement of HFC emissions reductions</w:t>
            </w:r>
            <w:r>
              <w:rPr>
                <w:sz w:val="20"/>
                <w:szCs w:val="20"/>
              </w:rPr>
              <w:t xml:space="preserve"> from the Kigali Amendment to the Montreal Protocol</w:t>
            </w:r>
          </w:p>
          <w:p w14:paraId="00000117" w14:textId="77777777" w:rsidR="00915C55" w:rsidRDefault="00950912">
            <w:pPr>
              <w:numPr>
                <w:ilvl w:val="0"/>
                <w:numId w:val="2"/>
              </w:numPr>
              <w:spacing w:before="60" w:after="60"/>
              <w:rPr>
                <w:sz w:val="20"/>
                <w:szCs w:val="20"/>
              </w:rPr>
            </w:pPr>
            <w:r>
              <w:rPr>
                <w:sz w:val="20"/>
                <w:szCs w:val="20"/>
              </w:rPr>
              <w:t>14% improvement in industrial energy intensity/efficiency by 2050</w:t>
            </w:r>
          </w:p>
          <w:p w14:paraId="00000118" w14:textId="77777777" w:rsidR="00915C55" w:rsidRDefault="00950912">
            <w:pPr>
              <w:numPr>
                <w:ilvl w:val="0"/>
                <w:numId w:val="2"/>
              </w:numPr>
              <w:spacing w:before="60" w:after="60"/>
              <w:rPr>
                <w:sz w:val="20"/>
                <w:szCs w:val="20"/>
              </w:rPr>
            </w:pPr>
            <w:r>
              <w:rPr>
                <w:sz w:val="20"/>
                <w:szCs w:val="20"/>
              </w:rPr>
              <w:t>100% by 2050 shift from fossil fuels to a mix of electricity and hydrogen, varying by industrial potential for each fuel type, by 2050</w:t>
            </w:r>
          </w:p>
          <w:p w14:paraId="00000119" w14:textId="77777777" w:rsidR="00915C55" w:rsidRDefault="00950912">
            <w:pPr>
              <w:numPr>
                <w:ilvl w:val="0"/>
                <w:numId w:val="2"/>
              </w:numPr>
              <w:spacing w:before="60" w:after="60"/>
              <w:rPr>
                <w:sz w:val="20"/>
                <w:szCs w:val="20"/>
              </w:rPr>
            </w:pPr>
            <w:r>
              <w:rPr>
                <w:sz w:val="20"/>
                <w:szCs w:val="20"/>
              </w:rPr>
              <w:t>10%</w:t>
            </w:r>
            <w:r>
              <w:rPr>
                <w:sz w:val="20"/>
                <w:szCs w:val="20"/>
              </w:rPr>
              <w:t xml:space="preserve"> reduction in cement demand and 15% reduction in iron and steel demand from improved material efficiency policies by 2050</w:t>
            </w:r>
          </w:p>
          <w:p w14:paraId="0000011A" w14:textId="77777777" w:rsidR="00915C55" w:rsidRDefault="00950912">
            <w:pPr>
              <w:numPr>
                <w:ilvl w:val="0"/>
                <w:numId w:val="2"/>
              </w:numPr>
              <w:spacing w:before="60" w:after="60"/>
              <w:rPr>
                <w:sz w:val="20"/>
                <w:szCs w:val="20"/>
              </w:rPr>
            </w:pPr>
            <w:r>
              <w:rPr>
                <w:sz w:val="20"/>
                <w:szCs w:val="20"/>
              </w:rPr>
              <w:t>100% achievement of potential emissions reductions from methane capture and destruction in natural gas and oil, coal mining, water, an</w:t>
            </w:r>
            <w:r>
              <w:rPr>
                <w:sz w:val="20"/>
                <w:szCs w:val="20"/>
              </w:rPr>
              <w:t>d waste sectors by 2030</w:t>
            </w:r>
          </w:p>
          <w:p w14:paraId="0000011B" w14:textId="77777777" w:rsidR="00915C55" w:rsidRDefault="00950912">
            <w:pPr>
              <w:numPr>
                <w:ilvl w:val="0"/>
                <w:numId w:val="2"/>
              </w:numPr>
              <w:spacing w:before="60" w:after="60"/>
              <w:rPr>
                <w:sz w:val="20"/>
                <w:szCs w:val="20"/>
              </w:rPr>
            </w:pPr>
            <w:r>
              <w:rPr>
                <w:sz w:val="20"/>
                <w:szCs w:val="20"/>
              </w:rPr>
              <w:t>100% of hydrogen is produced via electrolysis by 2050</w:t>
            </w:r>
          </w:p>
          <w:p w14:paraId="0000011C" w14:textId="77777777" w:rsidR="00915C55" w:rsidRDefault="00950912">
            <w:pPr>
              <w:numPr>
                <w:ilvl w:val="0"/>
                <w:numId w:val="2"/>
              </w:numPr>
              <w:spacing w:before="60" w:after="60"/>
              <w:rPr>
                <w:sz w:val="20"/>
                <w:szCs w:val="20"/>
              </w:rPr>
            </w:pPr>
            <w:r>
              <w:rPr>
                <w:sz w:val="20"/>
                <w:szCs w:val="20"/>
              </w:rPr>
              <w:t>50% remaining industrial CO2 emissions captured and sequestered through CCS by 2050</w:t>
            </w:r>
          </w:p>
        </w:tc>
      </w:tr>
      <w:tr w:rsidR="00915C55" w14:paraId="48B451C1" w14:textId="77777777">
        <w:tc>
          <w:tcPr>
            <w:tcW w:w="1805" w:type="dxa"/>
            <w:shd w:val="clear" w:color="auto" w:fill="44546A"/>
            <w:vAlign w:val="center"/>
          </w:tcPr>
          <w:p w14:paraId="0000011D" w14:textId="77777777" w:rsidR="00915C55" w:rsidRDefault="00950912">
            <w:pPr>
              <w:spacing w:before="60" w:after="60"/>
              <w:jc w:val="center"/>
              <w:rPr>
                <w:color w:val="FFFFFF"/>
              </w:rPr>
            </w:pPr>
            <w:r>
              <w:rPr>
                <w:color w:val="FFFFFF"/>
              </w:rPr>
              <w:t>Land use and</w:t>
            </w:r>
          </w:p>
          <w:p w14:paraId="0000011E" w14:textId="77777777" w:rsidR="00915C55" w:rsidRDefault="00950912">
            <w:pPr>
              <w:spacing w:before="60" w:after="60"/>
              <w:jc w:val="center"/>
              <w:rPr>
                <w:color w:val="FFFFFF"/>
              </w:rPr>
            </w:pPr>
            <w:r>
              <w:rPr>
                <w:color w:val="FFFFFF"/>
              </w:rPr>
              <w:t>Agriculture</w:t>
            </w:r>
          </w:p>
        </w:tc>
        <w:tc>
          <w:tcPr>
            <w:tcW w:w="12585" w:type="dxa"/>
            <w:vAlign w:val="center"/>
          </w:tcPr>
          <w:p w14:paraId="0000011F" w14:textId="77777777" w:rsidR="00915C55" w:rsidRDefault="00950912">
            <w:pPr>
              <w:numPr>
                <w:ilvl w:val="0"/>
                <w:numId w:val="2"/>
              </w:numPr>
              <w:spacing w:before="60" w:after="60"/>
              <w:rPr>
                <w:sz w:val="20"/>
                <w:szCs w:val="20"/>
              </w:rPr>
            </w:pPr>
            <w:r>
              <w:rPr>
                <w:sz w:val="20"/>
                <w:szCs w:val="20"/>
              </w:rPr>
              <w:t>100% achievement of potential additional carbon uptake from afforest</w:t>
            </w:r>
            <w:r>
              <w:rPr>
                <w:sz w:val="20"/>
                <w:szCs w:val="20"/>
              </w:rPr>
              <w:t>ation/reforestation measures, improved forest management, cropland measures, and livestock measures (such as requiring anaerobic digesters) by 2030</w:t>
            </w:r>
          </w:p>
        </w:tc>
      </w:tr>
    </w:tbl>
    <w:p w14:paraId="00000120" w14:textId="77777777" w:rsidR="00915C55" w:rsidRDefault="00950912">
      <w:pPr>
        <w:pStyle w:val="Heading2"/>
        <w:numPr>
          <w:ilvl w:val="0"/>
          <w:numId w:val="1"/>
        </w:numPr>
        <w:ind w:left="0" w:firstLine="0"/>
      </w:pPr>
      <w:bookmarkStart w:id="5" w:name="_heading=h.tyjcwt" w:colFirst="0" w:colLast="0"/>
      <w:bookmarkEnd w:id="5"/>
      <w:r>
        <w:lastRenderedPageBreak/>
        <w:t>About the Energy Policy Simulator</w:t>
      </w:r>
    </w:p>
    <w:p w14:paraId="00000121" w14:textId="77777777" w:rsidR="00915C55" w:rsidRDefault="00950912">
      <w:pPr>
        <w:spacing w:after="120"/>
      </w:pPr>
      <w:r>
        <w:t xml:space="preserve">If you have questions about using the EPS, we recommend first watching our video series, available </w:t>
      </w:r>
      <w:hyperlink r:id="rId34">
        <w:r>
          <w:rPr>
            <w:color w:val="0563C1"/>
            <w:u w:val="single"/>
          </w:rPr>
          <w:t>here</w:t>
        </w:r>
      </w:hyperlink>
      <w:r>
        <w:t>.</w:t>
      </w:r>
      <w:r>
        <w:rPr>
          <w:vertAlign w:val="superscript"/>
        </w:rPr>
        <w:footnoteReference w:id="8"/>
      </w:r>
      <w:r>
        <w:t xml:space="preserve"> For further information on the EPS, contact us at </w:t>
      </w:r>
      <w:hyperlink r:id="rId35">
        <w:r>
          <w:rPr>
            <w:color w:val="0563C1"/>
            <w:u w:val="single"/>
          </w:rPr>
          <w:t>policy@energyinnovation.org</w:t>
        </w:r>
      </w:hyperlink>
      <w:r>
        <w:t xml:space="preserve">. For more information on RMI analysis and our state advocacy support network contact us at </w:t>
      </w:r>
      <w:hyperlink r:id="rId36">
        <w:r>
          <w:rPr>
            <w:color w:val="1155CC"/>
            <w:u w:val="single"/>
          </w:rPr>
          <w:t>USAnalysis@rmi.org</w:t>
        </w:r>
      </w:hyperlink>
      <w:r>
        <w:t>.</w:t>
      </w:r>
    </w:p>
    <w:p w14:paraId="00000122" w14:textId="77777777" w:rsidR="00915C55" w:rsidRDefault="00950912">
      <w:pPr>
        <w:spacing w:after="120"/>
      </w:pPr>
      <w:r>
        <w:t xml:space="preserve">The US EPS model is available for download online </w:t>
      </w:r>
      <w:hyperlink r:id="rId37">
        <w:r>
          <w:rPr>
            <w:color w:val="0563C1"/>
            <w:u w:val="single"/>
          </w:rPr>
          <w:t>here</w:t>
        </w:r>
      </w:hyperlink>
      <w:r>
        <w:t>.</w:t>
      </w:r>
      <w:r>
        <w:rPr>
          <w:vertAlign w:val="superscript"/>
        </w:rPr>
        <w:footnoteReference w:id="9"/>
      </w:r>
      <w:r>
        <w:t xml:space="preserve"> And full documentation on methodology and assumptions are available online </w:t>
      </w:r>
      <w:hyperlink r:id="rId38">
        <w:r>
          <w:rPr>
            <w:color w:val="0563C1"/>
            <w:u w:val="single"/>
          </w:rPr>
          <w:t>here</w:t>
        </w:r>
      </w:hyperlink>
      <w:r>
        <w:t>.</w:t>
      </w:r>
      <w:r>
        <w:rPr>
          <w:vertAlign w:val="superscript"/>
        </w:rPr>
        <w:footnoteReference w:id="10"/>
      </w:r>
      <w:r>
        <w:t xml:space="preserve"> The US state EPS models were developed as a partnership between Energy Innovation and RMI. RMI’s work supporting the state of New Mexico is funded by the US Climate Alliance. RMI’s development work</w:t>
      </w:r>
      <w:r>
        <w:t xml:space="preserve"> related to the New Mexico EPS is supported by Bloomberg Philanthropies.</w:t>
      </w:r>
    </w:p>
    <w:sectPr w:rsidR="00915C55">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1562E" w14:textId="77777777" w:rsidR="00950912" w:rsidRDefault="00950912">
      <w:pPr>
        <w:spacing w:before="0"/>
      </w:pPr>
      <w:r>
        <w:separator/>
      </w:r>
    </w:p>
  </w:endnote>
  <w:endnote w:type="continuationSeparator" w:id="0">
    <w:p w14:paraId="139ABF0B" w14:textId="77777777" w:rsidR="00950912" w:rsidRDefault="0095091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FD5BA" w14:textId="77777777" w:rsidR="00950912" w:rsidRDefault="00950912">
      <w:pPr>
        <w:spacing w:before="0"/>
      </w:pPr>
      <w:r>
        <w:separator/>
      </w:r>
    </w:p>
  </w:footnote>
  <w:footnote w:type="continuationSeparator" w:id="0">
    <w:p w14:paraId="682F9F5F" w14:textId="77777777" w:rsidR="00950912" w:rsidRDefault="00950912">
      <w:pPr>
        <w:spacing w:before="0"/>
      </w:pPr>
      <w:r>
        <w:continuationSeparator/>
      </w:r>
    </w:p>
  </w:footnote>
  <w:footnote w:id="1">
    <w:p w14:paraId="00000123" w14:textId="77777777" w:rsidR="00915C55" w:rsidRPr="00957D5A" w:rsidRDefault="00950912" w:rsidP="00957D5A">
      <w:pPr>
        <w:pStyle w:val="NoSpacing"/>
        <w:rPr>
          <w:color w:val="000000"/>
          <w:sz w:val="20"/>
          <w:szCs w:val="20"/>
        </w:rPr>
      </w:pPr>
      <w:r w:rsidRPr="00957D5A">
        <w:rPr>
          <w:rStyle w:val="FootnoteReference"/>
          <w:sz w:val="20"/>
          <w:szCs w:val="20"/>
        </w:rPr>
        <w:footnoteRef/>
      </w:r>
      <w:r w:rsidRPr="00957D5A">
        <w:rPr>
          <w:color w:val="000000"/>
          <w:sz w:val="20"/>
          <w:szCs w:val="20"/>
        </w:rPr>
        <w:t xml:space="preserve"> CNEE and E3, </w:t>
      </w:r>
      <w:r w:rsidRPr="00957D5A">
        <w:rPr>
          <w:i/>
          <w:color w:val="000000"/>
          <w:sz w:val="20"/>
          <w:szCs w:val="20"/>
        </w:rPr>
        <w:t>New Mexico Greenhouse Gas Emissions Inventory and Forecast</w:t>
      </w:r>
      <w:r w:rsidRPr="00957D5A">
        <w:rPr>
          <w:color w:val="000000"/>
          <w:sz w:val="20"/>
          <w:szCs w:val="20"/>
        </w:rPr>
        <w:t xml:space="preserve">, 2020. </w:t>
      </w:r>
      <w:hyperlink r:id="rId1">
        <w:r w:rsidRPr="00957D5A">
          <w:rPr>
            <w:color w:val="0563C1"/>
            <w:sz w:val="20"/>
            <w:szCs w:val="20"/>
            <w:u w:val="single"/>
          </w:rPr>
          <w:t>https://cnee.colostate.edu/wp-content/uploads/2021/01/New-Mexico-GHG-Inventory-and-Forecast-Report_2020-10-27_final.pdf</w:t>
        </w:r>
      </w:hyperlink>
      <w:r w:rsidRPr="00957D5A">
        <w:rPr>
          <w:color w:val="000000"/>
          <w:sz w:val="20"/>
          <w:szCs w:val="20"/>
        </w:rPr>
        <w:t xml:space="preserve"> </w:t>
      </w:r>
      <w:r w:rsidRPr="00957D5A">
        <w:rPr>
          <w:color w:val="000000"/>
          <w:sz w:val="20"/>
          <w:szCs w:val="20"/>
        </w:rPr>
        <w:br/>
        <w:t>Note one departure from the E3 Pathways Report in treatment of the oil and gas combustion CO</w:t>
      </w:r>
      <w:r w:rsidRPr="00957D5A">
        <w:rPr>
          <w:color w:val="000000"/>
          <w:sz w:val="20"/>
          <w:szCs w:val="20"/>
          <w:vertAlign w:val="subscript"/>
        </w:rPr>
        <w:t>2</w:t>
      </w:r>
      <w:r w:rsidRPr="00957D5A">
        <w:rPr>
          <w:color w:val="000000"/>
          <w:sz w:val="20"/>
          <w:szCs w:val="20"/>
        </w:rPr>
        <w:t xml:space="preserve"> emissions trajectory. Projected growth was aligned with the downscaled national projection from the Annual Energy Outlook, resulting in a modest growth in oil a</w:t>
      </w:r>
      <w:r w:rsidRPr="00957D5A">
        <w:rPr>
          <w:color w:val="000000"/>
          <w:sz w:val="20"/>
          <w:szCs w:val="20"/>
        </w:rPr>
        <w:t>nd gas combustion CO</w:t>
      </w:r>
      <w:r w:rsidRPr="00957D5A">
        <w:rPr>
          <w:color w:val="000000"/>
          <w:sz w:val="20"/>
          <w:szCs w:val="20"/>
          <w:vertAlign w:val="subscript"/>
        </w:rPr>
        <w:t>2</w:t>
      </w:r>
      <w:r w:rsidRPr="00957D5A">
        <w:rPr>
          <w:color w:val="000000"/>
          <w:sz w:val="20"/>
          <w:szCs w:val="20"/>
        </w:rPr>
        <w:t xml:space="preserve"> in the BAU, rather than using the aggressive reductions projected from the Western Regional Air Partnership analysis.</w:t>
      </w:r>
    </w:p>
  </w:footnote>
  <w:footnote w:id="2">
    <w:p w14:paraId="00000124" w14:textId="77777777" w:rsidR="00915C55" w:rsidRPr="00957D5A" w:rsidRDefault="00950912" w:rsidP="00957D5A">
      <w:pPr>
        <w:pStyle w:val="NoSpacing"/>
        <w:rPr>
          <w:color w:val="000000"/>
          <w:sz w:val="20"/>
          <w:szCs w:val="20"/>
        </w:rPr>
      </w:pPr>
      <w:r w:rsidRPr="00957D5A">
        <w:rPr>
          <w:rStyle w:val="FootnoteReference"/>
          <w:sz w:val="20"/>
          <w:szCs w:val="20"/>
        </w:rPr>
        <w:footnoteRef/>
      </w:r>
      <w:r w:rsidRPr="00957D5A">
        <w:rPr>
          <w:color w:val="000000"/>
          <w:sz w:val="20"/>
          <w:szCs w:val="20"/>
        </w:rPr>
        <w:t xml:space="preserve"> </w:t>
      </w:r>
      <w:hyperlink r:id="rId2">
        <w:r w:rsidRPr="00957D5A">
          <w:rPr>
            <w:color w:val="0563C1"/>
            <w:sz w:val="20"/>
            <w:szCs w:val="20"/>
            <w:u w:val="single"/>
          </w:rPr>
          <w:t>https://rhg.com/data_story/climate-deck/</w:t>
        </w:r>
      </w:hyperlink>
      <w:r w:rsidRPr="00957D5A">
        <w:rPr>
          <w:color w:val="000000"/>
          <w:sz w:val="20"/>
          <w:szCs w:val="20"/>
        </w:rPr>
        <w:t xml:space="preserve"> </w:t>
      </w:r>
    </w:p>
  </w:footnote>
  <w:footnote w:id="3">
    <w:p w14:paraId="00000125" w14:textId="77777777" w:rsidR="00915C55" w:rsidRPr="00957D5A" w:rsidRDefault="00950912" w:rsidP="00957D5A">
      <w:pPr>
        <w:pStyle w:val="NoSpacing"/>
        <w:rPr>
          <w:sz w:val="20"/>
          <w:szCs w:val="20"/>
        </w:rPr>
      </w:pPr>
      <w:r w:rsidRPr="00957D5A">
        <w:rPr>
          <w:rStyle w:val="FootnoteReference"/>
          <w:sz w:val="20"/>
          <w:szCs w:val="20"/>
        </w:rPr>
        <w:footnoteRef/>
      </w:r>
      <w:r w:rsidRPr="00957D5A">
        <w:rPr>
          <w:sz w:val="20"/>
          <w:szCs w:val="20"/>
        </w:rPr>
        <w:t xml:space="preserve"> Efficiency</w:t>
      </w:r>
      <w:r w:rsidRPr="00957D5A">
        <w:rPr>
          <w:sz w:val="20"/>
          <w:szCs w:val="20"/>
        </w:rPr>
        <w:t xml:space="preserve"> improvements are derived from NREL electrification futures study Reference Case. </w:t>
      </w:r>
    </w:p>
  </w:footnote>
  <w:footnote w:id="4">
    <w:p w14:paraId="00000126" w14:textId="77777777" w:rsidR="00915C55" w:rsidRPr="00957D5A" w:rsidRDefault="00950912" w:rsidP="00957D5A">
      <w:pPr>
        <w:pStyle w:val="NoSpacing"/>
        <w:rPr>
          <w:color w:val="000000"/>
          <w:sz w:val="20"/>
          <w:szCs w:val="20"/>
        </w:rPr>
      </w:pPr>
      <w:r w:rsidRPr="00957D5A">
        <w:rPr>
          <w:rStyle w:val="FootnoteReference"/>
          <w:sz w:val="20"/>
          <w:szCs w:val="20"/>
        </w:rPr>
        <w:footnoteRef/>
      </w:r>
      <w:r w:rsidRPr="00957D5A">
        <w:rPr>
          <w:color w:val="000000"/>
          <w:sz w:val="20"/>
          <w:szCs w:val="20"/>
        </w:rPr>
        <w:t xml:space="preserve"> Frances </w:t>
      </w:r>
      <w:proofErr w:type="spellStart"/>
      <w:r w:rsidRPr="00957D5A">
        <w:rPr>
          <w:color w:val="000000"/>
          <w:sz w:val="20"/>
          <w:szCs w:val="20"/>
        </w:rPr>
        <w:t>Reuland</w:t>
      </w:r>
      <w:proofErr w:type="spellEnd"/>
      <w:r w:rsidRPr="00957D5A">
        <w:rPr>
          <w:color w:val="000000"/>
          <w:sz w:val="20"/>
          <w:szCs w:val="20"/>
        </w:rPr>
        <w:t xml:space="preserve"> (RMI), personal communication, Sep 2021</w:t>
      </w:r>
    </w:p>
  </w:footnote>
  <w:footnote w:id="5">
    <w:p w14:paraId="00000127" w14:textId="77777777" w:rsidR="00915C55" w:rsidRPr="00957D5A" w:rsidRDefault="00950912" w:rsidP="00957D5A">
      <w:pPr>
        <w:pStyle w:val="NoSpacing"/>
        <w:rPr>
          <w:color w:val="000000"/>
          <w:sz w:val="20"/>
          <w:szCs w:val="20"/>
        </w:rPr>
      </w:pPr>
      <w:r w:rsidRPr="00957D5A">
        <w:rPr>
          <w:rStyle w:val="FootnoteReference"/>
          <w:sz w:val="20"/>
          <w:szCs w:val="20"/>
        </w:rPr>
        <w:footnoteRef/>
      </w:r>
      <w:r w:rsidRPr="00957D5A">
        <w:rPr>
          <w:color w:val="000000"/>
          <w:sz w:val="20"/>
          <w:szCs w:val="20"/>
        </w:rPr>
        <w:t xml:space="preserve"> Ibid.</w:t>
      </w:r>
    </w:p>
  </w:footnote>
  <w:footnote w:id="6">
    <w:p w14:paraId="00000128" w14:textId="77777777" w:rsidR="00915C55" w:rsidRPr="00957D5A" w:rsidRDefault="00950912" w:rsidP="00957D5A">
      <w:pPr>
        <w:pStyle w:val="NoSpacing"/>
        <w:rPr>
          <w:color w:val="000000"/>
          <w:sz w:val="20"/>
          <w:szCs w:val="20"/>
        </w:rPr>
      </w:pPr>
      <w:r w:rsidRPr="00957D5A">
        <w:rPr>
          <w:rStyle w:val="FootnoteReference"/>
          <w:sz w:val="20"/>
          <w:szCs w:val="20"/>
        </w:rPr>
        <w:footnoteRef/>
      </w:r>
      <w:r w:rsidRPr="00957D5A">
        <w:rPr>
          <w:color w:val="000000"/>
          <w:sz w:val="20"/>
          <w:szCs w:val="20"/>
        </w:rPr>
        <w:t xml:space="preserve"> Electric vehicle adoption in the BAU case is based on economic adoption modeled in the EPS</w:t>
      </w:r>
      <w:r w:rsidRPr="00957D5A">
        <w:rPr>
          <w:sz w:val="20"/>
          <w:szCs w:val="20"/>
        </w:rPr>
        <w:t>, with more</w:t>
      </w:r>
      <w:r w:rsidRPr="00957D5A">
        <w:rPr>
          <w:color w:val="000000"/>
          <w:sz w:val="20"/>
          <w:szCs w:val="20"/>
        </w:rPr>
        <w:t xml:space="preserve"> </w:t>
      </w:r>
      <w:r w:rsidRPr="00957D5A">
        <w:rPr>
          <w:sz w:val="20"/>
          <w:szCs w:val="20"/>
        </w:rPr>
        <w:t>details</w:t>
      </w:r>
      <w:r w:rsidRPr="00957D5A">
        <w:rPr>
          <w:color w:val="000000"/>
          <w:sz w:val="20"/>
          <w:szCs w:val="20"/>
        </w:rPr>
        <w:t xml:space="preserve"> available here: </w:t>
      </w:r>
      <w:hyperlink r:id="rId3">
        <w:r w:rsidRPr="00957D5A">
          <w:rPr>
            <w:color w:val="0563C1"/>
            <w:sz w:val="20"/>
            <w:szCs w:val="20"/>
            <w:u w:val="single"/>
          </w:rPr>
          <w:t>https://us.energypolicy.solutions/docs/</w:t>
        </w:r>
        <w:r w:rsidRPr="00957D5A">
          <w:rPr>
            <w:color w:val="0563C1"/>
            <w:sz w:val="20"/>
            <w:szCs w:val="20"/>
            <w:u w:val="single"/>
          </w:rPr>
          <w:t>transportation-sector-main.html</w:t>
        </w:r>
      </w:hyperlink>
      <w:r w:rsidRPr="00957D5A">
        <w:rPr>
          <w:color w:val="0563C1"/>
          <w:sz w:val="20"/>
          <w:szCs w:val="20"/>
          <w:u w:val="single"/>
        </w:rPr>
        <w:t>.</w:t>
      </w:r>
      <w:r w:rsidRPr="00957D5A">
        <w:rPr>
          <w:color w:val="000000"/>
          <w:sz w:val="20"/>
          <w:szCs w:val="20"/>
        </w:rPr>
        <w:t xml:space="preserve"> EPS transportation data, such as vehicle prices, is largely taken from EIA.</w:t>
      </w:r>
    </w:p>
  </w:footnote>
  <w:footnote w:id="7">
    <w:p w14:paraId="00000129" w14:textId="77777777" w:rsidR="00915C55" w:rsidRPr="00957D5A" w:rsidRDefault="00950912" w:rsidP="00957D5A">
      <w:pPr>
        <w:pStyle w:val="NoSpacing"/>
        <w:rPr>
          <w:b/>
          <w:color w:val="000000"/>
          <w:sz w:val="20"/>
          <w:szCs w:val="20"/>
        </w:rPr>
      </w:pPr>
      <w:r w:rsidRPr="00957D5A">
        <w:rPr>
          <w:rStyle w:val="FootnoteReference"/>
          <w:sz w:val="20"/>
          <w:szCs w:val="20"/>
        </w:rPr>
        <w:footnoteRef/>
      </w:r>
      <w:r w:rsidRPr="00957D5A">
        <w:rPr>
          <w:color w:val="000000"/>
          <w:sz w:val="20"/>
          <w:szCs w:val="20"/>
        </w:rPr>
        <w:t xml:space="preserve"> Energy Innovation, “A 1.5°C NDC For Climate Leadership </w:t>
      </w:r>
      <w:proofErr w:type="gramStart"/>
      <w:r w:rsidRPr="00957D5A">
        <w:rPr>
          <w:color w:val="000000"/>
          <w:sz w:val="20"/>
          <w:szCs w:val="20"/>
        </w:rPr>
        <w:t>By</w:t>
      </w:r>
      <w:proofErr w:type="gramEnd"/>
      <w:r w:rsidRPr="00957D5A">
        <w:rPr>
          <w:color w:val="000000"/>
          <w:sz w:val="20"/>
          <w:szCs w:val="20"/>
        </w:rPr>
        <w:t xml:space="preserve"> The United States”, 2021. </w:t>
      </w:r>
      <w:hyperlink r:id="rId4">
        <w:r w:rsidRPr="00957D5A">
          <w:rPr>
            <w:color w:val="0563C1"/>
            <w:sz w:val="20"/>
            <w:szCs w:val="20"/>
            <w:u w:val="single"/>
          </w:rPr>
          <w:t>https://energyinnovation.org/publication/a-1-5-celsius-pathway-to-climate-leadership-for-the-united-states/</w:t>
        </w:r>
      </w:hyperlink>
      <w:r w:rsidRPr="00957D5A">
        <w:rPr>
          <w:color w:val="000000"/>
          <w:sz w:val="20"/>
          <w:szCs w:val="20"/>
        </w:rPr>
        <w:t xml:space="preserve"> </w:t>
      </w:r>
    </w:p>
  </w:footnote>
  <w:footnote w:id="8">
    <w:p w14:paraId="0000012A" w14:textId="77777777" w:rsidR="00915C55" w:rsidRPr="00957D5A" w:rsidRDefault="00950912" w:rsidP="00957D5A">
      <w:pPr>
        <w:pStyle w:val="NoSpacing"/>
        <w:rPr>
          <w:sz w:val="20"/>
          <w:szCs w:val="20"/>
        </w:rPr>
      </w:pPr>
      <w:r w:rsidRPr="00957D5A">
        <w:rPr>
          <w:rStyle w:val="FootnoteReference"/>
          <w:sz w:val="20"/>
          <w:szCs w:val="20"/>
        </w:rPr>
        <w:footnoteRef/>
      </w:r>
      <w:r w:rsidRPr="00957D5A">
        <w:rPr>
          <w:sz w:val="20"/>
          <w:szCs w:val="20"/>
        </w:rPr>
        <w:t xml:space="preserve"> https://us.energypolicy.solutions/docs/video-series.html</w:t>
      </w:r>
    </w:p>
  </w:footnote>
  <w:footnote w:id="9">
    <w:p w14:paraId="0000012B" w14:textId="77777777" w:rsidR="00915C55" w:rsidRPr="00957D5A" w:rsidRDefault="00950912" w:rsidP="00957D5A">
      <w:pPr>
        <w:pStyle w:val="NoSpacing"/>
        <w:rPr>
          <w:color w:val="000000"/>
          <w:sz w:val="20"/>
          <w:szCs w:val="20"/>
        </w:rPr>
      </w:pPr>
      <w:r w:rsidRPr="00957D5A">
        <w:rPr>
          <w:rStyle w:val="FootnoteReference"/>
          <w:sz w:val="20"/>
          <w:szCs w:val="20"/>
        </w:rPr>
        <w:footnoteRef/>
      </w:r>
      <w:r w:rsidRPr="00957D5A">
        <w:rPr>
          <w:color w:val="000000"/>
          <w:sz w:val="20"/>
          <w:szCs w:val="20"/>
        </w:rPr>
        <w:t xml:space="preserve"> https://us.energypol</w:t>
      </w:r>
      <w:r w:rsidRPr="00957D5A">
        <w:rPr>
          <w:color w:val="000000"/>
          <w:sz w:val="20"/>
          <w:szCs w:val="20"/>
        </w:rPr>
        <w:t>icy.solutions/docs/download.html</w:t>
      </w:r>
    </w:p>
  </w:footnote>
  <w:footnote w:id="10">
    <w:p w14:paraId="0000012C" w14:textId="77777777" w:rsidR="00915C55" w:rsidRPr="00957D5A" w:rsidRDefault="00950912" w:rsidP="00957D5A">
      <w:pPr>
        <w:pStyle w:val="NoSpacing"/>
        <w:rPr>
          <w:color w:val="000000"/>
          <w:sz w:val="20"/>
          <w:szCs w:val="20"/>
        </w:rPr>
      </w:pPr>
      <w:r w:rsidRPr="00957D5A">
        <w:rPr>
          <w:rStyle w:val="FootnoteReference"/>
          <w:sz w:val="20"/>
          <w:szCs w:val="20"/>
        </w:rPr>
        <w:footnoteRef/>
      </w:r>
      <w:r w:rsidRPr="00957D5A">
        <w:rPr>
          <w:color w:val="000000"/>
          <w:sz w:val="20"/>
          <w:szCs w:val="20"/>
        </w:rPr>
        <w:t xml:space="preserve"> https://us.energypolicy.solutions/docs/index.html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4402E"/>
    <w:multiLevelType w:val="multilevel"/>
    <w:tmpl w:val="B3A65A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ED57EC"/>
    <w:multiLevelType w:val="multilevel"/>
    <w:tmpl w:val="5E72AC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C55"/>
    <w:rsid w:val="0046483E"/>
    <w:rsid w:val="005B7337"/>
    <w:rsid w:val="00915C55"/>
    <w:rsid w:val="00950912"/>
    <w:rsid w:val="00957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ABEE12-234D-45FB-B0A1-A6EBCD3C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6D1"/>
  </w:style>
  <w:style w:type="paragraph" w:styleId="Heading1">
    <w:name w:val="heading 1"/>
    <w:basedOn w:val="Normal"/>
    <w:next w:val="Normal"/>
    <w:link w:val="Heading1Char"/>
    <w:uiPriority w:val="9"/>
    <w:qFormat/>
    <w:rsid w:val="007906D1"/>
    <w:pPr>
      <w:keepNext/>
      <w:keepLines/>
      <w:pageBreakBefore/>
      <w:spacing w:before="240"/>
      <w:ind w:left="432" w:hanging="432"/>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BCC"/>
    <w:pPr>
      <w:keepNext/>
      <w:keepLines/>
      <w:spacing w:before="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06D1"/>
    <w:pPr>
      <w:keepNext/>
      <w:keepLines/>
      <w:ind w:left="720" w:hanging="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906D1"/>
    <w:pPr>
      <w:keepNext/>
      <w:keepLines/>
      <w:spacing w:before="40"/>
      <w:ind w:left="864" w:hanging="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906D1"/>
    <w:pPr>
      <w:keepNext/>
      <w:keepLines/>
      <w:spacing w:before="40"/>
      <w:ind w:left="1008" w:hanging="1008"/>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906D1"/>
    <w:pPr>
      <w:keepNext/>
      <w:keepLines/>
      <w:spacing w:before="40"/>
      <w:ind w:left="1152" w:hanging="1152"/>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906D1"/>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906D1"/>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906D1"/>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597B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7BCC"/>
    <w:pPr>
      <w:ind w:left="720"/>
    </w:pPr>
  </w:style>
  <w:style w:type="character" w:customStyle="1" w:styleId="Heading1Char">
    <w:name w:val="Heading 1 Char"/>
    <w:basedOn w:val="DefaultParagraphFont"/>
    <w:link w:val="Heading1"/>
    <w:uiPriority w:val="9"/>
    <w:rsid w:val="007906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906D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906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906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906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906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906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06D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90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06D1"/>
    <w:rPr>
      <w:color w:val="0563C1" w:themeColor="hyperlink"/>
      <w:u w:val="single"/>
    </w:rPr>
  </w:style>
  <w:style w:type="character" w:styleId="CommentReference">
    <w:name w:val="annotation reference"/>
    <w:basedOn w:val="DefaultParagraphFont"/>
    <w:uiPriority w:val="99"/>
    <w:semiHidden/>
    <w:unhideWhenUsed/>
    <w:rsid w:val="007906D1"/>
    <w:rPr>
      <w:sz w:val="16"/>
      <w:szCs w:val="16"/>
    </w:rPr>
  </w:style>
  <w:style w:type="paragraph" w:styleId="CommentText">
    <w:name w:val="annotation text"/>
    <w:basedOn w:val="Normal"/>
    <w:link w:val="CommentTextChar"/>
    <w:uiPriority w:val="99"/>
    <w:semiHidden/>
    <w:unhideWhenUsed/>
    <w:rsid w:val="007906D1"/>
    <w:rPr>
      <w:sz w:val="20"/>
      <w:szCs w:val="20"/>
    </w:rPr>
  </w:style>
  <w:style w:type="character" w:customStyle="1" w:styleId="CommentTextChar">
    <w:name w:val="Comment Text Char"/>
    <w:basedOn w:val="DefaultParagraphFont"/>
    <w:link w:val="CommentText"/>
    <w:uiPriority w:val="99"/>
    <w:semiHidden/>
    <w:rsid w:val="007906D1"/>
    <w:rPr>
      <w:sz w:val="20"/>
      <w:szCs w:val="20"/>
    </w:rPr>
  </w:style>
  <w:style w:type="paragraph" w:styleId="FootnoteText">
    <w:name w:val="footnote text"/>
    <w:basedOn w:val="Normal"/>
    <w:link w:val="FootnoteTextChar"/>
    <w:uiPriority w:val="99"/>
    <w:semiHidden/>
    <w:unhideWhenUsed/>
    <w:rsid w:val="007906D1"/>
    <w:rPr>
      <w:sz w:val="20"/>
      <w:szCs w:val="20"/>
    </w:rPr>
  </w:style>
  <w:style w:type="character" w:customStyle="1" w:styleId="FootnoteTextChar">
    <w:name w:val="Footnote Text Char"/>
    <w:basedOn w:val="DefaultParagraphFont"/>
    <w:link w:val="FootnoteText"/>
    <w:uiPriority w:val="99"/>
    <w:semiHidden/>
    <w:rsid w:val="007906D1"/>
    <w:rPr>
      <w:sz w:val="20"/>
      <w:szCs w:val="20"/>
    </w:rPr>
  </w:style>
  <w:style w:type="character" w:styleId="FootnoteReference">
    <w:name w:val="footnote reference"/>
    <w:basedOn w:val="DefaultParagraphFont"/>
    <w:uiPriority w:val="99"/>
    <w:semiHidden/>
    <w:unhideWhenUsed/>
    <w:rsid w:val="007906D1"/>
    <w:rPr>
      <w:vertAlign w:val="superscript"/>
    </w:rPr>
  </w:style>
  <w:style w:type="character" w:styleId="Mention">
    <w:name w:val="Mention"/>
    <w:basedOn w:val="DefaultParagraphFont"/>
    <w:uiPriority w:val="99"/>
    <w:unhideWhenUsed/>
    <w:rsid w:val="007906D1"/>
    <w:rPr>
      <w:color w:val="2B579A"/>
      <w:shd w:val="clear" w:color="auto" w:fill="E1DFDD"/>
    </w:rPr>
  </w:style>
  <w:style w:type="paragraph" w:styleId="Caption">
    <w:name w:val="caption"/>
    <w:basedOn w:val="Normal"/>
    <w:next w:val="Normal"/>
    <w:uiPriority w:val="35"/>
    <w:unhideWhenUsed/>
    <w:qFormat/>
    <w:rsid w:val="007906D1"/>
    <w:pPr>
      <w:keepNext/>
      <w:spacing w:before="240" w:after="200"/>
      <w:jc w:val="center"/>
    </w:pPr>
    <w:rPr>
      <w:i/>
      <w:iCs/>
      <w:color w:val="44546A" w:themeColor="text2"/>
    </w:rPr>
  </w:style>
  <w:style w:type="table" w:styleId="GridTable1Light">
    <w:name w:val="Grid Table 1 Light"/>
    <w:basedOn w:val="TableNormal"/>
    <w:uiPriority w:val="46"/>
    <w:rsid w:val="007906D1"/>
    <w:pPr>
      <w:widowControl w:val="0"/>
      <w:autoSpaceDE w:val="0"/>
      <w:autoSpaceDN w:val="0"/>
    </w:pPr>
    <w:rPr>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8A31E0"/>
    <w:rPr>
      <w:color w:val="605E5C"/>
      <w:shd w:val="clear" w:color="auto" w:fill="E1DFDD"/>
    </w:rPr>
  </w:style>
  <w:style w:type="character" w:styleId="FollowedHyperlink">
    <w:name w:val="FollowedHyperlink"/>
    <w:basedOn w:val="DefaultParagraphFont"/>
    <w:uiPriority w:val="99"/>
    <w:semiHidden/>
    <w:unhideWhenUsed/>
    <w:rsid w:val="00324AD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DE1CF0"/>
    <w:rPr>
      <w:b/>
      <w:bCs/>
    </w:rPr>
  </w:style>
  <w:style w:type="character" w:customStyle="1" w:styleId="CommentSubjectChar">
    <w:name w:val="Comment Subject Char"/>
    <w:basedOn w:val="CommentTextChar"/>
    <w:link w:val="CommentSubject"/>
    <w:uiPriority w:val="99"/>
    <w:semiHidden/>
    <w:rsid w:val="00DE1CF0"/>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widowControl w:val="0"/>
    </w:pPr>
    <w:rPr>
      <w:sz w:val="22"/>
      <w:szCs w:val="22"/>
    </w:rPr>
    <w:tblPr>
      <w:tblStyleRowBandSize w:val="1"/>
      <w:tblStyleColBandSize w:val="1"/>
      <w:tblCellMar>
        <w:left w:w="115" w:type="dxa"/>
        <w:right w:w="115" w:type="dxa"/>
      </w:tblCellMar>
    </w:tblPr>
  </w:style>
  <w:style w:type="table" w:customStyle="1" w:styleId="a3">
    <w:basedOn w:val="TableNormal"/>
    <w:pPr>
      <w:widowControl w:val="0"/>
    </w:pPr>
    <w:rPr>
      <w:sz w:val="22"/>
      <w:szCs w:val="22"/>
    </w:rPr>
    <w:tblPr>
      <w:tblStyleRowBandSize w:val="1"/>
      <w:tblStyleColBandSize w:val="1"/>
      <w:tblCellMar>
        <w:left w:w="115" w:type="dxa"/>
        <w:right w:w="115" w:type="dxa"/>
      </w:tblCellMar>
    </w:tblPr>
  </w:style>
  <w:style w:type="table" w:customStyle="1" w:styleId="a4">
    <w:basedOn w:val="TableNormal"/>
    <w:pPr>
      <w:widowControl w:val="0"/>
    </w:pPr>
    <w:rPr>
      <w:sz w:val="22"/>
      <w:szCs w:val="22"/>
    </w:rPr>
    <w:tblPr>
      <w:tblStyleRowBandSize w:val="1"/>
      <w:tblStyleColBandSize w:val="1"/>
      <w:tblCellMar>
        <w:left w:w="115" w:type="dxa"/>
        <w:right w:w="115" w:type="dxa"/>
      </w:tblCellMar>
    </w:tblPr>
  </w:style>
  <w:style w:type="table" w:customStyle="1" w:styleId="a5">
    <w:basedOn w:val="TableNormal"/>
    <w:pPr>
      <w:widowControl w:val="0"/>
    </w:pPr>
    <w:rPr>
      <w:sz w:val="22"/>
      <w:szCs w:val="22"/>
    </w:rPr>
    <w:tblPr>
      <w:tblStyleRowBandSize w:val="1"/>
      <w:tblStyleColBandSize w:val="1"/>
      <w:tblCellMar>
        <w:left w:w="115" w:type="dxa"/>
        <w:right w:w="115" w:type="dxa"/>
      </w:tblCellMar>
    </w:tblPr>
  </w:style>
  <w:style w:type="table" w:customStyle="1" w:styleId="a6">
    <w:basedOn w:val="TableNormal"/>
    <w:pPr>
      <w:widowControl w:val="0"/>
    </w:pPr>
    <w:rPr>
      <w:sz w:val="22"/>
      <w:szCs w:val="22"/>
    </w:rPr>
    <w:tblPr>
      <w:tblStyleRowBandSize w:val="1"/>
      <w:tblStyleColBandSize w:val="1"/>
      <w:tblCellMar>
        <w:left w:w="115" w:type="dxa"/>
        <w:right w:w="115" w:type="dxa"/>
      </w:tblCellMar>
    </w:tblPr>
  </w:style>
  <w:style w:type="table" w:customStyle="1" w:styleId="a7">
    <w:basedOn w:val="TableNormal"/>
    <w:pPr>
      <w:widowControl w:val="0"/>
    </w:pPr>
    <w:rPr>
      <w:sz w:val="22"/>
      <w:szCs w:val="22"/>
    </w:rPr>
    <w:tblPr>
      <w:tblStyleRowBandSize w:val="1"/>
      <w:tblStyleColBandSize w:val="1"/>
      <w:tblCellMar>
        <w:left w:w="115" w:type="dxa"/>
        <w:right w:w="115" w:type="dxa"/>
      </w:tblCellMar>
    </w:tblPr>
  </w:style>
  <w:style w:type="paragraph" w:styleId="NoSpacing">
    <w:name w:val="No Spacing"/>
    <w:uiPriority w:val="1"/>
    <w:qFormat/>
    <w:rsid w:val="00957D5A"/>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nrel.gov/docs/fy18osti/70485.pdf" TargetMode="External"/><Relationship Id="rId18" Type="http://schemas.openxmlformats.org/officeDocument/2006/relationships/hyperlink" Target="https://www.eia.gov/outlooks/aeo/data/browser/" TargetMode="External"/><Relationship Id="rId26" Type="http://schemas.openxmlformats.org/officeDocument/2006/relationships/hyperlink" Target="https://www.climatetrace.org/" TargetMode="External"/><Relationship Id="rId39" Type="http://schemas.openxmlformats.org/officeDocument/2006/relationships/fontTable" Target="fontTable.xml"/><Relationship Id="rId21" Type="http://schemas.openxmlformats.org/officeDocument/2006/relationships/hyperlink" Target="https://www.nrel.gov/docs/fy18osti/70485.pdf" TargetMode="External"/><Relationship Id="rId34" Type="http://schemas.openxmlformats.org/officeDocument/2006/relationships/hyperlink" Target="https://us.energypolicy.solutions/docs/video-series.html" TargetMode="External"/><Relationship Id="rId7" Type="http://schemas.openxmlformats.org/officeDocument/2006/relationships/endnotes" Target="endnotes.xml"/><Relationship Id="rId12" Type="http://schemas.openxmlformats.org/officeDocument/2006/relationships/hyperlink" Target="https://www.ethree.com/e3-forecasts-new-mexico-emissions-and-contributes-to-2020-new-mexico-climate-strategy/" TargetMode="External"/><Relationship Id="rId17" Type="http://schemas.openxmlformats.org/officeDocument/2006/relationships/hyperlink" Target="https://www.ethree.com/e3-forecasts-new-mexico-emissions-and-contributes-to-2020-new-mexico-climate-strategy/" TargetMode="External"/><Relationship Id="rId25" Type="http://schemas.openxmlformats.org/officeDocument/2006/relationships/hyperlink" Target="https://www.ethree.com/e3-forecasts-new-mexico-emissions-and-contributes-to-2020-new-mexico-climate-strategy/" TargetMode="External"/><Relationship Id="rId33" Type="http://schemas.openxmlformats.org/officeDocument/2006/relationships/hyperlink" Target="https://rhg.com/research/taking-stock-2021/" TargetMode="External"/><Relationship Id="rId38" Type="http://schemas.openxmlformats.org/officeDocument/2006/relationships/hyperlink" Target="https://us.energypolicy.solutions/docs/index.html" TargetMode="External"/><Relationship Id="rId2" Type="http://schemas.openxmlformats.org/officeDocument/2006/relationships/numbering" Target="numbering.xml"/><Relationship Id="rId16" Type="http://schemas.openxmlformats.org/officeDocument/2006/relationships/hyperlink" Target="https://www.epa.gov/statelocalenergy/state-co2-emissions-fossil-fuel-combustion" TargetMode="External"/><Relationship Id="rId20" Type="http://schemas.openxmlformats.org/officeDocument/2006/relationships/hyperlink" Target="https://www.eia.gov/opendata/qb.php?category=40590&amp;sdid=SEDS.NGRFB.NM.A" TargetMode="External"/><Relationship Id="rId29" Type="http://schemas.openxmlformats.org/officeDocument/2006/relationships/hyperlink" Target="https://www.eia.gov/state/se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a.gov/statelocalenergy/state-co2-emissions-fossil-fuel-combustion" TargetMode="External"/><Relationship Id="rId24" Type="http://schemas.openxmlformats.org/officeDocument/2006/relationships/hyperlink" Target="https://www.climatetrace.org/" TargetMode="External"/><Relationship Id="rId32" Type="http://schemas.openxmlformats.org/officeDocument/2006/relationships/hyperlink" Target="https://www.epa.gov/statelocalenergy/state-co2-emissions-fossil-fuel-combustion" TargetMode="External"/><Relationship Id="rId37" Type="http://schemas.openxmlformats.org/officeDocument/2006/relationships/hyperlink" Target="https://us.energypolicy.solutions/docs/download.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ia.gov/state/seds/" TargetMode="External"/><Relationship Id="rId23" Type="http://schemas.openxmlformats.org/officeDocument/2006/relationships/hyperlink" Target="https://www.epa.gov/statelocalenergy/state-co2-emissions-fossil-fuel-combustion" TargetMode="External"/><Relationship Id="rId28" Type="http://schemas.openxmlformats.org/officeDocument/2006/relationships/hyperlink" Target="https://www.epa.gov/statelocalenergy/state-co2-emissions-fossil-fuel-combustion" TargetMode="External"/><Relationship Id="rId36" Type="http://schemas.openxmlformats.org/officeDocument/2006/relationships/hyperlink" Target="mailto:USAnalysis@rmi.org" TargetMode="External"/><Relationship Id="rId10" Type="http://schemas.openxmlformats.org/officeDocument/2006/relationships/hyperlink" Target="https://www.eia.gov/electricity/state/newmexico/state_tables.php" TargetMode="External"/><Relationship Id="rId19" Type="http://schemas.openxmlformats.org/officeDocument/2006/relationships/hyperlink" Target="https://www.eia.gov/state/seds/seds-data-fuel.php?sid=NV" TargetMode="External"/><Relationship Id="rId31" Type="http://schemas.openxmlformats.org/officeDocument/2006/relationships/hyperlink" Target="https://www.nrel.gov/analysis/electrification-futures.html" TargetMode="External"/><Relationship Id="rId4" Type="http://schemas.openxmlformats.org/officeDocument/2006/relationships/settings" Target="settings.xml"/><Relationship Id="rId9" Type="http://schemas.openxmlformats.org/officeDocument/2006/relationships/hyperlink" Target="https://www.eia.gov/electricity/data/eia860/" TargetMode="External"/><Relationship Id="rId14" Type="http://schemas.openxmlformats.org/officeDocument/2006/relationships/hyperlink" Target="https://www.nrel.gov/docs/fy18osti/70485.pdf" TargetMode="External"/><Relationship Id="rId22" Type="http://schemas.openxmlformats.org/officeDocument/2006/relationships/hyperlink" Target="https://www.eia.gov/state/seds/seds-data-fuel.php?sid=US" TargetMode="External"/><Relationship Id="rId27" Type="http://schemas.openxmlformats.org/officeDocument/2006/relationships/hyperlink" Target="https://www.epa.gov/statelocalenergy/state-inventory-and-projection-tool" TargetMode="External"/><Relationship Id="rId30" Type="http://schemas.openxmlformats.org/officeDocument/2006/relationships/hyperlink" Target="https://www.eia.gov/outlooks/aeo/tables_ref.php" TargetMode="External"/><Relationship Id="rId35" Type="http://schemas.openxmlformats.org/officeDocument/2006/relationships/hyperlink" Target="mailto:policy@energyinnovation.org" TargetMode="External"/><Relationship Id="rId8" Type="http://schemas.openxmlformats.org/officeDocument/2006/relationships/hyperlink" Target="https://www.eia.gov/electricity/data/eia923/"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us.energypolicy.solutions/docs/transportation-sector-main.html" TargetMode="External"/><Relationship Id="rId2" Type="http://schemas.openxmlformats.org/officeDocument/2006/relationships/hyperlink" Target="https://rhg.com/data_story/climate-deck/" TargetMode="External"/><Relationship Id="rId1" Type="http://schemas.openxmlformats.org/officeDocument/2006/relationships/hyperlink" Target="https://cnee.colostate.edu/wp-content/uploads/2021/01/New-Mexico-GHG-Inventory-and-Forecast-Report_2020-10-27_final.pdf" TargetMode="External"/><Relationship Id="rId4" Type="http://schemas.openxmlformats.org/officeDocument/2006/relationships/hyperlink" Target="https://energyinnovation.org/publication/a-1-5-celsius-pathway-to-climate-leadership-for-the-united-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EMPdDpY6pegBxvWwZqIkKvAYmQ==">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2387</Words>
  <Characters>13612</Characters>
  <Application>Microsoft Office Word</Application>
  <DocSecurity>0</DocSecurity>
  <Lines>113</Lines>
  <Paragraphs>31</Paragraphs>
  <ScaleCrop>false</ScaleCrop>
  <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Zack Subin</dc:creator>
  <cp:lastModifiedBy>Olivia Ashmoore</cp:lastModifiedBy>
  <cp:revision>2</cp:revision>
  <dcterms:created xsi:type="dcterms:W3CDTF">2022-04-01T18:52:00Z</dcterms:created>
  <dcterms:modified xsi:type="dcterms:W3CDTF">2022-04-01T18:52:00Z</dcterms:modified>
</cp:coreProperties>
</file>