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79B1C"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sz w:val="32"/>
          <w:szCs w:val="32"/>
        </w:rPr>
        <w:t>Oregon</w:t>
      </w:r>
      <w:r w:rsidRPr="003234F3">
        <w:rPr>
          <w:rFonts w:ascii="Calibri" w:eastAsia="Times New Roman" w:hAnsi="Calibri" w:cs="Calibri"/>
          <w:b/>
          <w:bCs/>
          <w:color w:val="000000"/>
          <w:sz w:val="32"/>
          <w:szCs w:val="32"/>
        </w:rPr>
        <w:t xml:space="preserve"> Energy Policy Simulator (EPS) Summary Documentation</w:t>
      </w:r>
    </w:p>
    <w:p w14:paraId="05865193"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t>Estimating E</w:t>
      </w:r>
      <w:r w:rsidR="00DC7610">
        <w:rPr>
          <w:rFonts w:ascii="Calibri" w:eastAsia="Times New Roman" w:hAnsi="Calibri" w:cs="Calibri"/>
          <w:b/>
          <w:bCs/>
          <w:color w:val="FFFFFF"/>
          <w:kern w:val="36"/>
          <w:sz w:val="28"/>
          <w:szCs w:val="28"/>
          <w:shd w:val="clear" w:color="auto" w:fill="1F4E79"/>
        </w:rPr>
        <w:t>conomy-wide Emissions for Oregon</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0CF4240F"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Pr="003234F3">
        <w:rPr>
          <w:rFonts w:ascii="Calibri" w:eastAsia="Times New Roman" w:hAnsi="Calibri" w:cs="Calibri"/>
          <w:color w:val="000000"/>
        </w:rPr>
        <w:t xml:space="preserve">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0D181B02"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Our primary sources are federal data sets from the Environmental Protection Agency (EPA), Energy Information Association (EIA), and the National Renewable Energy Lab (NREL). The table below summarizes our data sources and methodology.</w:t>
      </w:r>
    </w:p>
    <w:p w14:paraId="70D0E11C" w14:textId="77777777" w:rsidR="003234F3" w:rsidRPr="003234F3" w:rsidRDefault="003234F3" w:rsidP="003234F3">
      <w:pPr>
        <w:numPr>
          <w:ilvl w:val="0"/>
          <w:numId w:val="1"/>
        </w:numPr>
        <w:shd w:val="clear" w:color="auto" w:fill="8EAADB"/>
        <w:spacing w:after="120" w:line="240" w:lineRule="auto"/>
        <w:ind w:left="360"/>
        <w:textAlignment w:val="baseline"/>
        <w:outlineLvl w:val="1"/>
        <w:rPr>
          <w:rFonts w:ascii="Noto Sans Symbols" w:eastAsia="Times New Roman" w:hAnsi="Noto Sans Symbols" w:cs="Times New Roman"/>
          <w:b/>
          <w:bCs/>
          <w:smallCaps/>
          <w:color w:val="000000"/>
          <w:sz w:val="36"/>
          <w:szCs w:val="36"/>
        </w:rPr>
      </w:pPr>
      <w:r w:rsidRPr="003234F3">
        <w:rPr>
          <w:rFonts w:ascii="Calibri" w:eastAsia="Times New Roman" w:hAnsi="Calibri" w:cs="Calibri"/>
          <w:b/>
          <w:bCs/>
          <w:smallCaps/>
          <w:color w:val="000000"/>
          <w:sz w:val="24"/>
          <w:szCs w:val="24"/>
          <w:shd w:val="clear" w:color="auto" w:fill="8EAADB"/>
        </w:rPr>
        <w:t>DATA SOURCES</w:t>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p>
    <w:tbl>
      <w:tblPr>
        <w:tblW w:w="0" w:type="auto"/>
        <w:tblCellMar>
          <w:top w:w="15" w:type="dxa"/>
          <w:left w:w="15" w:type="dxa"/>
          <w:bottom w:w="15" w:type="dxa"/>
          <w:right w:w="15" w:type="dxa"/>
        </w:tblCellMar>
        <w:tblLook w:val="04A0" w:firstRow="1" w:lastRow="0" w:firstColumn="1" w:lastColumn="0" w:noHBand="0" w:noVBand="1"/>
      </w:tblPr>
      <w:tblGrid>
        <w:gridCol w:w="1910"/>
        <w:gridCol w:w="1831"/>
        <w:gridCol w:w="2813"/>
        <w:gridCol w:w="3615"/>
        <w:gridCol w:w="2771"/>
      </w:tblGrid>
      <w:tr w:rsidR="00EA2B9C" w:rsidRPr="003234F3" w14:paraId="5D98A07A"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1858D0A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Sector</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22497C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783FA7F2"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3D1ADF3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Methodology</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4AF2BF1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Benchmarking Sources for Comparisons</w:t>
            </w:r>
          </w:p>
        </w:tc>
      </w:tr>
      <w:tr w:rsidR="00EA2B9C" w:rsidRPr="003234F3" w14:paraId="4ED086E5"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4351561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8E2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CAF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capacity and generation: EIA’s </w:t>
            </w:r>
            <w:hyperlink r:id="rId6" w:history="1">
              <w:r w:rsidRPr="003234F3">
                <w:rPr>
                  <w:rFonts w:ascii="Calibri" w:eastAsia="Times New Roman" w:hAnsi="Calibri" w:cs="Calibri"/>
                  <w:color w:val="1155CC"/>
                  <w:sz w:val="20"/>
                  <w:szCs w:val="20"/>
                  <w:u w:val="single"/>
                </w:rPr>
                <w:t>Form 923</w:t>
              </w:r>
            </w:hyperlink>
            <w:r w:rsidRPr="003234F3">
              <w:rPr>
                <w:rFonts w:ascii="Calibri" w:eastAsia="Times New Roman" w:hAnsi="Calibri" w:cs="Calibri"/>
                <w:color w:val="000000"/>
                <w:sz w:val="20"/>
                <w:szCs w:val="20"/>
              </w:rPr>
              <w:t xml:space="preserve"> and EIA’s </w:t>
            </w:r>
            <w:hyperlink r:id="rId7" w:history="1">
              <w:r w:rsidRPr="003234F3">
                <w:rPr>
                  <w:rFonts w:ascii="Calibri" w:eastAsia="Times New Roman" w:hAnsi="Calibri" w:cs="Calibri"/>
                  <w:color w:val="1155CC"/>
                  <w:sz w:val="20"/>
                  <w:szCs w:val="20"/>
                  <w:u w:val="single"/>
                </w:rPr>
                <w:t>Form 860</w:t>
              </w:r>
            </w:hyperlink>
          </w:p>
          <w:p w14:paraId="0389E457"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C09997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imports/exports: </w:t>
            </w:r>
            <w:r>
              <w:rPr>
                <w:rFonts w:ascii="Calibri" w:eastAsia="Times New Roman" w:hAnsi="Calibri" w:cs="Calibri"/>
                <w:color w:val="000000"/>
                <w:sz w:val="20"/>
                <w:szCs w:val="20"/>
              </w:rPr>
              <w:t>Oregon Department of Energy</w:t>
            </w:r>
          </w:p>
          <w:p w14:paraId="775195D0"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4B1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Added all utility-owned generation and capacity in-state. No scaling needed.</w:t>
            </w:r>
          </w:p>
          <w:p w14:paraId="1D678FCC"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29044D0B" w14:textId="499D1FB2" w:rsidR="003234F3" w:rsidRPr="003234F3" w:rsidRDefault="00A1557E" w:rsidP="00A1557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Total i</w:t>
            </w:r>
            <w:r w:rsidR="003234F3" w:rsidRPr="003234F3">
              <w:rPr>
                <w:rFonts w:ascii="Calibri" w:eastAsia="Times New Roman" w:hAnsi="Calibri" w:cs="Calibri"/>
                <w:color w:val="000000"/>
                <w:sz w:val="20"/>
                <w:szCs w:val="20"/>
              </w:rPr>
              <w:t>mports and exports are held</w:t>
            </w:r>
            <w:r>
              <w:rPr>
                <w:rFonts w:ascii="Calibri" w:eastAsia="Times New Roman" w:hAnsi="Calibri" w:cs="Calibri"/>
                <w:color w:val="000000"/>
                <w:sz w:val="20"/>
                <w:szCs w:val="20"/>
              </w:rPr>
              <w:t xml:space="preserve"> constant, but the share of imports that are coal declines based on the PacifiCorp </w:t>
            </w:r>
            <w:hyperlink r:id="rId8" w:history="1">
              <w:r w:rsidRPr="00A1557E">
                <w:rPr>
                  <w:rStyle w:val="Hyperlink"/>
                  <w:rFonts w:ascii="Calibri" w:eastAsia="Times New Roman" w:hAnsi="Calibri" w:cs="Calibri"/>
                  <w:sz w:val="20"/>
                  <w:szCs w:val="20"/>
                </w:rPr>
                <w:t>2019 Integrated Resource Plan</w:t>
              </w:r>
            </w:hyperlink>
            <w:r>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0DC"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9" w:history="1">
              <w:r w:rsidRPr="003234F3">
                <w:rPr>
                  <w:rFonts w:ascii="Calibri" w:eastAsia="Times New Roman" w:hAnsi="Calibri" w:cs="Calibri"/>
                  <w:color w:val="1155CC"/>
                  <w:sz w:val="20"/>
                  <w:szCs w:val="20"/>
                  <w:u w:val="single"/>
                </w:rPr>
                <w:t>State CO2 Emissions from Fossil Fuel Combustion, 1990-2017</w:t>
              </w:r>
            </w:hyperlink>
            <w:r>
              <w:rPr>
                <w:rFonts w:ascii="Calibri" w:eastAsia="Times New Roman" w:hAnsi="Calibri" w:cs="Calibri"/>
                <w:color w:val="000000"/>
                <w:sz w:val="20"/>
                <w:szCs w:val="20"/>
              </w:rPr>
              <w:t>”,</w:t>
            </w:r>
          </w:p>
          <w:p w14:paraId="66ECA4CC"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10"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Pr>
                <w:rFonts w:ascii="Calibri" w:eastAsia="Times New Roman" w:hAnsi="Calibri" w:cs="Calibri"/>
                <w:color w:val="000000"/>
                <w:sz w:val="20"/>
                <w:szCs w:val="20"/>
              </w:rPr>
              <w:t>,</w:t>
            </w:r>
          </w:p>
          <w:p w14:paraId="1F7B0DE3"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11" w:history="1">
              <w:r w:rsidRPr="003234F3">
                <w:rPr>
                  <w:rStyle w:val="Hyperlink"/>
                  <w:rFonts w:ascii="Calibri" w:eastAsia="Times New Roman" w:hAnsi="Calibri" w:cs="Calibri"/>
                  <w:sz w:val="20"/>
                  <w:szCs w:val="20"/>
                </w:rPr>
                <w:t>Greenhouse Gas Emissions</w:t>
              </w:r>
            </w:hyperlink>
          </w:p>
        </w:tc>
      </w:tr>
      <w:tr w:rsidR="00EA2B9C" w:rsidRPr="003234F3" w14:paraId="1E54BAA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0D3D95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590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83B7" w14:textId="77777777" w:rsidR="003234F3" w:rsidRPr="003234F3" w:rsidRDefault="00A1557E" w:rsidP="003234F3">
            <w:pPr>
              <w:spacing w:after="0" w:line="240" w:lineRule="auto"/>
              <w:rPr>
                <w:rFonts w:ascii="Times New Roman" w:eastAsia="Times New Roman" w:hAnsi="Times New Roman" w:cs="Times New Roman"/>
                <w:sz w:val="24"/>
                <w:szCs w:val="24"/>
              </w:rPr>
            </w:pPr>
            <w:hyperlink r:id="rId12" w:history="1">
              <w:r w:rsidR="003234F3" w:rsidRPr="003234F3">
                <w:rPr>
                  <w:rFonts w:ascii="Calibri" w:eastAsia="Times New Roman" w:hAnsi="Calibri" w:cs="Calibri"/>
                  <w:color w:val="1155CC"/>
                  <w:sz w:val="20"/>
                  <w:szCs w:val="20"/>
                  <w:u w:val="single"/>
                </w:rPr>
                <w:t>NREL Electrification Futures Study - Reference Scenario</w:t>
              </w:r>
            </w:hyperlink>
            <w:r w:rsidR="003234F3">
              <w:rPr>
                <w:rFonts w:ascii="Times New Roman" w:eastAsia="Times New Roman" w:hAnsi="Times New Roman" w:cs="Times New Roman"/>
                <w:sz w:val="24"/>
                <w:szCs w:val="24"/>
              </w:rPr>
              <w:t xml:space="preserve"> </w:t>
            </w:r>
            <w:r w:rsidR="003234F3">
              <w:rPr>
                <w:rFonts w:ascii="Calibri" w:eastAsia="Times New Roman" w:hAnsi="Calibri" w:cs="Calibri"/>
                <w:color w:val="000000"/>
                <w:sz w:val="20"/>
                <w:szCs w:val="20"/>
              </w:rPr>
              <w:t>&amp;</w:t>
            </w:r>
            <w:r w:rsidR="003234F3" w:rsidRPr="003234F3">
              <w:rPr>
                <w:rFonts w:ascii="Calibri" w:eastAsia="Times New Roman" w:hAnsi="Calibri" w:cs="Calibri"/>
                <w:color w:val="000000"/>
                <w:sz w:val="20"/>
                <w:szCs w:val="20"/>
              </w:rPr>
              <w:t xml:space="preserve"> EIA’s</w:t>
            </w:r>
            <w:r w:rsidR="003234F3">
              <w:rPr>
                <w:rFonts w:ascii="Times New Roman" w:eastAsia="Times New Roman" w:hAnsi="Times New Roman" w:cs="Times New Roman"/>
                <w:sz w:val="24"/>
                <w:szCs w:val="24"/>
              </w:rPr>
              <w:t xml:space="preserve"> </w:t>
            </w:r>
            <w:r w:rsidR="003234F3" w:rsidRPr="003234F3">
              <w:rPr>
                <w:rFonts w:ascii="Calibri" w:eastAsia="Times New Roman" w:hAnsi="Calibri" w:cs="Calibri"/>
                <w:color w:val="000000"/>
                <w:sz w:val="20"/>
                <w:szCs w:val="20"/>
              </w:rPr>
              <w:t>“</w:t>
            </w:r>
            <w:hyperlink r:id="rId13" w:history="1">
              <w:r w:rsidR="003234F3" w:rsidRPr="003234F3">
                <w:rPr>
                  <w:rFonts w:ascii="Calibri" w:eastAsia="Times New Roman" w:hAnsi="Calibri" w:cs="Calibri"/>
                  <w:color w:val="1155CC"/>
                  <w:sz w:val="20"/>
                  <w:szCs w:val="20"/>
                  <w:u w:val="single"/>
                </w:rPr>
                <w:t>State Energy Data Systems</w:t>
              </w:r>
            </w:hyperlink>
            <w:r w:rsidR="003234F3"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F992"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Start year energy use for residential and commercial buildings is taken as the previous 5-year average from EIA’s State Energy Data System. Future scaling is taken from </w:t>
            </w:r>
            <w:r w:rsidRPr="003234F3">
              <w:rPr>
                <w:rFonts w:ascii="Calibri" w:eastAsia="Times New Roman" w:hAnsi="Calibri" w:cs="Calibri"/>
                <w:color w:val="000000"/>
                <w:sz w:val="20"/>
                <w:szCs w:val="20"/>
              </w:rPr>
              <w:t>NREL</w:t>
            </w:r>
            <w:r>
              <w:rPr>
                <w:rFonts w:ascii="Calibri" w:eastAsia="Times New Roman" w:hAnsi="Calibri" w:cs="Calibri"/>
                <w:color w:val="000000"/>
                <w:sz w:val="20"/>
                <w:szCs w:val="20"/>
              </w:rPr>
              <w:t>, which</w:t>
            </w:r>
            <w:r w:rsidRPr="003234F3">
              <w:rPr>
                <w:rFonts w:ascii="Calibri" w:eastAsia="Times New Roman" w:hAnsi="Calibri" w:cs="Calibri"/>
                <w:color w:val="000000"/>
                <w:sz w:val="20"/>
                <w:szCs w:val="20"/>
              </w:rPr>
              <w:t xml:space="preserve"> reports total energy use by fuel </w:t>
            </w:r>
            <w:r>
              <w:rPr>
                <w:rFonts w:ascii="Calibri" w:eastAsia="Times New Roman" w:hAnsi="Calibri" w:cs="Calibri"/>
                <w:color w:val="000000"/>
                <w:sz w:val="20"/>
                <w:szCs w:val="20"/>
              </w:rPr>
              <w:t>type and demand technology in OR</w:t>
            </w:r>
            <w:r w:rsidRPr="003234F3">
              <w:rPr>
                <w:rFonts w:ascii="Calibri" w:eastAsia="Times New Roman" w:hAnsi="Calibri" w:cs="Calibri"/>
                <w:color w:val="000000"/>
                <w:sz w:val="20"/>
                <w:szCs w:val="20"/>
              </w:rPr>
              <w:t xml:space="preserve"> for each year 2017-2050.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13B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Energy Use - EIA’s “</w:t>
            </w:r>
            <w:hyperlink r:id="rId14"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 2018</w:t>
            </w:r>
          </w:p>
          <w:p w14:paraId="51E6CD0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CO2 Emissions - AEO “</w:t>
            </w:r>
            <w:hyperlink r:id="rId15"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16" w:history="1">
              <w:r w:rsidR="000D72FA" w:rsidRPr="003234F3">
                <w:rPr>
                  <w:rStyle w:val="Hyperlink"/>
                  <w:rFonts w:ascii="Calibri" w:eastAsia="Times New Roman" w:hAnsi="Calibri" w:cs="Calibri"/>
                  <w:sz w:val="20"/>
                  <w:szCs w:val="20"/>
                </w:rPr>
                <w:t>Greenhouse Gas Emissions</w:t>
              </w:r>
            </w:hyperlink>
          </w:p>
        </w:tc>
      </w:tr>
      <w:tr w:rsidR="00EA2B9C" w:rsidRPr="003234F3" w14:paraId="2671B252"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38926C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INDUSTRIAL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99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3F7C" w14:textId="77777777" w:rsidR="003234F3" w:rsidRPr="003234F3" w:rsidRDefault="00A1557E" w:rsidP="003234F3">
            <w:pPr>
              <w:spacing w:after="0" w:line="240" w:lineRule="auto"/>
              <w:rPr>
                <w:rFonts w:ascii="Times New Roman" w:eastAsia="Times New Roman" w:hAnsi="Times New Roman" w:cs="Times New Roman"/>
                <w:sz w:val="24"/>
                <w:szCs w:val="24"/>
              </w:rPr>
            </w:pPr>
            <w:hyperlink r:id="rId17" w:history="1">
              <w:r w:rsidR="003234F3" w:rsidRPr="003234F3">
                <w:rPr>
                  <w:rFonts w:ascii="Calibri" w:eastAsia="Times New Roman" w:hAnsi="Calibri" w:cs="Calibri"/>
                  <w:color w:val="1155CC"/>
                  <w:sz w:val="20"/>
                  <w:szCs w:val="20"/>
                  <w:u w:val="single"/>
                </w:rPr>
                <w:t>Energy Information Association’s Annual Energy Outlook tables on Industrial Energy Use</w:t>
              </w:r>
            </w:hyperlink>
            <w:r w:rsidR="003234F3" w:rsidRPr="003234F3">
              <w:rPr>
                <w:rFonts w:ascii="Calibri" w:eastAsia="Times New Roman" w:hAnsi="Calibri" w:cs="Calibri"/>
                <w:color w:val="000000"/>
                <w:sz w:val="20"/>
                <w:szCs w:val="20"/>
              </w:rPr>
              <w:t xml:space="preserve"> &amp;</w:t>
            </w:r>
          </w:p>
          <w:p w14:paraId="2C174B2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EIA’s “</w:t>
            </w:r>
            <w:hyperlink r:id="rId18"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8EC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Scaled down by Census Data (</w:t>
            </w:r>
            <w:hyperlink r:id="rId19" w:history="1">
              <w:r w:rsidRPr="003234F3">
                <w:rPr>
                  <w:rFonts w:ascii="Calibri" w:eastAsia="Times New Roman" w:hAnsi="Calibri" w:cs="Calibri"/>
                  <w:color w:val="1155CC"/>
                  <w:sz w:val="20"/>
                  <w:szCs w:val="20"/>
                  <w:u w:val="single"/>
                </w:rPr>
                <w:t>County Business Patterns</w:t>
              </w:r>
            </w:hyperlink>
            <w:r w:rsidRPr="003234F3">
              <w:rPr>
                <w:rFonts w:ascii="Calibri" w:eastAsia="Times New Roman" w:hAnsi="Calibri" w:cs="Calibri"/>
                <w:color w:val="000000"/>
                <w:sz w:val="20"/>
                <w:szCs w:val="20"/>
              </w:rPr>
              <w:t xml:space="preserve">) employment by industrial subsector and state compared </w:t>
            </w:r>
            <w:r w:rsidRPr="003234F3">
              <w:rPr>
                <w:rFonts w:ascii="Calibri" w:eastAsia="Times New Roman" w:hAnsi="Calibri" w:cs="Calibri"/>
                <w:color w:val="000000"/>
                <w:sz w:val="20"/>
                <w:szCs w:val="20"/>
              </w:rPr>
              <w:lastRenderedPageBreak/>
              <w:t>to national employment by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34F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Energy Use - NREL Electrification Futures and EIA’s “</w:t>
            </w:r>
            <w:hyperlink r:id="rId20"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p w14:paraId="63DFFAC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Emissions - EPA “</w:t>
            </w:r>
            <w:hyperlink r:id="rId21"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22A4C6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22"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23" w:history="1">
              <w:r w:rsidR="000D72FA" w:rsidRPr="003234F3">
                <w:rPr>
                  <w:rStyle w:val="Hyperlink"/>
                  <w:rFonts w:ascii="Calibri" w:eastAsia="Times New Roman" w:hAnsi="Calibri" w:cs="Calibri"/>
                  <w:sz w:val="20"/>
                  <w:szCs w:val="20"/>
                </w:rPr>
                <w:t>Greenhouse Gas Emissions</w:t>
              </w:r>
            </w:hyperlink>
          </w:p>
        </w:tc>
      </w:tr>
      <w:tr w:rsidR="00EA2B9C" w:rsidRPr="003234F3" w14:paraId="76DF958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2D2BD4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INDUSTRIAL 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C75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B11F" w14:textId="77777777" w:rsidR="003234F3" w:rsidRPr="003234F3" w:rsidRDefault="00A1557E" w:rsidP="003234F3">
            <w:pPr>
              <w:spacing w:after="0" w:line="240" w:lineRule="auto"/>
              <w:rPr>
                <w:rFonts w:ascii="Times New Roman" w:eastAsia="Times New Roman" w:hAnsi="Times New Roman" w:cs="Times New Roman"/>
                <w:sz w:val="24"/>
                <w:szCs w:val="24"/>
              </w:rPr>
            </w:pPr>
            <w:hyperlink r:id="rId24" w:history="1">
              <w:r w:rsidR="003234F3" w:rsidRPr="003234F3">
                <w:rPr>
                  <w:rFonts w:ascii="Calibri" w:eastAsia="Times New Roman" w:hAnsi="Calibri" w:cs="Calibri"/>
                  <w:color w:val="1155CC"/>
                  <w:sz w:val="20"/>
                  <w:szCs w:val="20"/>
                  <w:u w:val="single"/>
                </w:rPr>
                <w:t>EPA Global Non-CO2 Greenhouse Gas Emissions Projections &amp; Mitigation Potential: 2015-2050</w:t>
              </w:r>
            </w:hyperlink>
            <w:r w:rsidR="003234F3">
              <w:rPr>
                <w:rFonts w:ascii="Times New Roman" w:eastAsia="Times New Roman" w:hAnsi="Times New Roman" w:cs="Times New Roman"/>
                <w:sz w:val="24"/>
                <w:szCs w:val="24"/>
              </w:rPr>
              <w:t xml:space="preserve"> </w:t>
            </w:r>
            <w:r w:rsidR="003234F3" w:rsidRPr="003234F3">
              <w:rPr>
                <w:rFonts w:ascii="Calibri" w:eastAsia="Times New Roman" w:hAnsi="Calibri" w:cs="Calibri"/>
                <w:color w:val="000000"/>
                <w:sz w:val="20"/>
                <w:szCs w:val="20"/>
              </w:rPr>
              <w:t xml:space="preserve">&amp; </w:t>
            </w:r>
            <w:r w:rsidR="003234F3">
              <w:rPr>
                <w:rFonts w:ascii="Calibri" w:eastAsia="Times New Roman" w:hAnsi="Calibri" w:cs="Calibri"/>
                <w:color w:val="000000"/>
                <w:sz w:val="20"/>
                <w:szCs w:val="20"/>
              </w:rPr>
              <w:t xml:space="preserve">Oregon DEQ’s </w:t>
            </w:r>
            <w:hyperlink r:id="rId25" w:history="1">
              <w:r w:rsidR="003234F3" w:rsidRPr="003234F3">
                <w:rPr>
                  <w:rStyle w:val="Hyperlink"/>
                  <w:rFonts w:ascii="Calibri" w:eastAsia="Times New Roman" w:hAnsi="Calibri" w:cs="Calibri"/>
                  <w:sz w:val="20"/>
                  <w:szCs w:val="20"/>
                </w:rPr>
                <w:t>Greenhouse Gas Emissions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BB8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w:t>
            </w:r>
            <w:r w:rsidR="000D72FA">
              <w:rPr>
                <w:rFonts w:ascii="Calibri" w:eastAsia="Times New Roman" w:hAnsi="Calibri" w:cs="Calibri"/>
                <w:color w:val="000000"/>
                <w:sz w:val="20"/>
                <w:szCs w:val="20"/>
              </w:rPr>
              <w:t>caled down US data to OR</w:t>
            </w:r>
            <w:r w:rsidRPr="003234F3">
              <w:rPr>
                <w:rFonts w:ascii="Calibri" w:eastAsia="Times New Roman" w:hAnsi="Calibri" w:cs="Calibri"/>
                <w:color w:val="000000"/>
                <w:sz w:val="20"/>
                <w:szCs w:val="20"/>
              </w:rPr>
              <w:t xml:space="preserve"> using a variety of sources, including </w:t>
            </w:r>
            <w:r w:rsidR="000D72FA">
              <w:rPr>
                <w:rFonts w:ascii="Calibri" w:eastAsia="Times New Roman" w:hAnsi="Calibri" w:cs="Calibri"/>
                <w:color w:val="000000"/>
                <w:sz w:val="20"/>
                <w:szCs w:val="20"/>
              </w:rPr>
              <w:t xml:space="preserve">Oregon DEQ’s </w:t>
            </w:r>
            <w:hyperlink r:id="rId26" w:history="1">
              <w:r w:rsidR="000D72FA" w:rsidRPr="003234F3">
                <w:rPr>
                  <w:rStyle w:val="Hyperlink"/>
                  <w:rFonts w:ascii="Calibri" w:eastAsia="Times New Roman" w:hAnsi="Calibri" w:cs="Calibri"/>
                  <w:sz w:val="20"/>
                  <w:szCs w:val="20"/>
                </w:rPr>
                <w:t>Greenhouse Gas Emissions</w:t>
              </w:r>
            </w:hyperlink>
            <w:r w:rsidR="000D72FA">
              <w:rPr>
                <w:rFonts w:ascii="Calibri" w:eastAsia="Times New Roman" w:hAnsi="Calibri" w:cs="Calibri"/>
                <w:color w:val="000000"/>
                <w:sz w:val="20"/>
                <w:szCs w:val="20"/>
              </w:rPr>
              <w:t xml:space="preserve"> and </w:t>
            </w:r>
            <w:r w:rsidRPr="003234F3">
              <w:rPr>
                <w:rFonts w:ascii="Calibri" w:eastAsia="Times New Roman" w:hAnsi="Calibri" w:cs="Calibri"/>
                <w:color w:val="000000"/>
                <w:sz w:val="20"/>
                <w:szCs w:val="20"/>
              </w:rPr>
              <w:t xml:space="preserve">data from EPA’s </w:t>
            </w:r>
            <w:hyperlink r:id="rId27" w:history="1">
              <w:r w:rsidRPr="003234F3">
                <w:rPr>
                  <w:rFonts w:ascii="Calibri" w:eastAsia="Times New Roman" w:hAnsi="Calibri" w:cs="Calibri"/>
                  <w:color w:val="1155CC"/>
                  <w:sz w:val="20"/>
                  <w:szCs w:val="20"/>
                  <w:u w:val="single"/>
                </w:rPr>
                <w:t xml:space="preserve">FLIGHT </w:t>
              </w:r>
            </w:hyperlink>
            <w:r w:rsidRPr="003234F3">
              <w:rPr>
                <w:rFonts w:ascii="Calibri" w:eastAsia="Times New Roman" w:hAnsi="Calibri" w:cs="Calibri"/>
                <w:color w:val="000000"/>
                <w:sz w:val="20"/>
                <w:szCs w:val="20"/>
              </w:rPr>
              <w:t xml:space="preserve">tool and </w:t>
            </w:r>
            <w:hyperlink r:id="rId28" w:history="1">
              <w:r w:rsidRPr="003234F3">
                <w:rPr>
                  <w:rFonts w:ascii="Calibri" w:eastAsia="Times New Roman" w:hAnsi="Calibri" w:cs="Calibri"/>
                  <w:color w:val="1155CC"/>
                  <w:sz w:val="20"/>
                  <w:szCs w:val="20"/>
                  <w:u w:val="single"/>
                </w:rPr>
                <w:t>EPA’s State Inventory Tool Output Dataframe </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8FB3" w14:textId="77777777" w:rsidR="003234F3"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29" w:history="1">
              <w:r w:rsidRPr="003234F3">
                <w:rPr>
                  <w:rStyle w:val="Hyperlink"/>
                  <w:rFonts w:ascii="Calibri" w:eastAsia="Times New Roman" w:hAnsi="Calibri" w:cs="Calibri"/>
                  <w:sz w:val="20"/>
                  <w:szCs w:val="20"/>
                </w:rPr>
                <w:t>Greenhouse Gas Emissions</w:t>
              </w:r>
            </w:hyperlink>
          </w:p>
        </w:tc>
      </w:tr>
      <w:tr w:rsidR="00EA2B9C" w:rsidRPr="003234F3" w14:paraId="2243FD8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A782B2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AGRICULTURE, LAND USE AND FORESTRY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E344"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Livestock emissions</w:t>
            </w:r>
          </w:p>
          <w:p w14:paraId="42478F0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Natural carbon sinks and sources (LULUCF)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EB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EPA “</w:t>
            </w:r>
            <w:hyperlink r:id="rId30" w:history="1">
              <w:r w:rsidRPr="003234F3">
                <w:rPr>
                  <w:rFonts w:ascii="Calibri" w:eastAsia="Times New Roman" w:hAnsi="Calibri" w:cs="Calibri"/>
                  <w:color w:val="1155CC"/>
                  <w:sz w:val="20"/>
                  <w:szCs w:val="20"/>
                  <w:u w:val="single"/>
                </w:rPr>
                <w:t>State Inventory and Projection Tool</w:t>
              </w:r>
            </w:hyperlink>
            <w:r w:rsidRPr="003234F3">
              <w:rPr>
                <w:rFonts w:ascii="Calibri" w:eastAsia="Times New Roman" w:hAnsi="Calibri" w:cs="Calibri"/>
                <w:color w:val="000000"/>
                <w:sz w:val="20"/>
                <w:szCs w:val="20"/>
              </w:rPr>
              <w:t>”</w:t>
            </w:r>
          </w:p>
          <w:p w14:paraId="11D73634"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29B5"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BCC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31"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02B2D93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32"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33" w:history="1">
              <w:r w:rsidR="000D72FA" w:rsidRPr="003234F3">
                <w:rPr>
                  <w:rStyle w:val="Hyperlink"/>
                  <w:rFonts w:ascii="Calibri" w:eastAsia="Times New Roman" w:hAnsi="Calibri" w:cs="Calibri"/>
                  <w:sz w:val="20"/>
                  <w:szCs w:val="20"/>
                </w:rPr>
                <w:t>Greenhouse Gas Emissions</w:t>
              </w:r>
            </w:hyperlink>
            <w:r w:rsidR="00EA2B9C">
              <w:rPr>
                <w:rFonts w:ascii="Calibri" w:eastAsia="Times New Roman" w:hAnsi="Calibri" w:cs="Calibri"/>
                <w:color w:val="000000"/>
                <w:sz w:val="20"/>
                <w:szCs w:val="20"/>
              </w:rPr>
              <w:t xml:space="preserve">, Oregon Global Warming Commission </w:t>
            </w:r>
            <w:hyperlink r:id="rId34" w:history="1">
              <w:r w:rsidR="00EA2B9C" w:rsidRPr="00EA2B9C">
                <w:rPr>
                  <w:rStyle w:val="Hyperlink"/>
                  <w:rFonts w:ascii="Calibri" w:eastAsia="Times New Roman" w:hAnsi="Calibri" w:cs="Calibri"/>
                  <w:sz w:val="20"/>
                  <w:szCs w:val="20"/>
                </w:rPr>
                <w:t>Forest Carbon Accounting Project</w:t>
              </w:r>
            </w:hyperlink>
          </w:p>
        </w:tc>
      </w:tr>
      <w:tr w:rsidR="00EA2B9C" w:rsidRPr="003234F3" w14:paraId="63B0D10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2562092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DC6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4136" w14:textId="77777777" w:rsidR="003234F3" w:rsidRPr="003234F3" w:rsidRDefault="00A1557E" w:rsidP="000D72FA">
            <w:pPr>
              <w:spacing w:after="0" w:line="240" w:lineRule="auto"/>
              <w:rPr>
                <w:rFonts w:ascii="Times New Roman" w:eastAsia="Times New Roman" w:hAnsi="Times New Roman" w:cs="Times New Roman"/>
                <w:sz w:val="24"/>
                <w:szCs w:val="24"/>
              </w:rPr>
            </w:pPr>
            <w:hyperlink r:id="rId35" w:history="1">
              <w:r w:rsidR="003234F3" w:rsidRPr="003234F3">
                <w:rPr>
                  <w:rFonts w:ascii="Calibri" w:eastAsia="Times New Roman" w:hAnsi="Calibri" w:cs="Calibri"/>
                  <w:color w:val="1155CC"/>
                  <w:sz w:val="20"/>
                  <w:szCs w:val="20"/>
                  <w:u w:val="single"/>
                </w:rPr>
                <w:t>Energy Information Association’s Annual Energy Outlook tables</w:t>
              </w:r>
            </w:hyperlink>
            <w:r w:rsidR="000D72FA">
              <w:rPr>
                <w:rFonts w:ascii="Calibri" w:eastAsia="Times New Roman" w:hAnsi="Calibri" w:cs="Calibri"/>
                <w:color w:val="000000"/>
                <w:sz w:val="20"/>
                <w:szCs w:val="20"/>
              </w:rPr>
              <w:t>,</w:t>
            </w:r>
            <w:r w:rsidR="003234F3" w:rsidRPr="003234F3">
              <w:rPr>
                <w:rFonts w:ascii="Calibri" w:eastAsia="Times New Roman" w:hAnsi="Calibri" w:cs="Calibri"/>
                <w:color w:val="000000"/>
              </w:rPr>
              <w:t xml:space="preserve"> </w:t>
            </w:r>
            <w:hyperlink r:id="rId36" w:history="1">
              <w:r w:rsidR="003234F3" w:rsidRPr="003234F3">
                <w:rPr>
                  <w:rFonts w:ascii="Calibri" w:eastAsia="Times New Roman" w:hAnsi="Calibri" w:cs="Calibri"/>
                  <w:color w:val="1155CC"/>
                  <w:sz w:val="20"/>
                  <w:szCs w:val="20"/>
                  <w:u w:val="single"/>
                </w:rPr>
                <w:t>NREL Electrification Futures Study - Reference Scenario</w:t>
              </w:r>
            </w:hyperlink>
            <w:r w:rsidR="000D72FA">
              <w:rPr>
                <w:rFonts w:ascii="Times New Roman" w:eastAsia="Times New Roman" w:hAnsi="Times New Roman" w:cs="Times New Roman"/>
                <w:sz w:val="24"/>
                <w:szCs w:val="24"/>
              </w:rPr>
              <w:t xml:space="preserve">, </w:t>
            </w:r>
            <w:r w:rsidR="000D72FA" w:rsidRPr="000D72FA">
              <w:rPr>
                <w:rFonts w:ascii="Calibri" w:eastAsia="Times New Roman" w:hAnsi="Calibri" w:cs="Calibri"/>
                <w:color w:val="000000"/>
                <w:sz w:val="20"/>
                <w:szCs w:val="20"/>
              </w:rPr>
              <w:t xml:space="preserve">&amp; </w:t>
            </w:r>
            <w:r w:rsidR="000D72FA" w:rsidRPr="003234F3">
              <w:rPr>
                <w:rFonts w:ascii="Calibri" w:eastAsia="Times New Roman" w:hAnsi="Calibri" w:cs="Calibri"/>
                <w:color w:val="000000"/>
                <w:sz w:val="20"/>
                <w:szCs w:val="20"/>
              </w:rPr>
              <w:t>EIA’s “</w:t>
            </w:r>
            <w:hyperlink r:id="rId37" w:history="1">
              <w:r w:rsidR="000D72FA" w:rsidRPr="003234F3">
                <w:rPr>
                  <w:rFonts w:ascii="Calibri" w:eastAsia="Times New Roman" w:hAnsi="Calibri" w:cs="Calibri"/>
                  <w:color w:val="1155CC"/>
                  <w:sz w:val="20"/>
                  <w:szCs w:val="20"/>
                  <w:u w:val="single"/>
                </w:rPr>
                <w:t>State Energy Data Systems</w:t>
              </w:r>
            </w:hyperlink>
            <w:r w:rsidR="000D72FA"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BBD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Scaled down US data, using NREL to find the proportion of national vehicl</w:t>
            </w:r>
            <w:r w:rsidR="000D72FA">
              <w:rPr>
                <w:rFonts w:ascii="Calibri" w:eastAsia="Times New Roman" w:hAnsi="Calibri" w:cs="Calibri"/>
                <w:color w:val="000000"/>
                <w:sz w:val="20"/>
                <w:szCs w:val="20"/>
              </w:rPr>
              <w:t>e stock and service demand in OR</w:t>
            </w:r>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E1E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38" w:history="1">
              <w:r w:rsidRPr="003234F3">
                <w:rPr>
                  <w:rFonts w:ascii="Calibri" w:eastAsia="Times New Roman" w:hAnsi="Calibri" w:cs="Calibri"/>
                  <w:color w:val="1155CC"/>
                  <w:sz w:val="20"/>
                  <w:szCs w:val="20"/>
                  <w:u w:val="single"/>
                </w:rPr>
                <w:t>State CO2 Emissions from Fossil Fuel Combustion, 1990-2017</w:t>
              </w:r>
            </w:hyperlink>
            <w:r w:rsidR="000D72FA">
              <w:rPr>
                <w:rFonts w:ascii="Calibri" w:eastAsia="Times New Roman" w:hAnsi="Calibri" w:cs="Calibri"/>
                <w:color w:val="000000"/>
                <w:sz w:val="20"/>
                <w:szCs w:val="20"/>
              </w:rPr>
              <w:t>”,</w:t>
            </w:r>
          </w:p>
          <w:p w14:paraId="3FF2515A"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39"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p>
          <w:p w14:paraId="4E27B0A7" w14:textId="77777777" w:rsidR="000D72FA"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40" w:history="1">
              <w:r w:rsidRPr="003234F3">
                <w:rPr>
                  <w:rStyle w:val="Hyperlink"/>
                  <w:rFonts w:ascii="Calibri" w:eastAsia="Times New Roman" w:hAnsi="Calibri" w:cs="Calibri"/>
                  <w:sz w:val="20"/>
                  <w:szCs w:val="20"/>
                </w:rPr>
                <w:t>Greenhouse Gas Emissions</w:t>
              </w:r>
            </w:hyperlink>
          </w:p>
        </w:tc>
      </w:tr>
    </w:tbl>
    <w:p w14:paraId="114FFBFF" w14:textId="77777777" w:rsidR="003234F3" w:rsidRDefault="003234F3" w:rsidP="003234F3">
      <w:pPr>
        <w:spacing w:after="0" w:line="240" w:lineRule="auto"/>
        <w:rPr>
          <w:rFonts w:ascii="Times New Roman" w:eastAsia="Times New Roman" w:hAnsi="Times New Roman" w:cs="Times New Roman"/>
          <w:sz w:val="24"/>
          <w:szCs w:val="24"/>
        </w:rPr>
      </w:pPr>
    </w:p>
    <w:p w14:paraId="4483222E" w14:textId="77777777" w:rsidR="00EA2B9C" w:rsidRDefault="00EA2B9C" w:rsidP="003234F3">
      <w:pPr>
        <w:spacing w:after="0" w:line="240" w:lineRule="auto"/>
        <w:rPr>
          <w:rFonts w:ascii="Times New Roman" w:eastAsia="Times New Roman" w:hAnsi="Times New Roman" w:cs="Times New Roman"/>
          <w:sz w:val="24"/>
          <w:szCs w:val="24"/>
        </w:rPr>
      </w:pPr>
    </w:p>
    <w:p w14:paraId="75C30F8E" w14:textId="77777777" w:rsidR="00EA2B9C" w:rsidRDefault="00EA2B9C" w:rsidP="003234F3">
      <w:pPr>
        <w:spacing w:after="0" w:line="240" w:lineRule="auto"/>
        <w:rPr>
          <w:rFonts w:ascii="Times New Roman" w:eastAsia="Times New Roman" w:hAnsi="Times New Roman" w:cs="Times New Roman"/>
          <w:sz w:val="24"/>
          <w:szCs w:val="24"/>
        </w:rPr>
      </w:pPr>
    </w:p>
    <w:p w14:paraId="5738BA6A" w14:textId="77777777" w:rsidR="00EA2B9C" w:rsidRPr="003234F3" w:rsidRDefault="00EA2B9C" w:rsidP="003234F3">
      <w:pPr>
        <w:spacing w:after="0" w:line="240" w:lineRule="auto"/>
        <w:rPr>
          <w:rFonts w:ascii="Times New Roman" w:eastAsia="Times New Roman" w:hAnsi="Times New Roman" w:cs="Times New Roman"/>
          <w:sz w:val="24"/>
          <w:szCs w:val="24"/>
        </w:rPr>
      </w:pPr>
    </w:p>
    <w:p w14:paraId="365449DA" w14:textId="322616BA"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lastRenderedPageBreak/>
        <w:t>Unde</w:t>
      </w:r>
      <w:r w:rsidR="00A1557E">
        <w:rPr>
          <w:rFonts w:ascii="Calibri" w:eastAsia="Times New Roman" w:hAnsi="Calibri" w:cs="Calibri"/>
          <w:b/>
          <w:bCs/>
          <w:color w:val="FFFFFF"/>
          <w:kern w:val="36"/>
          <w:sz w:val="28"/>
          <w:szCs w:val="28"/>
          <w:shd w:val="clear" w:color="auto" w:fill="1F4E79"/>
        </w:rPr>
        <w:t>rstanding the Business-as-Usual, Expanded Clean Fuels, and HB 2021 Scenarios</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5AA205C3"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14C3F451" w14:textId="77777777" w:rsidR="003234F3" w:rsidRPr="003234F3" w:rsidRDefault="000D72FA"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003234F3" w:rsidRPr="003234F3">
        <w:rPr>
          <w:rFonts w:ascii="Calibri" w:eastAsia="Times New Roman" w:hAnsi="Calibri" w:cs="Calibri"/>
          <w:color w:val="000000"/>
        </w:rPr>
        <w:t xml:space="preserve"> EPS model includes several built-in reference scenarios. The first is a </w:t>
      </w:r>
      <w:r w:rsidR="003234F3" w:rsidRPr="003234F3">
        <w:rPr>
          <w:rFonts w:ascii="Calibri" w:eastAsia="Times New Roman" w:hAnsi="Calibri" w:cs="Calibri"/>
          <w:b/>
          <w:bCs/>
          <w:color w:val="000000"/>
        </w:rPr>
        <w:t>business-as-usual (BAU) scenario</w:t>
      </w:r>
      <w:r w:rsidR="003234F3" w:rsidRPr="003234F3">
        <w:rPr>
          <w:rFonts w:ascii="Calibri" w:eastAsia="Times New Roman" w:hAnsi="Calibri" w:cs="Calibri"/>
          <w:color w:val="000000"/>
        </w:rPr>
        <w:t>, which represents all policy tha</w:t>
      </w:r>
      <w:r>
        <w:rPr>
          <w:rFonts w:ascii="Calibri" w:eastAsia="Times New Roman" w:hAnsi="Calibri" w:cs="Calibri"/>
          <w:color w:val="000000"/>
        </w:rPr>
        <w:t>t is currently enacted in Oregon</w:t>
      </w:r>
      <w:r w:rsidR="003234F3" w:rsidRPr="003234F3">
        <w:rPr>
          <w:rFonts w:ascii="Calibri" w:eastAsia="Times New Roman" w:hAnsi="Calibri" w:cs="Calibri"/>
          <w:color w:val="000000"/>
        </w:rPr>
        <w:t xml:space="preserve">. Once these policies are implemented, they will become part of the </w:t>
      </w:r>
      <w:r w:rsidR="003234F3" w:rsidRPr="003234F3">
        <w:rPr>
          <w:rFonts w:ascii="Calibri" w:eastAsia="Times New Roman" w:hAnsi="Calibri" w:cs="Calibri"/>
          <w:b/>
          <w:bCs/>
          <w:color w:val="000000"/>
        </w:rPr>
        <w:t>BAU scenario</w:t>
      </w:r>
      <w:r w:rsidR="003234F3" w:rsidRPr="003234F3">
        <w:rPr>
          <w:rFonts w:ascii="Calibri" w:eastAsia="Times New Roman" w:hAnsi="Calibri" w:cs="Calibri"/>
          <w:color w:val="000000"/>
        </w:rPr>
        <w:t>. </w:t>
      </w:r>
    </w:p>
    <w:p w14:paraId="3C807F2C" w14:textId="77777777" w:rsidR="003234F3" w:rsidRDefault="003234F3" w:rsidP="000D72FA">
      <w:pPr>
        <w:spacing w:line="240" w:lineRule="auto"/>
        <w:rPr>
          <w:rFonts w:ascii="Calibri" w:eastAsia="Times New Roman" w:hAnsi="Calibri" w:cs="Calibri"/>
          <w:color w:val="000000"/>
        </w:rPr>
      </w:pPr>
      <w:r w:rsidRPr="003234F3">
        <w:rPr>
          <w:rFonts w:ascii="Calibri" w:eastAsia="Times New Roman" w:hAnsi="Calibri" w:cs="Calibri"/>
          <w:b/>
          <w:bCs/>
          <w:color w:val="000000"/>
        </w:rPr>
        <w:t>Business-as-Usual:</w:t>
      </w:r>
      <w:r w:rsidRPr="003234F3">
        <w:rPr>
          <w:rFonts w:ascii="Calibri" w:eastAsia="Times New Roman" w:hAnsi="Calibri" w:cs="Calibri"/>
          <w:color w:val="000000"/>
        </w:rPr>
        <w:t xml:space="preserve"> Energy Innovation and RMI built a forecast of </w:t>
      </w:r>
      <w:r w:rsidR="000D72FA">
        <w:rPr>
          <w:rFonts w:ascii="Calibri" w:eastAsia="Times New Roman" w:hAnsi="Calibri" w:cs="Calibri"/>
          <w:color w:val="000000"/>
        </w:rPr>
        <w:t>Oregon</w:t>
      </w:r>
      <w:r w:rsidRPr="003234F3">
        <w:rPr>
          <w:rFonts w:ascii="Calibri" w:eastAsia="Times New Roman" w:hAnsi="Calibri" w:cs="Calibri"/>
          <w:color w:val="000000"/>
        </w:rPr>
        <w:t>’s economy-wide greenhouse gas emissions through 2050 using publicly available, national models of energy consumption (EIA’s Annual Energy Outlook, NREL’s Electrification Future Study). The BAU Scenario is the model’s foundation, capturing projected changes based on economic growth, technology and cost changes, and existing policy commitments.  </w:t>
      </w:r>
    </w:p>
    <w:p w14:paraId="289B9A38" w14:textId="77777777" w:rsidR="00064C5F" w:rsidRDefault="00064C5F" w:rsidP="000D72FA">
      <w:pPr>
        <w:spacing w:line="240" w:lineRule="auto"/>
        <w:rPr>
          <w:rFonts w:ascii="Times New Roman" w:eastAsia="Times New Roman" w:hAnsi="Times New Roman" w:cs="Times New Roman"/>
          <w:sz w:val="24"/>
          <w:szCs w:val="24"/>
        </w:rPr>
      </w:pPr>
      <w:r w:rsidRPr="00A1557E">
        <w:rPr>
          <w:rFonts w:ascii="Calibri" w:eastAsia="Times New Roman" w:hAnsi="Calibri" w:cs="Calibri"/>
          <w:b/>
          <w:bCs/>
          <w:color w:val="000000"/>
          <w:highlight w:val="yellow"/>
        </w:rPr>
        <w:t xml:space="preserve">X Scenario: </w:t>
      </w:r>
      <w:r w:rsidRPr="00A1557E">
        <w:rPr>
          <w:rFonts w:ascii="Calibri" w:hAnsi="Calibri" w:cs="Calibri"/>
          <w:color w:val="000000"/>
          <w:highlight w:val="yellow"/>
        </w:rPr>
        <w:t xml:space="preserve">The X  scenario provides an additional baseline reflecting very recently passed or imminently planned policies. This scenario has been reviewed with in-state partners. In Oregon, the source of additional policies was the Oregon Clean Fuels Program.   In future updates, once these policies are implemented, they will become part of the </w:t>
      </w:r>
      <w:r w:rsidRPr="00A1557E">
        <w:rPr>
          <w:rFonts w:ascii="Calibri" w:hAnsi="Calibri" w:cs="Calibri"/>
          <w:b/>
          <w:bCs/>
          <w:color w:val="000000"/>
          <w:highlight w:val="yellow"/>
        </w:rPr>
        <w:t>BAU</w:t>
      </w:r>
      <w:r w:rsidRPr="00A1557E">
        <w:rPr>
          <w:rFonts w:ascii="Calibri" w:hAnsi="Calibri" w:cs="Calibri"/>
          <w:color w:val="000000"/>
          <w:highlight w:val="yellow"/>
        </w:rPr>
        <w:t xml:space="preserve"> </w:t>
      </w:r>
      <w:r w:rsidRPr="00A1557E">
        <w:rPr>
          <w:rFonts w:ascii="Calibri" w:hAnsi="Calibri" w:cs="Calibri"/>
          <w:b/>
          <w:bCs/>
          <w:color w:val="000000"/>
          <w:highlight w:val="yellow"/>
        </w:rPr>
        <w:t>scenario</w:t>
      </w:r>
      <w:r w:rsidRPr="00A1557E">
        <w:rPr>
          <w:rFonts w:ascii="Calibri" w:hAnsi="Calibri" w:cs="Calibri"/>
          <w:color w:val="000000"/>
          <w:highlight w:val="yellow"/>
        </w:rPr>
        <w:t>.</w:t>
      </w:r>
      <w:bookmarkStart w:id="0" w:name="_GoBack"/>
      <w:bookmarkEnd w:id="0"/>
    </w:p>
    <w:p w14:paraId="74782B03" w14:textId="77777777" w:rsidR="000D72FA" w:rsidRPr="003234F3" w:rsidRDefault="000D72FA" w:rsidP="000D72FA">
      <w:pPr>
        <w:spacing w:line="240" w:lineRule="auto"/>
        <w:rPr>
          <w:rFonts w:ascii="Times New Roman" w:eastAsia="Times New Roman" w:hAnsi="Times New Roman" w:cs="Times New Roman"/>
          <w:sz w:val="24"/>
          <w:szCs w:val="24"/>
        </w:rPr>
      </w:pPr>
    </w:p>
    <w:p w14:paraId="4116F5AB" w14:textId="77777777" w:rsidR="003234F3" w:rsidRPr="003234F3" w:rsidRDefault="003234F3" w:rsidP="003234F3">
      <w:pPr>
        <w:shd w:val="clear" w:color="auto" w:fill="8EAADB"/>
        <w:spacing w:after="120" w:line="240" w:lineRule="auto"/>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 SUMMARY OF POLICY ASSUMPTIONS</w:t>
      </w:r>
    </w:p>
    <w:tbl>
      <w:tblPr>
        <w:tblW w:w="0" w:type="auto"/>
        <w:tblCellMar>
          <w:top w:w="15" w:type="dxa"/>
          <w:left w:w="15" w:type="dxa"/>
          <w:bottom w:w="15" w:type="dxa"/>
          <w:right w:w="15" w:type="dxa"/>
        </w:tblCellMar>
        <w:tblLook w:val="04A0" w:firstRow="1" w:lastRow="0" w:firstColumn="1" w:lastColumn="0" w:noHBand="0" w:noVBand="1"/>
      </w:tblPr>
      <w:tblGrid>
        <w:gridCol w:w="1916"/>
        <w:gridCol w:w="7079"/>
        <w:gridCol w:w="3955"/>
      </w:tblGrid>
      <w:tr w:rsidR="00064C5F" w:rsidRPr="003234F3" w14:paraId="22B15C2D" w14:textId="77777777" w:rsidTr="00064C5F">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28DB8A66"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707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09592667"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BAU Scenario</w:t>
            </w:r>
          </w:p>
        </w:tc>
        <w:tc>
          <w:tcPr>
            <w:tcW w:w="3955" w:type="dxa"/>
            <w:tcBorders>
              <w:top w:val="single" w:sz="4" w:space="0" w:color="000000"/>
              <w:left w:val="single" w:sz="4" w:space="0" w:color="000000"/>
              <w:bottom w:val="single" w:sz="4" w:space="0" w:color="000000"/>
              <w:right w:val="single" w:sz="4" w:space="0" w:color="000000"/>
            </w:tcBorders>
            <w:shd w:val="clear" w:color="auto" w:fill="A8D08D"/>
          </w:tcPr>
          <w:p w14:paraId="3C22EB80" w14:textId="77777777" w:rsidR="00064C5F" w:rsidRPr="003234F3" w:rsidRDefault="00064C5F" w:rsidP="003234F3">
            <w:pPr>
              <w:spacing w:after="0" w:line="240" w:lineRule="auto"/>
              <w:rPr>
                <w:rFonts w:ascii="Calibri" w:eastAsia="Times New Roman" w:hAnsi="Calibri" w:cs="Calibri"/>
                <w:color w:val="000000"/>
                <w:sz w:val="20"/>
                <w:szCs w:val="20"/>
              </w:rPr>
            </w:pPr>
            <w:r w:rsidRPr="00064C5F">
              <w:rPr>
                <w:rFonts w:ascii="Calibri" w:eastAsia="Times New Roman" w:hAnsi="Calibri" w:cs="Calibri"/>
                <w:color w:val="000000"/>
                <w:sz w:val="20"/>
                <w:szCs w:val="20"/>
                <w:highlight w:val="yellow"/>
              </w:rPr>
              <w:t>X</w:t>
            </w:r>
            <w:r>
              <w:rPr>
                <w:rFonts w:ascii="Calibri" w:eastAsia="Times New Roman" w:hAnsi="Calibri" w:cs="Calibri"/>
                <w:color w:val="000000"/>
                <w:sz w:val="20"/>
                <w:szCs w:val="20"/>
              </w:rPr>
              <w:t xml:space="preserve"> Scenario</w:t>
            </w:r>
          </w:p>
        </w:tc>
      </w:tr>
      <w:tr w:rsidR="00064C5F" w:rsidRPr="003234F3" w14:paraId="741993A3" w14:textId="77777777" w:rsidTr="00064C5F">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9F98D"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7497A" w14:textId="77777777" w:rsidR="00064C5F" w:rsidRPr="003234F3" w:rsidRDefault="00064C5F" w:rsidP="003234F3">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Includes Oregon</w:t>
            </w:r>
            <w:r w:rsidRPr="003234F3">
              <w:rPr>
                <w:rFonts w:ascii="Calibri" w:eastAsia="Times New Roman" w:hAnsi="Calibri" w:cs="Calibri"/>
                <w:color w:val="000000"/>
                <w:sz w:val="20"/>
                <w:szCs w:val="20"/>
              </w:rPr>
              <w:t xml:space="preserve">’s </w:t>
            </w:r>
            <w:hyperlink r:id="rId41" w:history="1">
              <w:r w:rsidRPr="000D72FA">
                <w:rPr>
                  <w:rStyle w:val="Hyperlink"/>
                  <w:rFonts w:ascii="Calibri" w:eastAsia="Times New Roman" w:hAnsi="Calibri" w:cs="Calibri"/>
                  <w:sz w:val="20"/>
                  <w:szCs w:val="20"/>
                </w:rPr>
                <w:t>Renewable Portfolio Standard</w:t>
              </w:r>
            </w:hyperlink>
          </w:p>
          <w:p w14:paraId="71AA8A16" w14:textId="77777777" w:rsidR="00064C5F" w:rsidRPr="003234F3" w:rsidRDefault="00064C5F" w:rsidP="000E3965">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Reported electricity sector emissions include emissions from both imported and exported electricity generation; electricity imports/exports held constant </w:t>
            </w:r>
          </w:p>
        </w:tc>
        <w:tc>
          <w:tcPr>
            <w:tcW w:w="3955" w:type="dxa"/>
            <w:tcBorders>
              <w:top w:val="single" w:sz="4" w:space="0" w:color="000000"/>
              <w:left w:val="single" w:sz="4" w:space="0" w:color="000000"/>
              <w:bottom w:val="single" w:sz="4" w:space="0" w:color="000000"/>
              <w:right w:val="single" w:sz="4" w:space="0" w:color="000000"/>
            </w:tcBorders>
          </w:tcPr>
          <w:p w14:paraId="368053BF" w14:textId="77777777" w:rsidR="00064C5F"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4FA89AD3" w14:textId="77777777" w:rsidTr="00064C5F">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1B879"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Buildings</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EAEEF" w14:textId="77777777" w:rsidR="00064C5F" w:rsidRPr="003234F3" w:rsidRDefault="00064C5F"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3D99CA69" w14:textId="77777777" w:rsidR="00064C5F" w:rsidRPr="003234F3" w:rsidRDefault="00A1557E"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hyperlink r:id="rId42" w:history="1">
              <w:r w:rsidR="00064C5F" w:rsidRPr="003234F3">
                <w:rPr>
                  <w:rFonts w:ascii="Calibri" w:eastAsia="Times New Roman" w:hAnsi="Calibri" w:cs="Calibri"/>
                  <w:color w:val="1155CC"/>
                  <w:sz w:val="20"/>
                  <w:szCs w:val="20"/>
                  <w:u w:val="single"/>
                </w:rPr>
                <w:t>Assumes some equipment performance improvements over time</w:t>
              </w:r>
            </w:hyperlink>
            <w:r w:rsidR="00064C5F" w:rsidRPr="003234F3">
              <w:rPr>
                <w:rFonts w:ascii="Calibri" w:eastAsia="Times New Roman" w:hAnsi="Calibri" w:cs="Calibri"/>
                <w:color w:val="000000"/>
                <w:sz w:val="20"/>
                <w:szCs w:val="20"/>
              </w:rPr>
              <w:t xml:space="preserve">, based on market data (described </w:t>
            </w:r>
            <w:hyperlink r:id="rId43" w:history="1">
              <w:r w:rsidR="00064C5F" w:rsidRPr="003234F3">
                <w:rPr>
                  <w:rFonts w:ascii="Calibri" w:eastAsia="Times New Roman" w:hAnsi="Calibri" w:cs="Calibri"/>
                  <w:color w:val="1155CC"/>
                  <w:sz w:val="20"/>
                  <w:szCs w:val="20"/>
                  <w:u w:val="single"/>
                </w:rPr>
                <w:t>here</w:t>
              </w:r>
            </w:hyperlink>
            <w:r w:rsidR="00064C5F" w:rsidRPr="003234F3">
              <w:rPr>
                <w:rFonts w:ascii="Calibri" w:eastAsia="Times New Roman" w:hAnsi="Calibri" w:cs="Calibri"/>
                <w:color w:val="000000"/>
                <w:sz w:val="20"/>
                <w:szCs w:val="20"/>
              </w:rPr>
              <w:t>)</w:t>
            </w:r>
          </w:p>
        </w:tc>
        <w:tc>
          <w:tcPr>
            <w:tcW w:w="3955" w:type="dxa"/>
            <w:tcBorders>
              <w:top w:val="single" w:sz="4" w:space="0" w:color="000000"/>
              <w:left w:val="single" w:sz="4" w:space="0" w:color="000000"/>
              <w:bottom w:val="single" w:sz="4" w:space="0" w:color="000000"/>
              <w:right w:val="single" w:sz="4" w:space="0" w:color="000000"/>
            </w:tcBorders>
          </w:tcPr>
          <w:p w14:paraId="4FF6F1D7"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2800631C"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862B4"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On-Road Transportation</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F42E4"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B62B2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Includes 2012 Federal Corporate Average Fuel Economy Standards (CAFE) standards (</w:t>
            </w:r>
            <w:hyperlink r:id="rId44" w:history="1">
              <w:r w:rsidRPr="003234F3">
                <w:rPr>
                  <w:rFonts w:ascii="Calibri" w:eastAsia="Times New Roman" w:hAnsi="Calibri" w:cs="Calibri"/>
                  <w:color w:val="1155CC"/>
                  <w:sz w:val="20"/>
                  <w:szCs w:val="20"/>
                  <w:u w:val="single"/>
                </w:rPr>
                <w:t>full text via AEO</w:t>
              </w:r>
            </w:hyperlink>
            <w:r w:rsidRPr="003234F3">
              <w:rPr>
                <w:rFonts w:ascii="Calibri" w:eastAsia="Times New Roman" w:hAnsi="Calibri" w:cs="Calibri"/>
                <w:color w:val="000000"/>
                <w:sz w:val="20"/>
                <w:szCs w:val="20"/>
              </w:rPr>
              <w:t>)</w:t>
            </w:r>
          </w:p>
          <w:p w14:paraId="1BA32B0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Federal EV subsidies</w:t>
            </w:r>
          </w:p>
          <w:p w14:paraId="5DB7530F" w14:textId="77777777" w:rsidR="00064C5F" w:rsidRPr="000E3965"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Economic adoption of EVs</w:t>
            </w:r>
          </w:p>
          <w:p w14:paraId="5CFA4F46" w14:textId="77777777" w:rsidR="00064C5F" w:rsidRPr="003234F3" w:rsidRDefault="00064C5F" w:rsidP="00064C5F">
            <w:pPr>
              <w:numPr>
                <w:ilvl w:val="0"/>
                <w:numId w:val="5"/>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Oregon Clean Fuels Program as currently written </w:t>
            </w:r>
          </w:p>
        </w:tc>
        <w:tc>
          <w:tcPr>
            <w:tcW w:w="3955" w:type="dxa"/>
            <w:tcBorders>
              <w:top w:val="single" w:sz="4" w:space="0" w:color="000000"/>
              <w:left w:val="single" w:sz="4" w:space="0" w:color="000000"/>
              <w:bottom w:val="single" w:sz="4" w:space="0" w:color="000000"/>
              <w:right w:val="single" w:sz="4" w:space="0" w:color="000000"/>
            </w:tcBorders>
          </w:tcPr>
          <w:p w14:paraId="09C00EB1" w14:textId="77777777" w:rsidR="00064C5F" w:rsidRPr="003234F3" w:rsidRDefault="00064C5F" w:rsidP="00064C5F">
            <w:pPr>
              <w:numPr>
                <w:ilvl w:val="0"/>
                <w:numId w:val="5"/>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The Clean Fuels Program targets are increased in line with Executive Order 20-04 (20% by 2030 and 25% by 2035)</w:t>
            </w:r>
          </w:p>
        </w:tc>
      </w:tr>
      <w:tr w:rsidR="00064C5F" w:rsidRPr="003234F3" w14:paraId="65F92A87"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6F59A"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Industry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8D2EA"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7016CD"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 xml:space="preserve">Assumes equipment performance improvements over time (described </w:t>
            </w:r>
            <w:hyperlink r:id="rId45" w:history="1">
              <w:r w:rsidRPr="003234F3">
                <w:rPr>
                  <w:rFonts w:ascii="Calibri" w:eastAsia="Times New Roman" w:hAnsi="Calibri" w:cs="Calibri"/>
                  <w:color w:val="1155CC"/>
                  <w:sz w:val="20"/>
                  <w:szCs w:val="20"/>
                  <w:u w:val="single"/>
                </w:rPr>
                <w:t>here</w:t>
              </w:r>
            </w:hyperlink>
            <w:r w:rsidRPr="003234F3">
              <w:rPr>
                <w:rFonts w:ascii="Calibri" w:eastAsia="Times New Roman" w:hAnsi="Calibri" w:cs="Calibri"/>
                <w:color w:val="000000"/>
                <w:sz w:val="20"/>
                <w:szCs w:val="20"/>
              </w:rPr>
              <w:t>)</w:t>
            </w:r>
          </w:p>
          <w:p w14:paraId="1B278E5E"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Does not include implementation of the Kigali Amendment to the Montreal Protocol.</w:t>
            </w:r>
          </w:p>
        </w:tc>
        <w:tc>
          <w:tcPr>
            <w:tcW w:w="3955" w:type="dxa"/>
            <w:tcBorders>
              <w:top w:val="single" w:sz="4" w:space="0" w:color="000000"/>
              <w:left w:val="single" w:sz="4" w:space="0" w:color="000000"/>
              <w:bottom w:val="single" w:sz="4" w:space="0" w:color="000000"/>
              <w:right w:val="single" w:sz="4" w:space="0" w:color="000000"/>
            </w:tcBorders>
          </w:tcPr>
          <w:p w14:paraId="578D6218"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31659C0B" w14:textId="77777777" w:rsidTr="00064C5F">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167E5"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Land use/Agriculture</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B706B" w14:textId="77777777" w:rsidR="00064C5F" w:rsidRPr="003234F3" w:rsidRDefault="00064C5F" w:rsidP="003234F3">
            <w:pPr>
              <w:numPr>
                <w:ilvl w:val="0"/>
                <w:numId w:val="7"/>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Agriculture, biomass, and forestry projections</w:t>
            </w:r>
          </w:p>
        </w:tc>
        <w:tc>
          <w:tcPr>
            <w:tcW w:w="3955" w:type="dxa"/>
            <w:tcBorders>
              <w:top w:val="single" w:sz="4" w:space="0" w:color="000000"/>
              <w:left w:val="single" w:sz="4" w:space="0" w:color="000000"/>
              <w:bottom w:val="single" w:sz="4" w:space="0" w:color="000000"/>
              <w:right w:val="single" w:sz="4" w:space="0" w:color="000000"/>
            </w:tcBorders>
          </w:tcPr>
          <w:p w14:paraId="1AF48381"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bl>
    <w:p w14:paraId="222023F8"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4610AFFE" w14:textId="77777777" w:rsidR="00EA2B9C" w:rsidRDefault="00EA2B9C" w:rsidP="003234F3">
      <w:pPr>
        <w:spacing w:line="240" w:lineRule="auto"/>
        <w:outlineLvl w:val="2"/>
        <w:rPr>
          <w:rFonts w:ascii="Calibri" w:eastAsia="Times New Roman" w:hAnsi="Calibri" w:cs="Calibri"/>
          <w:b/>
          <w:bCs/>
          <w:color w:val="FFFFFF"/>
          <w:kern w:val="36"/>
          <w:sz w:val="24"/>
          <w:szCs w:val="24"/>
          <w:shd w:val="clear" w:color="auto" w:fill="1F4E79"/>
        </w:rPr>
      </w:pPr>
    </w:p>
    <w:p w14:paraId="093C8762" w14:textId="77777777" w:rsidR="000E3965" w:rsidRPr="003234F3" w:rsidRDefault="000E3965" w:rsidP="000E3965">
      <w:pPr>
        <w:shd w:val="clear" w:color="auto" w:fill="1F4E79"/>
        <w:spacing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FFFFFF"/>
          <w:kern w:val="36"/>
          <w:sz w:val="28"/>
          <w:szCs w:val="28"/>
          <w:shd w:val="clear" w:color="auto" w:fill="1F4E79"/>
        </w:rPr>
        <w:t>Example Climate Mitigation Scenario</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7222617D"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2C02DCAA"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US 1.5 Degree Scenario</w:t>
      </w:r>
    </w:p>
    <w:p w14:paraId="04D84119"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Ener</w:t>
      </w:r>
      <w:r w:rsidR="000E3965">
        <w:rPr>
          <w:rFonts w:ascii="Calibri" w:eastAsia="Times New Roman" w:hAnsi="Calibri" w:cs="Calibri"/>
          <w:color w:val="000000"/>
        </w:rPr>
        <w:t>gy Innovation developed a US NDC</w:t>
      </w:r>
      <w:r w:rsidRPr="003234F3">
        <w:rPr>
          <w:rFonts w:ascii="Calibri" w:eastAsia="Times New Roman" w:hAnsi="Calibri" w:cs="Calibri"/>
          <w:color w:val="000000"/>
        </w:rPr>
        <w:t xml:space="preserve"> Degree Scenario, which is designed to </w:t>
      </w:r>
      <w:r w:rsidR="000E3965">
        <w:rPr>
          <w:rFonts w:ascii="Calibri" w:eastAsia="Times New Roman" w:hAnsi="Calibri" w:cs="Calibri"/>
          <w:color w:val="000000"/>
        </w:rPr>
        <w:t>meet the US Nationally Determined Contribution of 50%-52% below 2005 GHG emissions by 2030</w:t>
      </w:r>
      <w:r w:rsidRPr="003234F3">
        <w:rPr>
          <w:rFonts w:ascii="Calibri" w:eastAsia="Times New Roman" w:hAnsi="Calibri" w:cs="Calibri"/>
          <w:color w:val="000000"/>
        </w:rPr>
        <w:t>. This national scenar</w:t>
      </w:r>
      <w:r w:rsidR="000E3965">
        <w:rPr>
          <w:rFonts w:ascii="Calibri" w:eastAsia="Times New Roman" w:hAnsi="Calibri" w:cs="Calibri"/>
          <w:color w:val="000000"/>
        </w:rPr>
        <w:t>io has been downscaled to Oregon</w:t>
      </w:r>
      <w:r w:rsidRPr="003234F3">
        <w:rPr>
          <w:rFonts w:ascii="Calibri" w:eastAsia="Times New Roman" w:hAnsi="Calibri" w:cs="Calibri"/>
          <w:color w:val="000000"/>
        </w:rPr>
        <w:t>, adjusting for differences in the state technology mix compared to the national technology mix. This policy scenario is illustrative and is meant to represent one set of policies that could be used to reduce emissions in line with a 1.5</w:t>
      </w:r>
      <w:r w:rsidRPr="003234F3">
        <w:rPr>
          <w:rFonts w:ascii="Cambria Math" w:eastAsia="Times New Roman" w:hAnsi="Cambria Math" w:cs="Cambria Math"/>
          <w:color w:val="000000"/>
        </w:rPr>
        <w:t>℃</w:t>
      </w:r>
      <w:r w:rsidRPr="003234F3">
        <w:rPr>
          <w:rFonts w:ascii="Calibri" w:eastAsia="Times New Roman" w:hAnsi="Calibri" w:cs="Calibri"/>
          <w:color w:val="000000"/>
        </w:rPr>
        <w:t xml:space="preserve"> scenario. Below, we show the policy assumptions in the 1.5</w:t>
      </w:r>
      <w:r w:rsidRPr="003234F3">
        <w:rPr>
          <w:rFonts w:ascii="Cambria Math" w:eastAsia="Times New Roman" w:hAnsi="Cambria Math" w:cs="Cambria Math"/>
          <w:color w:val="000000"/>
        </w:rPr>
        <w:t>℃</w:t>
      </w:r>
      <w:r w:rsidRPr="003234F3">
        <w:rPr>
          <w:rFonts w:ascii="Calibri" w:eastAsia="Times New Roman" w:hAnsi="Calibri" w:cs="Calibri"/>
          <w:color w:val="000000"/>
        </w:rPr>
        <w:t xml:space="preserve"> scenario</w:t>
      </w:r>
      <w:r w:rsidR="000E3965">
        <w:rPr>
          <w:rFonts w:ascii="Calibri" w:eastAsia="Times New Roman" w:hAnsi="Calibri" w:cs="Calibri"/>
          <w:color w:val="000000"/>
        </w:rPr>
        <w:t>.</w:t>
      </w:r>
      <w:r w:rsidRPr="003234F3">
        <w:rPr>
          <w:rFonts w:ascii="Calibri" w:eastAsia="Times New Roman" w:hAnsi="Calibri" w:cs="Calibri"/>
          <w:color w:val="000000"/>
        </w:rPr>
        <w:t> </w:t>
      </w:r>
    </w:p>
    <w:p w14:paraId="77461FAA"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839B6D1" w14:textId="77777777" w:rsidR="003234F3" w:rsidRPr="003234F3" w:rsidRDefault="003234F3" w:rsidP="003234F3">
      <w:pPr>
        <w:shd w:val="clear" w:color="auto" w:fill="8EAADB"/>
        <w:spacing w:after="120" w:line="240" w:lineRule="auto"/>
        <w:ind w:hanging="360"/>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Policy Assumptions in the US 1.5 Degree Scenario</w:t>
      </w:r>
    </w:p>
    <w:tbl>
      <w:tblPr>
        <w:tblW w:w="0" w:type="auto"/>
        <w:tblCellMar>
          <w:top w:w="15" w:type="dxa"/>
          <w:left w:w="15" w:type="dxa"/>
          <w:bottom w:w="15" w:type="dxa"/>
          <w:right w:w="15" w:type="dxa"/>
        </w:tblCellMar>
        <w:tblLook w:val="04A0" w:firstRow="1" w:lastRow="0" w:firstColumn="1" w:lastColumn="0" w:noHBand="0" w:noVBand="1"/>
      </w:tblPr>
      <w:tblGrid>
        <w:gridCol w:w="2685"/>
        <w:gridCol w:w="10265"/>
      </w:tblGrid>
      <w:tr w:rsidR="000E3965" w:rsidRPr="003234F3" w14:paraId="5184D5AB" w14:textId="77777777" w:rsidTr="003234F3">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92745B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2AA7CDC"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US 1.5 Degree Scenario</w:t>
            </w:r>
          </w:p>
        </w:tc>
      </w:tr>
      <w:tr w:rsidR="000E3965" w:rsidRPr="003234F3" w14:paraId="08E4A688" w14:textId="77777777" w:rsidTr="003234F3">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5E17A"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7F5CA"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Clean Electricity Standard of 80% by 2030, 100% by 2035</w:t>
            </w:r>
          </w:p>
          <w:p w14:paraId="428D1296"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Accelerate deployment of storage, transmission, and demand response</w:t>
            </w:r>
          </w:p>
          <w:p w14:paraId="390ED3EB" w14:textId="77777777" w:rsidR="000E3965" w:rsidRPr="003234F3" w:rsidRDefault="000E3965" w:rsidP="000E3965">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No new construction of coal and natural gas plants</w:t>
            </w:r>
          </w:p>
        </w:tc>
      </w:tr>
      <w:tr w:rsidR="000E3965" w:rsidRPr="003234F3" w14:paraId="3CD09012" w14:textId="77777777" w:rsidTr="003234F3">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55FCF"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Buildings (Residential &amp; Commercial)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96F14"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appliances and buildings by 2030 (“building component electrification”)</w:t>
            </w:r>
          </w:p>
          <w:p w14:paraId="04B714CE"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15% of existing buildings are retrofit by 2050</w:t>
            </w:r>
          </w:p>
          <w:p w14:paraId="7EA5E1B3"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Enhanced building efficiency</w:t>
            </w:r>
          </w:p>
        </w:tc>
      </w:tr>
      <w:tr w:rsidR="000E3965" w:rsidRPr="003234F3" w14:paraId="0BBBDF80"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3DD6E"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28519"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light-duty vehicle, motorbike, and bus sales by 2035</w:t>
            </w:r>
          </w:p>
          <w:p w14:paraId="0978FC82"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medium- and heavy-duty truck sales by 2045</w:t>
            </w:r>
          </w:p>
          <w:p w14:paraId="017BB456" w14:textId="77777777" w:rsidR="000E3965" w:rsidRPr="000E3965"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20% light-duty vehicle miles traveled reduced or shifted from BAU by 2050</w:t>
            </w:r>
          </w:p>
          <w:p w14:paraId="01C2080F"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6% heavy-duty trucking miles reduced from BAU by 2050 due to better freight logistics</w:t>
            </w:r>
          </w:p>
        </w:tc>
      </w:tr>
      <w:tr w:rsidR="000E3965" w:rsidRPr="003234F3" w14:paraId="7756DF76"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9EB61"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Industry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7CA70"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w:t>
            </w:r>
            <w:r>
              <w:rPr>
                <w:rFonts w:ascii="Calibri" w:eastAsia="Times New Roman" w:hAnsi="Calibri" w:cs="Calibri"/>
                <w:color w:val="000000"/>
                <w:sz w:val="18"/>
                <w:szCs w:val="18"/>
              </w:rPr>
              <w:t>ment of HFC emissions reduction potential by 2030</w:t>
            </w:r>
            <w:r w:rsidRPr="003234F3">
              <w:rPr>
                <w:rFonts w:ascii="Calibri" w:eastAsia="Times New Roman" w:hAnsi="Calibri" w:cs="Calibri"/>
                <w:color w:val="000000"/>
                <w:sz w:val="18"/>
                <w:szCs w:val="18"/>
              </w:rPr>
              <w:t>, consistent with the Kigali Amendment to the Montreal Protocol</w:t>
            </w:r>
            <w:r>
              <w:rPr>
                <w:rFonts w:ascii="Calibri" w:eastAsia="Times New Roman" w:hAnsi="Calibri" w:cs="Calibri"/>
                <w:color w:val="000000"/>
                <w:sz w:val="18"/>
                <w:szCs w:val="18"/>
              </w:rPr>
              <w:t xml:space="preserve"> plus additional measures such as HFC recovery</w:t>
            </w:r>
          </w:p>
          <w:p w14:paraId="462E287E"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14</w:t>
            </w:r>
            <w:r w:rsidRPr="003234F3">
              <w:rPr>
                <w:rFonts w:ascii="Calibri" w:eastAsia="Times New Roman" w:hAnsi="Calibri" w:cs="Calibri"/>
                <w:color w:val="000000"/>
                <w:sz w:val="18"/>
                <w:szCs w:val="18"/>
              </w:rPr>
              <w:t>% improvement in industrial energy intensity/efficiency by 2050</w:t>
            </w:r>
          </w:p>
          <w:p w14:paraId="73D442B6"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by 2050 shift from fossil fuels to a mix of electricity and hydrogen, varying by industrial potential for each fuel type, by 2050</w:t>
            </w:r>
          </w:p>
          <w:p w14:paraId="31103143"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10</w:t>
            </w:r>
            <w:r w:rsidRPr="003234F3">
              <w:rPr>
                <w:rFonts w:ascii="Calibri" w:eastAsia="Times New Roman" w:hAnsi="Calibri" w:cs="Calibri"/>
                <w:color w:val="000000"/>
                <w:sz w:val="18"/>
                <w:szCs w:val="18"/>
              </w:rPr>
              <w:t>% r</w:t>
            </w:r>
            <w:r>
              <w:rPr>
                <w:rFonts w:ascii="Calibri" w:eastAsia="Times New Roman" w:hAnsi="Calibri" w:cs="Calibri"/>
                <w:color w:val="000000"/>
                <w:sz w:val="18"/>
                <w:szCs w:val="18"/>
              </w:rPr>
              <w:t>eduction in cement demand and 15</w:t>
            </w:r>
            <w:r w:rsidRPr="003234F3">
              <w:rPr>
                <w:rFonts w:ascii="Calibri" w:eastAsia="Times New Roman" w:hAnsi="Calibri" w:cs="Calibri"/>
                <w:color w:val="000000"/>
                <w:sz w:val="18"/>
                <w:szCs w:val="18"/>
              </w:rPr>
              <w:t>% reduction in iron and steel demand from improved material efficiency policies by 2050</w:t>
            </w:r>
          </w:p>
          <w:p w14:paraId="553E959B"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potential emissions reductions from methane capture and destruction in natural gas and oil, coal mining, water, and waste sectors</w:t>
            </w:r>
            <w:r>
              <w:rPr>
                <w:rFonts w:ascii="Calibri" w:eastAsia="Times New Roman" w:hAnsi="Calibri" w:cs="Calibri"/>
                <w:color w:val="000000"/>
                <w:sz w:val="18"/>
                <w:szCs w:val="18"/>
              </w:rPr>
              <w:t xml:space="preserve"> by 2030</w:t>
            </w:r>
          </w:p>
          <w:p w14:paraId="5CFE32F9"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100% of hydrogen is </w:t>
            </w:r>
            <w:r>
              <w:rPr>
                <w:rFonts w:ascii="Calibri" w:eastAsia="Times New Roman" w:hAnsi="Calibri" w:cs="Calibri"/>
                <w:color w:val="000000"/>
                <w:sz w:val="18"/>
                <w:szCs w:val="18"/>
              </w:rPr>
              <w:t>produced via electrolysis by 205</w:t>
            </w:r>
            <w:r w:rsidRPr="003234F3">
              <w:rPr>
                <w:rFonts w:ascii="Calibri" w:eastAsia="Times New Roman" w:hAnsi="Calibri" w:cs="Calibri"/>
                <w:color w:val="000000"/>
                <w:sz w:val="18"/>
                <w:szCs w:val="18"/>
              </w:rPr>
              <w:t>0</w:t>
            </w:r>
          </w:p>
          <w:p w14:paraId="1EF6683B" w14:textId="77777777" w:rsidR="000E3965" w:rsidRPr="000E3965"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50% remaining industrial CO2 </w:t>
            </w:r>
            <w:r>
              <w:rPr>
                <w:rFonts w:ascii="Calibri" w:eastAsia="Times New Roman" w:hAnsi="Calibri" w:cs="Calibri"/>
                <w:color w:val="000000"/>
                <w:sz w:val="18"/>
                <w:szCs w:val="18"/>
              </w:rPr>
              <w:t xml:space="preserve">process </w:t>
            </w:r>
            <w:r w:rsidRPr="003234F3">
              <w:rPr>
                <w:rFonts w:ascii="Calibri" w:eastAsia="Times New Roman" w:hAnsi="Calibri" w:cs="Calibri"/>
                <w:color w:val="000000"/>
                <w:sz w:val="18"/>
                <w:szCs w:val="18"/>
              </w:rPr>
              <w:t>emissions captured and sequestered through CCS by 2050</w:t>
            </w:r>
            <w:r>
              <w:rPr>
                <w:rFonts w:ascii="Calibri" w:eastAsia="Times New Roman" w:hAnsi="Calibri" w:cs="Calibri"/>
                <w:color w:val="000000"/>
                <w:sz w:val="18"/>
                <w:szCs w:val="18"/>
              </w:rPr>
              <w:t xml:space="preserve"> in the cement, iron and steel, and chemicals industries</w:t>
            </w:r>
          </w:p>
          <w:p w14:paraId="6E0956E1" w14:textId="77777777" w:rsidR="000E3965" w:rsidRPr="003234F3" w:rsidRDefault="000E3965" w:rsidP="000E3965">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ce</w:t>
            </w:r>
            <w:r>
              <w:rPr>
                <w:rFonts w:ascii="Calibri" w:eastAsia="Times New Roman" w:hAnsi="Calibri" w:cs="Calibri"/>
                <w:color w:val="000000"/>
                <w:sz w:val="18"/>
                <w:szCs w:val="18"/>
              </w:rPr>
              <w:t>ment clinker substitution by 203</w:t>
            </w:r>
            <w:r w:rsidRPr="003234F3">
              <w:rPr>
                <w:rFonts w:ascii="Calibri" w:eastAsia="Times New Roman" w:hAnsi="Calibri" w:cs="Calibri"/>
                <w:color w:val="000000"/>
                <w:sz w:val="18"/>
                <w:szCs w:val="18"/>
              </w:rPr>
              <w:t>0</w:t>
            </w:r>
          </w:p>
        </w:tc>
      </w:tr>
      <w:tr w:rsidR="000E3965" w:rsidRPr="003234F3" w14:paraId="06FD66DA" w14:textId="77777777" w:rsidTr="003234F3">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7971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Land use &amp; Agriculture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C5CD8"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potential additional carbon uptake from afforestation/reforestation measures, improved forest management, cropland measures</w:t>
            </w:r>
            <w:r>
              <w:rPr>
                <w:rFonts w:ascii="Calibri" w:eastAsia="Times New Roman" w:hAnsi="Calibri" w:cs="Calibri"/>
                <w:color w:val="000000"/>
                <w:sz w:val="18"/>
                <w:szCs w:val="18"/>
              </w:rPr>
              <w:t xml:space="preserve"> by 2030</w:t>
            </w:r>
          </w:p>
          <w:p w14:paraId="2D829E3D"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livestock methane measures (such as requiring anaerobic digesters) by 2050</w:t>
            </w:r>
          </w:p>
        </w:tc>
      </w:tr>
    </w:tbl>
    <w:p w14:paraId="425F60C2" w14:textId="77777777" w:rsidR="000E3965" w:rsidRPr="003234F3" w:rsidRDefault="000E3965" w:rsidP="003234F3">
      <w:pPr>
        <w:spacing w:line="240" w:lineRule="auto"/>
        <w:outlineLvl w:val="2"/>
        <w:rPr>
          <w:rFonts w:ascii="Times New Roman" w:eastAsia="Times New Roman" w:hAnsi="Times New Roman" w:cs="Times New Roman"/>
          <w:b/>
          <w:bCs/>
          <w:sz w:val="27"/>
          <w:szCs w:val="27"/>
        </w:rPr>
      </w:pPr>
    </w:p>
    <w:p w14:paraId="600FC8B8" w14:textId="77777777" w:rsidR="003234F3" w:rsidRPr="003234F3" w:rsidRDefault="003234F3" w:rsidP="003234F3">
      <w:pPr>
        <w:shd w:val="clear" w:color="auto" w:fill="1F4E79"/>
        <w:spacing w:before="240"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t>Calculating Policy Impacts</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5894174E"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Calculating Impacts of Policies (Emissions, Jobs, Health Impacts)</w:t>
      </w:r>
    </w:p>
    <w:p w14:paraId="444EEAB8"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For additional information on Energy Innovation’s Energy Policy Simulator, please view the tutorial </w:t>
      </w:r>
      <w:hyperlink r:id="rId46"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w:t>
      </w:r>
    </w:p>
    <w:p w14:paraId="228F7774"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About the EPS</w:t>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Pr="003234F3">
        <w:rPr>
          <w:rFonts w:ascii="Calibri" w:eastAsia="Times New Roman" w:hAnsi="Calibri" w:cs="Calibri"/>
          <w:b/>
          <w:bCs/>
          <w:color w:val="000000"/>
        </w:rPr>
        <w:tab/>
      </w:r>
    </w:p>
    <w:p w14:paraId="74E6521D"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p>
    <w:p w14:paraId="42E90C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The EPS model is available for download online </w:t>
      </w:r>
      <w:hyperlink r:id="rId47"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And full documentation on methodology and assumptions are available online </w:t>
      </w:r>
      <w:hyperlink r:id="rId48"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w:t>
      </w:r>
    </w:p>
    <w:p w14:paraId="0190C4E5"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lastRenderedPageBreak/>
        <w:t>Contact</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29DE42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If you have questions about using the EPS, we recommend first watching our video series, available </w:t>
      </w:r>
      <w:hyperlink r:id="rId49"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For further information on the EPS, contact us at </w:t>
      </w:r>
      <w:hyperlink r:id="rId50" w:history="1">
        <w:r w:rsidRPr="003234F3">
          <w:rPr>
            <w:rFonts w:ascii="Calibri" w:eastAsia="Times New Roman" w:hAnsi="Calibri" w:cs="Calibri"/>
            <w:color w:val="0563C1"/>
            <w:u w:val="single"/>
          </w:rPr>
          <w:t>policy@energyinnovation.org</w:t>
        </w:r>
      </w:hyperlink>
      <w:r w:rsidRPr="003234F3">
        <w:rPr>
          <w:rFonts w:ascii="Calibri" w:eastAsia="Times New Roman" w:hAnsi="Calibri" w:cs="Calibri"/>
          <w:color w:val="000000"/>
        </w:rPr>
        <w:t xml:space="preserve">. </w:t>
      </w:r>
    </w:p>
    <w:p w14:paraId="4EA958DA" w14:textId="77777777" w:rsidR="003E3C21" w:rsidRDefault="003E3C21"/>
    <w:sectPr w:rsidR="003E3C21" w:rsidSect="003234F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845"/>
    <w:multiLevelType w:val="multilevel"/>
    <w:tmpl w:val="CB9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71BB"/>
    <w:multiLevelType w:val="multilevel"/>
    <w:tmpl w:val="A13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01CC"/>
    <w:multiLevelType w:val="multilevel"/>
    <w:tmpl w:val="532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11D5"/>
    <w:multiLevelType w:val="multilevel"/>
    <w:tmpl w:val="9E9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32E"/>
    <w:multiLevelType w:val="multilevel"/>
    <w:tmpl w:val="AC4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7041"/>
    <w:multiLevelType w:val="multilevel"/>
    <w:tmpl w:val="61E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7088B"/>
    <w:multiLevelType w:val="multilevel"/>
    <w:tmpl w:val="B7C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50B01"/>
    <w:multiLevelType w:val="multilevel"/>
    <w:tmpl w:val="9B8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75D"/>
    <w:multiLevelType w:val="multilevel"/>
    <w:tmpl w:val="C5E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D8A"/>
    <w:multiLevelType w:val="multilevel"/>
    <w:tmpl w:val="C0B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74A78"/>
    <w:multiLevelType w:val="multilevel"/>
    <w:tmpl w:val="2E1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47137"/>
    <w:multiLevelType w:val="multilevel"/>
    <w:tmpl w:val="390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24A8B"/>
    <w:multiLevelType w:val="multilevel"/>
    <w:tmpl w:val="F8D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F00D5"/>
    <w:multiLevelType w:val="multilevel"/>
    <w:tmpl w:val="553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641AB"/>
    <w:multiLevelType w:val="multilevel"/>
    <w:tmpl w:val="09A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94BDE"/>
    <w:multiLevelType w:val="multilevel"/>
    <w:tmpl w:val="75E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046A4"/>
    <w:multiLevelType w:val="multilevel"/>
    <w:tmpl w:val="833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378F4"/>
    <w:multiLevelType w:val="multilevel"/>
    <w:tmpl w:val="00A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85B8F"/>
    <w:multiLevelType w:val="multilevel"/>
    <w:tmpl w:val="A0F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B289B"/>
    <w:multiLevelType w:val="multilevel"/>
    <w:tmpl w:val="F06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2215C"/>
    <w:multiLevelType w:val="multilevel"/>
    <w:tmpl w:val="169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344BE"/>
    <w:multiLevelType w:val="multilevel"/>
    <w:tmpl w:val="C8F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32FAC"/>
    <w:multiLevelType w:val="multilevel"/>
    <w:tmpl w:val="4E3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
  </w:num>
  <w:num w:numId="4">
    <w:abstractNumId w:val="11"/>
  </w:num>
  <w:num w:numId="5">
    <w:abstractNumId w:val="12"/>
  </w:num>
  <w:num w:numId="6">
    <w:abstractNumId w:val="6"/>
  </w:num>
  <w:num w:numId="7">
    <w:abstractNumId w:val="20"/>
  </w:num>
  <w:num w:numId="8">
    <w:abstractNumId w:val="9"/>
  </w:num>
  <w:num w:numId="9">
    <w:abstractNumId w:val="22"/>
  </w:num>
  <w:num w:numId="10">
    <w:abstractNumId w:val="18"/>
  </w:num>
  <w:num w:numId="11">
    <w:abstractNumId w:val="15"/>
  </w:num>
  <w:num w:numId="12">
    <w:abstractNumId w:val="4"/>
  </w:num>
  <w:num w:numId="13">
    <w:abstractNumId w:val="21"/>
  </w:num>
  <w:num w:numId="14">
    <w:abstractNumId w:val="3"/>
  </w:num>
  <w:num w:numId="15">
    <w:abstractNumId w:val="19"/>
  </w:num>
  <w:num w:numId="16">
    <w:abstractNumId w:val="8"/>
  </w:num>
  <w:num w:numId="17">
    <w:abstractNumId w:val="10"/>
  </w:num>
  <w:num w:numId="18">
    <w:abstractNumId w:val="14"/>
  </w:num>
  <w:num w:numId="19">
    <w:abstractNumId w:val="0"/>
  </w:num>
  <w:num w:numId="20">
    <w:abstractNumId w:val="7"/>
  </w:num>
  <w:num w:numId="21">
    <w:abstractNumId w:val="16"/>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F3"/>
    <w:rsid w:val="00064C5F"/>
    <w:rsid w:val="000D72FA"/>
    <w:rsid w:val="000E3965"/>
    <w:rsid w:val="003234F3"/>
    <w:rsid w:val="003E3C21"/>
    <w:rsid w:val="008C26FB"/>
    <w:rsid w:val="00A1557E"/>
    <w:rsid w:val="00DC7610"/>
    <w:rsid w:val="00E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CAE3"/>
  <w15:chartTrackingRefBased/>
  <w15:docId w15:val="{A876D558-0605-42D7-BDF5-82C497C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3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34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4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34F3"/>
  </w:style>
  <w:style w:type="character" w:styleId="Hyperlink">
    <w:name w:val="Hyperlink"/>
    <w:basedOn w:val="DefaultParagraphFont"/>
    <w:uiPriority w:val="99"/>
    <w:unhideWhenUsed/>
    <w:rsid w:val="003234F3"/>
    <w:rPr>
      <w:color w:val="0000FF"/>
      <w:u w:val="single"/>
    </w:rPr>
  </w:style>
  <w:style w:type="character" w:styleId="CommentReference">
    <w:name w:val="annotation reference"/>
    <w:basedOn w:val="DefaultParagraphFont"/>
    <w:uiPriority w:val="99"/>
    <w:semiHidden/>
    <w:unhideWhenUsed/>
    <w:rsid w:val="00064C5F"/>
    <w:rPr>
      <w:sz w:val="16"/>
      <w:szCs w:val="16"/>
    </w:rPr>
  </w:style>
  <w:style w:type="paragraph" w:styleId="CommentText">
    <w:name w:val="annotation text"/>
    <w:basedOn w:val="Normal"/>
    <w:link w:val="CommentTextChar"/>
    <w:uiPriority w:val="99"/>
    <w:semiHidden/>
    <w:unhideWhenUsed/>
    <w:rsid w:val="00064C5F"/>
    <w:pPr>
      <w:spacing w:line="240" w:lineRule="auto"/>
    </w:pPr>
    <w:rPr>
      <w:sz w:val="20"/>
      <w:szCs w:val="20"/>
    </w:rPr>
  </w:style>
  <w:style w:type="character" w:customStyle="1" w:styleId="CommentTextChar">
    <w:name w:val="Comment Text Char"/>
    <w:basedOn w:val="DefaultParagraphFont"/>
    <w:link w:val="CommentText"/>
    <w:uiPriority w:val="99"/>
    <w:semiHidden/>
    <w:rsid w:val="00064C5F"/>
    <w:rPr>
      <w:sz w:val="20"/>
      <w:szCs w:val="20"/>
    </w:rPr>
  </w:style>
  <w:style w:type="paragraph" w:styleId="CommentSubject">
    <w:name w:val="annotation subject"/>
    <w:basedOn w:val="CommentText"/>
    <w:next w:val="CommentText"/>
    <w:link w:val="CommentSubjectChar"/>
    <w:uiPriority w:val="99"/>
    <w:semiHidden/>
    <w:unhideWhenUsed/>
    <w:rsid w:val="00064C5F"/>
    <w:rPr>
      <w:b/>
      <w:bCs/>
    </w:rPr>
  </w:style>
  <w:style w:type="character" w:customStyle="1" w:styleId="CommentSubjectChar">
    <w:name w:val="Comment Subject Char"/>
    <w:basedOn w:val="CommentTextChar"/>
    <w:link w:val="CommentSubject"/>
    <w:uiPriority w:val="99"/>
    <w:semiHidden/>
    <w:rsid w:val="00064C5F"/>
    <w:rPr>
      <w:b/>
      <w:bCs/>
      <w:sz w:val="20"/>
      <w:szCs w:val="20"/>
    </w:rPr>
  </w:style>
  <w:style w:type="paragraph" w:styleId="BalloonText">
    <w:name w:val="Balloon Text"/>
    <w:basedOn w:val="Normal"/>
    <w:link w:val="BalloonTextChar"/>
    <w:uiPriority w:val="99"/>
    <w:semiHidden/>
    <w:unhideWhenUsed/>
    <w:rsid w:val="00064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99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425">
          <w:marLeft w:val="5"/>
          <w:marRight w:val="0"/>
          <w:marTop w:val="0"/>
          <w:marBottom w:val="0"/>
          <w:divBdr>
            <w:top w:val="none" w:sz="0" w:space="0" w:color="auto"/>
            <w:left w:val="none" w:sz="0" w:space="0" w:color="auto"/>
            <w:bottom w:val="none" w:sz="0" w:space="0" w:color="auto"/>
            <w:right w:val="none" w:sz="0" w:space="0" w:color="auto"/>
          </w:divBdr>
        </w:div>
        <w:div w:id="731588243">
          <w:marLeft w:val="-3"/>
          <w:marRight w:val="0"/>
          <w:marTop w:val="0"/>
          <w:marBottom w:val="0"/>
          <w:divBdr>
            <w:top w:val="none" w:sz="0" w:space="0" w:color="auto"/>
            <w:left w:val="none" w:sz="0" w:space="0" w:color="auto"/>
            <w:bottom w:val="none" w:sz="0" w:space="0" w:color="auto"/>
            <w:right w:val="none" w:sz="0" w:space="0" w:color="auto"/>
          </w:divBdr>
        </w:div>
        <w:div w:id="813449444">
          <w:marLeft w:val="-108"/>
          <w:marRight w:val="0"/>
          <w:marTop w:val="0"/>
          <w:marBottom w:val="0"/>
          <w:divBdr>
            <w:top w:val="none" w:sz="0" w:space="0" w:color="auto"/>
            <w:left w:val="none" w:sz="0" w:space="0" w:color="auto"/>
            <w:bottom w:val="none" w:sz="0" w:space="0" w:color="auto"/>
            <w:right w:val="none" w:sz="0" w:space="0" w:color="auto"/>
          </w:divBdr>
        </w:div>
        <w:div w:id="484398060">
          <w:marLeft w:val="-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state/seds/seds-data-fuel.php?sid=NV"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oregon.gov/deq/aq/programs/Pages/GHG-Inventory.aspx" TargetMode="External"/><Relationship Id="rId39" Type="http://schemas.openxmlformats.org/officeDocument/2006/relationships/hyperlink" Target="https://www.epa.gov/statelocalenergy/state-co2-emissions-fossil-fuel-combustion-1990-2017" TargetMode="External"/><Relationship Id="rId3" Type="http://schemas.openxmlformats.org/officeDocument/2006/relationships/styles" Target="styles.xm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oregon.gov/ODF/ForestBenefits/Documents/Forest%20Carbon%20Study/Forest%20Carbon%20Accounting%20Project%20OR%20Global%20Warming%20Commmission%20Discussion%20Draft.pdf"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download.html" TargetMode="External"/><Relationship Id="rId50" Type="http://schemas.openxmlformats.org/officeDocument/2006/relationships/hyperlink" Target="mailto:policy@energyinnovation.org" TargetMode="External"/><Relationship Id="rId7" Type="http://schemas.openxmlformats.org/officeDocument/2006/relationships/hyperlink" Target="https://www.eia.gov/electricity/data/eia860/" TargetMode="External"/><Relationship Id="rId12" Type="http://schemas.openxmlformats.org/officeDocument/2006/relationships/hyperlink" Target="https://www.nrel.gov/analysis/electrification-futures.html" TargetMode="External"/><Relationship Id="rId17" Type="http://schemas.openxmlformats.org/officeDocument/2006/relationships/hyperlink" Target="https://www.eia.gov/outlooks/aeo/tables_ref.php" TargetMode="External"/><Relationship Id="rId25" Type="http://schemas.openxmlformats.org/officeDocument/2006/relationships/hyperlink" Target="https://www.oregon.gov/deq/aq/programs/Pages/GHG-Inventory.aspx" TargetMode="External"/><Relationship Id="rId33" Type="http://schemas.openxmlformats.org/officeDocument/2006/relationships/hyperlink" Target="https://www.oregon.gov/deq/aq/programs/Pages/GHG-Inventory.aspx"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 Type="http://schemas.openxmlformats.org/officeDocument/2006/relationships/numbering" Target="numbering.xml"/><Relationship Id="rId16" Type="http://schemas.openxmlformats.org/officeDocument/2006/relationships/hyperlink" Target="https://www.oregon.gov/deq/aq/programs/Pages/GHG-Inventory.aspx" TargetMode="External"/><Relationship Id="rId20" Type="http://schemas.openxmlformats.org/officeDocument/2006/relationships/hyperlink" Target="https://www.eia.gov/state/seds/seds-data-fuel.php?sid=US" TargetMode="External"/><Relationship Id="rId29" Type="http://schemas.openxmlformats.org/officeDocument/2006/relationships/hyperlink" Target="https://www.oregon.gov/deq/aq/programs/Pages/GHG-Inventory.aspx" TargetMode="External"/><Relationship Id="rId41" Type="http://schemas.openxmlformats.org/officeDocument/2006/relationships/hyperlink" Target="https://www.oregon.gov/energy/energy-oregon/pages/renewable-portfolio-standard.aspx" TargetMode="External"/><Relationship Id="rId1" Type="http://schemas.openxmlformats.org/officeDocument/2006/relationships/customXml" Target="../customXml/item1.xml"/><Relationship Id="rId6" Type="http://schemas.openxmlformats.org/officeDocument/2006/relationships/hyperlink" Target="https://www.eia.gov/electricity/data/eia923/" TargetMode="External"/><Relationship Id="rId11" Type="http://schemas.openxmlformats.org/officeDocument/2006/relationships/hyperlink" Target="https://www.oregon.gov/deq/aq/programs/Pages/GHG-Inventory.aspx" TargetMode="External"/><Relationship Id="rId24" Type="http://schemas.openxmlformats.org/officeDocument/2006/relationships/hyperlink" Target="https://www.epa.gov/global-mitigation-non-co2-greenhouse-gases/global-non-co2-greenhouse-gas-emission-projections"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www.eia.gov/state/seds/seds-data-fuel.php?sid=US" TargetMode="External"/><Relationship Id="rId40" Type="http://schemas.openxmlformats.org/officeDocument/2006/relationships/hyperlink" Target="https://www.oregon.gov/deq/aq/programs/Pages/GHG-Inventory.aspx" TargetMode="External"/><Relationship Id="rId45" Type="http://schemas.openxmlformats.org/officeDocument/2006/relationships/hyperlink" Target="https://www.nrel.gov/docs/fy18osti/70485.pdf" TargetMode="External"/><Relationship Id="rId5" Type="http://schemas.openxmlformats.org/officeDocument/2006/relationships/webSettings" Target="webSetting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oregon.gov/deq/aq/programs/Pages/GHG-Inventory.aspx" TargetMode="External"/><Relationship Id="rId28" Type="http://schemas.openxmlformats.org/officeDocument/2006/relationships/hyperlink" Target="https://www.epa.gov/statelocalenergy/download-state-inventory-and-projection-tool"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video-series.html" TargetMode="Externa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census.gov/programs-surveys/cbp/data/tables.html" TargetMode="External"/><Relationship Id="rId31" Type="http://schemas.openxmlformats.org/officeDocument/2006/relationships/hyperlink" Target="https://www.epa.gov/statelocalenergy/state-co2-emissions-fossil-fuel-combustion-1990-2017" TargetMode="External"/><Relationship Id="rId44" Type="http://schemas.openxmlformats.org/officeDocument/2006/relationships/hyperlink" Target="https://www.eia.gov/outlooks/aeo/assumptions/pdf/summary.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a.gov/statelocalenergy/state-co2-emissions-fossil-fuel-combustion-1990-2017" TargetMode="External"/><Relationship Id="rId14" Type="http://schemas.openxmlformats.org/officeDocument/2006/relationships/hyperlink" Target="https://www.eia.gov/state/seds/seds-data-fuel.php?sid=NV"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ghgdata.epa.gov/ghgp/main.do" TargetMode="External"/><Relationship Id="rId30" Type="http://schemas.openxmlformats.org/officeDocument/2006/relationships/hyperlink" Target="https://www.epa.gov/statelocalenergy/state-inventory-and-projection-tool"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nrel.gov/docs/fy18osti/70485.pdf" TargetMode="External"/><Relationship Id="rId48" Type="http://schemas.openxmlformats.org/officeDocument/2006/relationships/hyperlink" Target="https://us.energypolicy.solutions/docs/index.html" TargetMode="External"/><Relationship Id="rId8" Type="http://schemas.openxmlformats.org/officeDocument/2006/relationships/hyperlink" Target="https://www.pacificorp.com/content/dam/pcorp/documents/en/pacificorp/energy/integrated-resource-plan/2019_IRP_Volume_I.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E51D-B7E8-4BBC-BF8E-1EAF6A1C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MeganM</dc:creator>
  <cp:keywords/>
  <dc:description/>
  <cp:lastModifiedBy>MeganM</cp:lastModifiedBy>
  <cp:revision>5</cp:revision>
  <dcterms:created xsi:type="dcterms:W3CDTF">2021-05-03T21:06:00Z</dcterms:created>
  <dcterms:modified xsi:type="dcterms:W3CDTF">2021-06-22T22:21:00Z</dcterms:modified>
</cp:coreProperties>
</file>