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F2071F" w14:textId="77777777" w:rsidR="004D3C30" w:rsidRPr="00FA4CD1" w:rsidRDefault="004D3C30" w:rsidP="004D3C30">
      <w:pPr>
        <w:pStyle w:val="Heading1"/>
      </w:pPr>
      <w:bookmarkStart w:id="0" w:name="_Toc53755125"/>
      <w:bookmarkStart w:id="1" w:name="_Toc105598859"/>
      <w:bookmarkStart w:id="2" w:name="_Toc65223871"/>
      <w:r w:rsidRPr="00FA4CD1">
        <w:t>Supplementary information</w:t>
      </w:r>
      <w:bookmarkEnd w:id="0"/>
      <w:bookmarkEnd w:id="1"/>
      <w:r w:rsidRPr="00FA4CD1">
        <w:t xml:space="preserve">  </w:t>
      </w:r>
      <w:bookmarkEnd w:id="2"/>
    </w:p>
    <w:p w14:paraId="3807F3C6" w14:textId="77777777" w:rsidR="004D3C30" w:rsidRPr="00FA4CD1" w:rsidRDefault="004D3C30" w:rsidP="004D3C30"/>
    <w:p w14:paraId="241FBFA9" w14:textId="77777777" w:rsidR="004D3C30" w:rsidRPr="00FA4CD1" w:rsidRDefault="004D3C30" w:rsidP="004D3C30">
      <w:pPr>
        <w:pStyle w:val="Heading2"/>
        <w:numPr>
          <w:ilvl w:val="1"/>
          <w:numId w:val="1"/>
        </w:numPr>
      </w:pPr>
      <w:bookmarkStart w:id="3" w:name="_Toc105598860"/>
      <w:bookmarkStart w:id="4" w:name="_Toc65223872"/>
      <w:bookmarkStart w:id="5" w:name="_Toc53755126"/>
      <w:r w:rsidRPr="00FA4CD1">
        <w:t>Illustration of biophysical parameters</w:t>
      </w:r>
      <w:bookmarkEnd w:id="3"/>
      <w:r w:rsidRPr="00FA4CD1">
        <w:t xml:space="preserve"> </w:t>
      </w:r>
      <w:bookmarkEnd w:id="4"/>
    </w:p>
    <w:p w14:paraId="710869DE" w14:textId="77777777" w:rsidR="004D3C30" w:rsidRPr="00FA4CD1" w:rsidRDefault="004D3C30" w:rsidP="004D3C30">
      <w:r w:rsidRPr="00FA4CD1">
        <w:t xml:space="preserve">Monthly variation of daylength was implemented for seasonal lighting demand for the residential and service sector as illustrated in </w:t>
      </w:r>
      <w:r w:rsidRPr="00FA4CD1">
        <w:fldChar w:fldCharType="begin"/>
      </w:r>
      <w:r w:rsidRPr="00FA4CD1">
        <w:instrText xml:space="preserve"> REF _Ref62660508 \h </w:instrText>
      </w:r>
      <w:r w:rsidRPr="00FA4CD1">
        <w:fldChar w:fldCharType="separate"/>
      </w:r>
      <w:r w:rsidRPr="00FA4CD1">
        <w:t xml:space="preserve">Figure </w:t>
      </w:r>
      <w:r>
        <w:rPr>
          <w:noProof/>
        </w:rPr>
        <w:t>10</w:t>
      </w:r>
      <w:r w:rsidRPr="00FA4CD1">
        <w:fldChar w:fldCharType="end"/>
      </w:r>
      <w:r w:rsidRPr="00FA4CD1">
        <w:t>.</w:t>
      </w:r>
    </w:p>
    <w:p w14:paraId="6AD261AE" w14:textId="77777777" w:rsidR="004D3C30" w:rsidRPr="00FA4CD1" w:rsidRDefault="004D3C30" w:rsidP="004D3C30">
      <w:pPr>
        <w:keepNext/>
      </w:pPr>
      <w:r w:rsidRPr="00FA4CD1">
        <w:rPr>
          <w:noProof/>
        </w:rPr>
        <w:drawing>
          <wp:inline distT="0" distB="0" distL="0" distR="0" wp14:anchorId="0670F6FE" wp14:editId="36C00F78">
            <wp:extent cx="4435522" cy="1648989"/>
            <wp:effectExtent l="0" t="0" r="3175" b="889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467367" cy="1660828"/>
                    </a:xfrm>
                    <a:prstGeom prst="rect">
                      <a:avLst/>
                    </a:prstGeom>
                    <a:noFill/>
                  </pic:spPr>
                </pic:pic>
              </a:graphicData>
            </a:graphic>
          </wp:inline>
        </w:drawing>
      </w:r>
    </w:p>
    <w:p w14:paraId="23FA501E" w14:textId="77777777" w:rsidR="004D3C30" w:rsidRPr="00FA4CD1" w:rsidRDefault="004D3C30" w:rsidP="004D3C30">
      <w:pPr>
        <w:pStyle w:val="Caption"/>
        <w:rPr>
          <w:color w:val="auto"/>
        </w:rPr>
      </w:pPr>
      <w:bookmarkStart w:id="6" w:name="_Ref62660508"/>
      <w:r w:rsidRPr="00FA4CD1">
        <w:rPr>
          <w:color w:val="auto"/>
        </w:rPr>
        <w:t xml:space="preserve">Figure </w:t>
      </w:r>
      <w:r w:rsidRPr="00FA4CD1">
        <w:rPr>
          <w:color w:val="auto"/>
        </w:rPr>
        <w:fldChar w:fldCharType="begin"/>
      </w:r>
      <w:r w:rsidRPr="00FA4CD1">
        <w:rPr>
          <w:color w:val="auto"/>
        </w:rPr>
        <w:instrText xml:space="preserve"> SEQ Figure \* ARABIC </w:instrText>
      </w:r>
      <w:r w:rsidRPr="00FA4CD1">
        <w:rPr>
          <w:color w:val="auto"/>
        </w:rPr>
        <w:fldChar w:fldCharType="separate"/>
      </w:r>
      <w:r>
        <w:rPr>
          <w:noProof/>
          <w:color w:val="auto"/>
        </w:rPr>
        <w:t>10</w:t>
      </w:r>
      <w:r w:rsidRPr="00FA4CD1">
        <w:rPr>
          <w:noProof/>
          <w:color w:val="auto"/>
        </w:rPr>
        <w:fldChar w:fldCharType="end"/>
      </w:r>
      <w:bookmarkEnd w:id="6"/>
      <w:r w:rsidRPr="00FA4CD1">
        <w:rPr>
          <w:color w:val="auto"/>
        </w:rPr>
        <w:t xml:space="preserve"> Monthly variation of daylength for selected regions.</w:t>
      </w:r>
    </w:p>
    <w:p w14:paraId="54E044C5" w14:textId="77777777" w:rsidR="004D3C30" w:rsidRPr="00FA4CD1" w:rsidRDefault="004D3C30" w:rsidP="004D3C30">
      <w:r w:rsidRPr="00FA4CD1">
        <w:t>For obtaining hourly variation of irradiance, the daylight hours were distributed throughout the day using a sinus function centered at an average solar noon of 12:30 hours. Bellow, the monthly curves obtained for Canada and India as an example.</w:t>
      </w:r>
    </w:p>
    <w:p w14:paraId="3ABB2A69" w14:textId="77777777" w:rsidR="004D3C30" w:rsidRPr="00FA4CD1" w:rsidRDefault="004D3C30" w:rsidP="004D3C30">
      <w:pPr>
        <w:keepNext/>
      </w:pPr>
      <w:r w:rsidRPr="00FA4CD1">
        <w:rPr>
          <w:noProof/>
        </w:rPr>
        <w:drawing>
          <wp:inline distT="0" distB="0" distL="0" distR="0" wp14:anchorId="011E33FB" wp14:editId="7EBCDF4C">
            <wp:extent cx="4769893" cy="1460730"/>
            <wp:effectExtent l="0" t="0" r="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36172" cy="1481027"/>
                    </a:xfrm>
                    <a:prstGeom prst="rect">
                      <a:avLst/>
                    </a:prstGeom>
                    <a:noFill/>
                  </pic:spPr>
                </pic:pic>
              </a:graphicData>
            </a:graphic>
          </wp:inline>
        </w:drawing>
      </w:r>
    </w:p>
    <w:p w14:paraId="3956C6C0" w14:textId="77777777" w:rsidR="004D3C30" w:rsidRPr="00FA4CD1" w:rsidRDefault="004D3C30" w:rsidP="004D3C30">
      <w:pPr>
        <w:pStyle w:val="Caption"/>
        <w:rPr>
          <w:color w:val="auto"/>
        </w:rPr>
      </w:pPr>
      <w:r w:rsidRPr="00FA4CD1">
        <w:rPr>
          <w:color w:val="auto"/>
        </w:rPr>
        <w:t xml:space="preserve">Figure </w:t>
      </w:r>
      <w:r w:rsidRPr="00FA4CD1">
        <w:rPr>
          <w:color w:val="auto"/>
        </w:rPr>
        <w:fldChar w:fldCharType="begin"/>
      </w:r>
      <w:r w:rsidRPr="00FA4CD1">
        <w:rPr>
          <w:color w:val="auto"/>
        </w:rPr>
        <w:instrText xml:space="preserve"> SEQ Figure \* ARABIC </w:instrText>
      </w:r>
      <w:r w:rsidRPr="00FA4CD1">
        <w:rPr>
          <w:color w:val="auto"/>
        </w:rPr>
        <w:fldChar w:fldCharType="separate"/>
      </w:r>
      <w:r>
        <w:rPr>
          <w:noProof/>
          <w:color w:val="auto"/>
        </w:rPr>
        <w:t>11</w:t>
      </w:r>
      <w:r w:rsidRPr="00FA4CD1">
        <w:rPr>
          <w:noProof/>
          <w:color w:val="auto"/>
        </w:rPr>
        <w:fldChar w:fldCharType="end"/>
      </w:r>
      <w:r w:rsidRPr="00FA4CD1">
        <w:rPr>
          <w:color w:val="auto"/>
        </w:rPr>
        <w:t xml:space="preserve"> Monthly patterns of hourly irradiance variation for Canada (left) and India (right).</w:t>
      </w:r>
    </w:p>
    <w:p w14:paraId="51138DF7" w14:textId="77777777" w:rsidR="004D3C30" w:rsidRPr="00FA4CD1" w:rsidRDefault="004D3C30" w:rsidP="004D3C30">
      <w:r w:rsidRPr="00FA4CD1">
        <w:t xml:space="preserve">Cooling degree hours (CDH) and heating degree hours (HDH) were implemented for obtaining the daily demand patterns for cooling and heating respectively. They were calculated from daily gridded temperature data for 26 world regions as explained in the methodology. CDHs monthly curves obtained for USA and India are shown in </w:t>
      </w:r>
      <w:r w:rsidRPr="00FA4CD1">
        <w:fldChar w:fldCharType="begin"/>
      </w:r>
      <w:r w:rsidRPr="00FA4CD1">
        <w:instrText xml:space="preserve"> REF _Ref62665558 \h </w:instrText>
      </w:r>
      <w:r w:rsidRPr="00FA4CD1">
        <w:fldChar w:fldCharType="separate"/>
      </w:r>
      <w:r w:rsidRPr="00FA4CD1">
        <w:t xml:space="preserve">Figure </w:t>
      </w:r>
      <w:r>
        <w:rPr>
          <w:noProof/>
        </w:rPr>
        <w:t>12</w:t>
      </w:r>
      <w:r w:rsidRPr="00FA4CD1">
        <w:fldChar w:fldCharType="end"/>
      </w:r>
      <w:r w:rsidRPr="00FA4CD1">
        <w:t xml:space="preserve"> and </w:t>
      </w:r>
      <w:r w:rsidRPr="00FA4CD1">
        <w:fldChar w:fldCharType="begin"/>
      </w:r>
      <w:r w:rsidRPr="00FA4CD1">
        <w:instrText xml:space="preserve"> REF _Ref62736519 \h </w:instrText>
      </w:r>
      <w:r w:rsidRPr="00FA4CD1">
        <w:fldChar w:fldCharType="separate"/>
      </w:r>
      <w:r w:rsidRPr="00FA4CD1">
        <w:t xml:space="preserve">Figure </w:t>
      </w:r>
      <w:r>
        <w:rPr>
          <w:noProof/>
        </w:rPr>
        <w:t>13</w:t>
      </w:r>
      <w:r w:rsidRPr="00FA4CD1">
        <w:fldChar w:fldCharType="end"/>
      </w:r>
      <w:r w:rsidRPr="00FA4CD1">
        <w:t xml:space="preserve"> shows the HDHs monthly curves obtained for the Western Europe and Brazil. As Brazil is in the southern hemisphere and closed to the equator, the HDH values are very low and with larger values for the months of Jun, July and August.</w:t>
      </w:r>
    </w:p>
    <w:p w14:paraId="763A0AE1" w14:textId="77777777" w:rsidR="004D3C30" w:rsidRPr="00FA4CD1" w:rsidRDefault="004D3C30" w:rsidP="004D3C30">
      <w:pPr>
        <w:keepNext/>
      </w:pPr>
      <w:r w:rsidRPr="00FA4CD1">
        <w:rPr>
          <w:noProof/>
        </w:rPr>
        <w:lastRenderedPageBreak/>
        <w:drawing>
          <wp:inline distT="0" distB="0" distL="0" distR="0" wp14:anchorId="2ECF72E1" wp14:editId="6776E1F3">
            <wp:extent cx="5911850" cy="1814577"/>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468" cy="1821519"/>
                    </a:xfrm>
                    <a:prstGeom prst="rect">
                      <a:avLst/>
                    </a:prstGeom>
                    <a:noFill/>
                  </pic:spPr>
                </pic:pic>
              </a:graphicData>
            </a:graphic>
          </wp:inline>
        </w:drawing>
      </w:r>
    </w:p>
    <w:p w14:paraId="2BC044E3" w14:textId="77777777" w:rsidR="004D3C30" w:rsidRPr="00FA4CD1" w:rsidRDefault="004D3C30" w:rsidP="004D3C30">
      <w:pPr>
        <w:pStyle w:val="Caption"/>
        <w:rPr>
          <w:color w:val="auto"/>
        </w:rPr>
      </w:pPr>
      <w:bookmarkStart w:id="7" w:name="_Ref62665558"/>
      <w:r w:rsidRPr="00FA4CD1">
        <w:rPr>
          <w:color w:val="auto"/>
        </w:rPr>
        <w:t xml:space="preserve">Figure </w:t>
      </w:r>
      <w:r w:rsidRPr="00FA4CD1">
        <w:rPr>
          <w:color w:val="auto"/>
        </w:rPr>
        <w:fldChar w:fldCharType="begin"/>
      </w:r>
      <w:r w:rsidRPr="00FA4CD1">
        <w:rPr>
          <w:color w:val="auto"/>
        </w:rPr>
        <w:instrText xml:space="preserve"> SEQ Figure \* ARABIC </w:instrText>
      </w:r>
      <w:r w:rsidRPr="00FA4CD1">
        <w:rPr>
          <w:color w:val="auto"/>
        </w:rPr>
        <w:fldChar w:fldCharType="separate"/>
      </w:r>
      <w:r>
        <w:rPr>
          <w:noProof/>
          <w:color w:val="auto"/>
        </w:rPr>
        <w:t>12</w:t>
      </w:r>
      <w:r w:rsidRPr="00FA4CD1">
        <w:rPr>
          <w:noProof/>
          <w:color w:val="auto"/>
        </w:rPr>
        <w:fldChar w:fldCharType="end"/>
      </w:r>
      <w:bookmarkEnd w:id="7"/>
      <w:r w:rsidRPr="00FA4CD1">
        <w:rPr>
          <w:color w:val="auto"/>
        </w:rPr>
        <w:t xml:space="preserve"> Cooling degree hour for selected months for USA and India</w:t>
      </w:r>
    </w:p>
    <w:p w14:paraId="0A1F88B7" w14:textId="77777777" w:rsidR="004D3C30" w:rsidRPr="00FA4CD1" w:rsidRDefault="004D3C30" w:rsidP="004D3C30">
      <w:pPr>
        <w:keepNext/>
      </w:pPr>
      <w:r w:rsidRPr="00FA4CD1">
        <w:rPr>
          <w:noProof/>
        </w:rPr>
        <w:drawing>
          <wp:inline distT="0" distB="0" distL="0" distR="0" wp14:anchorId="56C71AAA" wp14:editId="2F56E179">
            <wp:extent cx="5834056" cy="17907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71429" cy="1802171"/>
                    </a:xfrm>
                    <a:prstGeom prst="rect">
                      <a:avLst/>
                    </a:prstGeom>
                    <a:noFill/>
                  </pic:spPr>
                </pic:pic>
              </a:graphicData>
            </a:graphic>
          </wp:inline>
        </w:drawing>
      </w:r>
    </w:p>
    <w:p w14:paraId="76CC9C8F" w14:textId="77777777" w:rsidR="004D3C30" w:rsidRPr="00FA4CD1" w:rsidRDefault="004D3C30" w:rsidP="004D3C30">
      <w:pPr>
        <w:pStyle w:val="Caption"/>
        <w:rPr>
          <w:color w:val="auto"/>
        </w:rPr>
      </w:pPr>
      <w:bookmarkStart w:id="8" w:name="_Ref62736519"/>
      <w:r w:rsidRPr="00FA4CD1">
        <w:rPr>
          <w:color w:val="auto"/>
        </w:rPr>
        <w:t xml:space="preserve">Figure </w:t>
      </w:r>
      <w:r w:rsidRPr="00FA4CD1">
        <w:rPr>
          <w:color w:val="auto"/>
        </w:rPr>
        <w:fldChar w:fldCharType="begin"/>
      </w:r>
      <w:r w:rsidRPr="00FA4CD1">
        <w:rPr>
          <w:color w:val="auto"/>
        </w:rPr>
        <w:instrText xml:space="preserve"> SEQ Figure \* ARABIC </w:instrText>
      </w:r>
      <w:r w:rsidRPr="00FA4CD1">
        <w:rPr>
          <w:color w:val="auto"/>
        </w:rPr>
        <w:fldChar w:fldCharType="separate"/>
      </w:r>
      <w:r>
        <w:rPr>
          <w:noProof/>
          <w:color w:val="auto"/>
        </w:rPr>
        <w:t>13</w:t>
      </w:r>
      <w:r w:rsidRPr="00FA4CD1">
        <w:rPr>
          <w:noProof/>
          <w:color w:val="auto"/>
        </w:rPr>
        <w:fldChar w:fldCharType="end"/>
      </w:r>
      <w:bookmarkEnd w:id="8"/>
      <w:r w:rsidRPr="00FA4CD1">
        <w:rPr>
          <w:color w:val="auto"/>
        </w:rPr>
        <w:t xml:space="preserve"> Heating degree hours per month for Western Europe and Brazil</w:t>
      </w:r>
    </w:p>
    <w:p w14:paraId="229F101D" w14:textId="77777777" w:rsidR="004D3C30" w:rsidRPr="00FA4CD1" w:rsidRDefault="004D3C30" w:rsidP="004D3C30">
      <w:pPr>
        <w:pStyle w:val="Heading2"/>
      </w:pPr>
      <w:bookmarkStart w:id="9" w:name="_Toc65223873"/>
      <w:bookmarkStart w:id="10" w:name="_Toc105598861"/>
      <w:r w:rsidRPr="00FA4CD1">
        <w:t>6.2 End-use styli</w:t>
      </w:r>
      <w:r>
        <w:t>z</w:t>
      </w:r>
      <w:r w:rsidRPr="00FA4CD1">
        <w:t>ed functions and calibration of the model</w:t>
      </w:r>
      <w:bookmarkEnd w:id="5"/>
      <w:bookmarkEnd w:id="9"/>
      <w:bookmarkEnd w:id="10"/>
      <w:r w:rsidRPr="00FA4CD1">
        <w:t xml:space="preserve"> </w:t>
      </w:r>
    </w:p>
    <w:p w14:paraId="4B39ED3E" w14:textId="77777777" w:rsidR="004D3C30" w:rsidRPr="00FA4CD1" w:rsidRDefault="004D3C30" w:rsidP="004D3C30">
      <w:pPr>
        <w:pStyle w:val="NoSpacing"/>
      </w:pPr>
      <w:r w:rsidRPr="00FA4CD1">
        <w:t>In this section the end-use styli</w:t>
      </w:r>
      <w:r>
        <w:t>z</w:t>
      </w:r>
      <w:r w:rsidRPr="00FA4CD1">
        <w:t>ed functions and the hourly patterns obtained are described and compared against the empirical end-use data. Furthermore, monthly variation of the modelled patterns obtained are illustrated in this section for the year 2019. The styli</w:t>
      </w:r>
      <w:r>
        <w:t>z</w:t>
      </w:r>
      <w:r w:rsidRPr="00FA4CD1">
        <w:t>ed functions are formulated for the end-uses demand patterns with climate dependence from the residential and service sector. The resulting day patterns from each of the styli</w:t>
      </w:r>
      <w:r>
        <w:t>z</w:t>
      </w:r>
      <w:r w:rsidRPr="00FA4CD1">
        <w:t>ed functions, varying per month and type of day, are normali</w:t>
      </w:r>
      <w:r>
        <w:t>z</w:t>
      </w:r>
      <w:r w:rsidRPr="00FA4CD1">
        <w:t xml:space="preserve">ed to the daily sum of electricity demand. Thereafter, an electricity demand ratio between weekday and weekend obtained from the empirical data is applied. Finally, a pattern describing the monthly variation is implemented which is obtained from the climate parameter used for each end-use. </w:t>
      </w:r>
    </w:p>
    <w:p w14:paraId="084F5305" w14:textId="77777777" w:rsidR="004D3C30" w:rsidRPr="00FA4CD1" w:rsidRDefault="004D3C30" w:rsidP="004D3C30">
      <w:pPr>
        <w:pStyle w:val="NoSpacing"/>
      </w:pPr>
    </w:p>
    <w:p w14:paraId="6630A514" w14:textId="77777777" w:rsidR="004D3C30" w:rsidRPr="00FA4CD1" w:rsidRDefault="004D3C30" w:rsidP="004D3C30">
      <w:pPr>
        <w:pStyle w:val="Heading4"/>
      </w:pPr>
      <w:r w:rsidRPr="00FA4CD1">
        <w:t>6.2.1 Residential sector</w:t>
      </w:r>
    </w:p>
    <w:p w14:paraId="7339EE4B" w14:textId="77777777" w:rsidR="004D3C30" w:rsidRPr="00FA4CD1" w:rsidRDefault="004D3C30" w:rsidP="004D3C30">
      <w:pPr>
        <w:pStyle w:val="Heading5"/>
        <w:rPr>
          <w:color w:val="auto"/>
        </w:rPr>
      </w:pPr>
      <w:r w:rsidRPr="00FA4CD1">
        <w:rPr>
          <w:color w:val="auto"/>
        </w:rPr>
        <w:t>Lighting</w:t>
      </w:r>
    </w:p>
    <w:p w14:paraId="1077A105" w14:textId="77777777" w:rsidR="004D3C30" w:rsidRPr="00FA4CD1" w:rsidRDefault="004D3C30" w:rsidP="004D3C30">
      <w:pPr>
        <w:pStyle w:val="NoSpacing"/>
      </w:pPr>
      <w:r w:rsidRPr="00FA4CD1">
        <w:t>Electricity demand for residential lighting depends on active occupancy profile and normali</w:t>
      </w:r>
      <w:r>
        <w:t>z</w:t>
      </w:r>
      <w:r w:rsidRPr="00FA4CD1">
        <w:t>ed irradiance. The styli</w:t>
      </w:r>
      <w:r>
        <w:t>z</w:t>
      </w:r>
      <w:r w:rsidRPr="00FA4CD1">
        <w:t>ed function formulated for obtaining hourly demand patterns for lighting varying per type of day is in Equation 3. The constants were optimi</w:t>
      </w:r>
      <w:r>
        <w:t>z</w:t>
      </w:r>
      <w:r w:rsidRPr="00FA4CD1">
        <w:t>ed to minimi</w:t>
      </w:r>
      <w:r>
        <w:t>z</w:t>
      </w:r>
      <w:r w:rsidRPr="00FA4CD1">
        <w:t xml:space="preserve">e the variance between the model outcome and the empirical data.  </w:t>
      </w:r>
    </w:p>
    <w:p w14:paraId="5868F456" w14:textId="77777777" w:rsidR="004D3C30" w:rsidRPr="00FA4CD1" w:rsidRDefault="004D3C30" w:rsidP="004D3C30">
      <w:pPr>
        <w:pStyle w:val="NoSpacing"/>
      </w:pPr>
    </w:p>
    <w:p w14:paraId="4D7277EF" w14:textId="77777777" w:rsidR="004D3C30" w:rsidRPr="00FA4CD1" w:rsidRDefault="004D3C30" w:rsidP="004D3C30">
      <w:pPr>
        <w:pStyle w:val="NoSpacing"/>
      </w:pPr>
      <m:oMath>
        <m:sSub>
          <m:sSubPr>
            <m:ctrlPr>
              <w:rPr>
                <w:rFonts w:ascii="Cambria Math" w:hAnsi="Cambria Math"/>
              </w:rPr>
            </m:ctrlPr>
          </m:sSubPr>
          <m:e>
            <m:r>
              <w:rPr>
                <w:rFonts w:ascii="Cambria Math" w:hAnsi="Cambria Math"/>
              </w:rPr>
              <m:t>Lighting</m:t>
            </m:r>
          </m:e>
          <m:sub>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h</m:t>
                </m:r>
              </m:e>
            </m:d>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AO</m:t>
                </m:r>
              </m:e>
              <m:sub>
                <m:d>
                  <m:dPr>
                    <m:ctrlPr>
                      <w:rPr>
                        <w:rFonts w:ascii="Cambria Math" w:hAnsi="Cambria Math"/>
                      </w:rPr>
                    </m:ctrlPr>
                  </m:dPr>
                  <m:e>
                    <m:r>
                      <w:rPr>
                        <w:rFonts w:ascii="Cambria Math" w:hAnsi="Cambria Math"/>
                      </w:rPr>
                      <m:t>h</m:t>
                    </m:r>
                  </m:e>
                </m:d>
              </m:sub>
            </m:sSub>
            <m:r>
              <m:rPr>
                <m:sty m:val="p"/>
              </m:rPr>
              <w:rPr>
                <w:rFonts w:ascii="Cambria Math" w:hAnsi="Cambria Math"/>
              </w:rPr>
              <m:t>+0.15</m:t>
            </m:r>
          </m:num>
          <m:den>
            <m:r>
              <m:rPr>
                <m:sty m:val="p"/>
              </m:rPr>
              <w:rPr>
                <w:rFonts w:ascii="Cambria Math" w:hAnsi="Cambria Math"/>
              </w:rPr>
              <m:t>min⁡(1; max⁡(0.3;</m:t>
            </m:r>
            <m:f>
              <m:fPr>
                <m:ctrlPr>
                  <w:rPr>
                    <w:rFonts w:ascii="Cambria Math" w:hAnsi="Cambria Math"/>
                  </w:rPr>
                </m:ctrlPr>
              </m:fPr>
              <m:num>
                <m:sSub>
                  <m:sSubPr>
                    <m:ctrlPr>
                      <w:rPr>
                        <w:rFonts w:ascii="Cambria Math" w:hAnsi="Cambria Math"/>
                      </w:rPr>
                    </m:ctrlPr>
                  </m:sSubPr>
                  <m:e>
                    <m:r>
                      <w:rPr>
                        <w:rFonts w:ascii="Cambria Math" w:hAnsi="Cambria Math"/>
                      </w:rPr>
                      <m:t>I</m:t>
                    </m:r>
                  </m:e>
                  <m: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h</m:t>
                    </m:r>
                    <m:r>
                      <m:rPr>
                        <m:sty m:val="p"/>
                      </m:rPr>
                      <w:rPr>
                        <w:rFonts w:ascii="Cambria Math" w:hAnsi="Cambria Math"/>
                      </w:rPr>
                      <m:t>)</m:t>
                    </m:r>
                  </m:sub>
                </m:sSub>
              </m:num>
              <m:den>
                <m:r>
                  <m:rPr>
                    <m:sty m:val="p"/>
                  </m:rPr>
                  <w:rPr>
                    <w:rFonts w:ascii="Cambria Math" w:hAnsi="Cambria Math"/>
                  </w:rPr>
                  <m:t>0.4</m:t>
                </m:r>
              </m:den>
            </m:f>
            <m:r>
              <m:rPr>
                <m:sty m:val="p"/>
              </m:rPr>
              <w:rPr>
                <w:rFonts w:ascii="Cambria Math" w:hAnsi="Cambria Math"/>
              </w:rPr>
              <m:t>)</m:t>
            </m:r>
          </m:den>
        </m:f>
      </m:oMath>
      <w:r w:rsidRPr="00FA4CD1">
        <w:rPr>
          <w:rFonts w:eastAsiaTheme="minorEastAsia"/>
        </w:rPr>
        <w:tab/>
      </w:r>
      <w:r w:rsidRPr="00FA4CD1">
        <w:rPr>
          <w:rFonts w:eastAsiaTheme="minorEastAsia"/>
        </w:rPr>
        <w:tab/>
      </w:r>
      <w:r w:rsidRPr="00FA4CD1">
        <w:rPr>
          <w:rFonts w:eastAsiaTheme="minorEastAsia"/>
        </w:rPr>
        <w:tab/>
      </w:r>
      <w:r w:rsidRPr="00FA4CD1">
        <w:rPr>
          <w:rFonts w:eastAsiaTheme="minorEastAsia"/>
        </w:rPr>
        <w:tab/>
      </w:r>
      <w:r w:rsidRPr="00FA4CD1">
        <w:rPr>
          <w:rFonts w:eastAsiaTheme="minorEastAsia"/>
        </w:rPr>
        <w:tab/>
      </w:r>
      <w:r w:rsidRPr="00FA4CD1">
        <w:rPr>
          <w:rFonts w:eastAsiaTheme="minorEastAsia"/>
        </w:rPr>
        <w:tab/>
        <w:t>(3)</w:t>
      </w:r>
    </w:p>
    <w:p w14:paraId="3B6FECDB" w14:textId="77777777" w:rsidR="004D3C30" w:rsidRPr="00FA4CD1" w:rsidRDefault="004D3C30" w:rsidP="004D3C30">
      <w:pPr>
        <w:pStyle w:val="NoSpacing"/>
      </w:pPr>
    </w:p>
    <w:p w14:paraId="4FDE7004" w14:textId="77777777" w:rsidR="004D3C30" w:rsidRPr="00FA4CD1" w:rsidRDefault="004D3C30" w:rsidP="004D3C30">
      <w:pPr>
        <w:pStyle w:val="NoSpacing"/>
      </w:pPr>
      <w:r w:rsidRPr="00FA4CD1">
        <w:lastRenderedPageBreak/>
        <w:t>Where lighting is the lighting demand pattern per hour h for every month m and region r for weekday and weekend, AO is the active occupancy varying for weekday or weekend per hour h, I is the hourly normali</w:t>
      </w:r>
      <w:r>
        <w:t>z</w:t>
      </w:r>
      <w:r w:rsidRPr="00FA4CD1">
        <w:t xml:space="preserve">ed pattern of irradiance varying per region and month. </w:t>
      </w:r>
    </w:p>
    <w:p w14:paraId="237C16DB" w14:textId="77777777" w:rsidR="004D3C30" w:rsidRPr="00FA4CD1" w:rsidRDefault="004D3C30" w:rsidP="004D3C30">
      <w:pPr>
        <w:pStyle w:val="NoSpacing"/>
      </w:pPr>
    </w:p>
    <w:p w14:paraId="6A859B62" w14:textId="77777777" w:rsidR="004D3C30" w:rsidRPr="00FA4CD1" w:rsidRDefault="004D3C30" w:rsidP="004D3C30">
      <w:r w:rsidRPr="00FA4CD1">
        <w:t xml:space="preserve">Monthly variation of the lighting demand patterns is illustrated in </w:t>
      </w:r>
      <w:r w:rsidRPr="00FA4CD1">
        <w:fldChar w:fldCharType="begin"/>
      </w:r>
      <w:r w:rsidRPr="00FA4CD1">
        <w:instrText xml:space="preserve"> REF _Ref47970983 \h </w:instrText>
      </w:r>
      <w:r w:rsidRPr="00FA4CD1">
        <w:fldChar w:fldCharType="separate"/>
      </w:r>
      <w:r w:rsidRPr="00FA4CD1">
        <w:t xml:space="preserve">Figure </w:t>
      </w:r>
      <w:r>
        <w:rPr>
          <w:noProof/>
        </w:rPr>
        <w:t>14</w:t>
      </w:r>
      <w:r w:rsidRPr="00FA4CD1">
        <w:fldChar w:fldCharType="end"/>
      </w:r>
      <w:r w:rsidRPr="00FA4CD1">
        <w:t xml:space="preserve"> for Western Europe. For this region there is a large variation of the hourly lighting demand pattern throughout the year. During the winter season there is larger demand for this end-use with longer morning and evening peaks. The average annual pattern per day type and for the same region is illustrated in </w:t>
      </w:r>
      <w:r w:rsidRPr="00FA4CD1">
        <w:fldChar w:fldCharType="begin"/>
      </w:r>
      <w:r w:rsidRPr="00FA4CD1">
        <w:instrText xml:space="preserve"> REF _Ref47971056 \h </w:instrText>
      </w:r>
      <w:r w:rsidRPr="00FA4CD1">
        <w:fldChar w:fldCharType="separate"/>
      </w:r>
      <w:r w:rsidRPr="00FA4CD1">
        <w:t xml:space="preserve">Figure </w:t>
      </w:r>
      <w:r>
        <w:rPr>
          <w:noProof/>
        </w:rPr>
        <w:t>15</w:t>
      </w:r>
      <w:r w:rsidRPr="00FA4CD1">
        <w:fldChar w:fldCharType="end"/>
      </w:r>
      <w:r w:rsidRPr="00FA4CD1">
        <w:t xml:space="preserve">. Further, the modelled pattern (orange line) is compared to the annual average pattern from empirical data (blue line). Differences between the measured and modelled curves are related to the occupancy profile used. The occupancy profile data used, HETUS data </w:t>
      </w:r>
      <w:r w:rsidRPr="00FA4CD1">
        <w:fldChar w:fldCharType="begin" w:fldLock="1"/>
      </w:r>
      <w:r>
        <w:instrText>ADDIN CSL_CITATION { "citationItems" : [ { "id" : "ITEM-1", "itemData" : { "author" : [ { "dropping-particle" : "", "family" : "Statistics Sweden", "given" : "", "non-dropping-particle" : "", "parse-names" : false, "suffix" : "" } ], "id" : "ITEM-1", "issued" : { "date-parts" : [ [ "0" ] ] }, "title" : "Harmonised European Time Use Survey (HETUS)", "type" : "article-journal" }, "uris" : [ "http://www.mendeley.com/documents/?uuid=038daea3-d21b-4df3-8297-d9b8b541e753", "http://www.mendeley.com/documents/?uuid=37ad82f0-f205-4e85-ac5b-36d676257c3f" ] } ], "mendeley" : { "formattedCitation" : "[44]", "plainTextFormattedCitation" : "[44]", "previouslyFormattedCitation" : "[43]" }, "properties" : { "noteIndex" : 0 }, "schema" : "https://github.com/citation-style-language/schema/raw/master/csl-citation.json" }</w:instrText>
      </w:r>
      <w:r w:rsidRPr="00FA4CD1">
        <w:fldChar w:fldCharType="separate"/>
      </w:r>
      <w:r w:rsidRPr="005C5708">
        <w:rPr>
          <w:noProof/>
        </w:rPr>
        <w:t>[44]</w:t>
      </w:r>
      <w:r w:rsidRPr="00FA4CD1">
        <w:fldChar w:fldCharType="end"/>
      </w:r>
      <w:r w:rsidRPr="00FA4CD1">
        <w:t>, for building the styli</w:t>
      </w:r>
      <w:r>
        <w:t>z</w:t>
      </w:r>
      <w:r w:rsidRPr="00FA4CD1">
        <w:t>ed functions have a larger sampling size and were gathered at a different time than the empirical electricity demand data (REMODECE campaign).</w:t>
      </w:r>
    </w:p>
    <w:p w14:paraId="22A6F7EA" w14:textId="77777777" w:rsidR="004D3C30" w:rsidRPr="00FA4CD1" w:rsidRDefault="004D3C30" w:rsidP="004D3C30"/>
    <w:p w14:paraId="7A818267" w14:textId="77777777" w:rsidR="004D3C30" w:rsidRPr="00FA4CD1" w:rsidRDefault="004D3C30" w:rsidP="004D3C30">
      <w:pPr>
        <w:keepNext/>
      </w:pPr>
      <w:r w:rsidRPr="00FA4CD1">
        <w:rPr>
          <w:noProof/>
        </w:rPr>
        <w:drawing>
          <wp:inline distT="0" distB="0" distL="0" distR="0" wp14:anchorId="3314A025" wp14:editId="39508655">
            <wp:extent cx="5641825" cy="165868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65577" cy="1665667"/>
                    </a:xfrm>
                    <a:prstGeom prst="rect">
                      <a:avLst/>
                    </a:prstGeom>
                    <a:noFill/>
                  </pic:spPr>
                </pic:pic>
              </a:graphicData>
            </a:graphic>
          </wp:inline>
        </w:drawing>
      </w:r>
    </w:p>
    <w:p w14:paraId="5574A4AD" w14:textId="77777777" w:rsidR="004D3C30" w:rsidRPr="00FA4CD1" w:rsidRDefault="004D3C30" w:rsidP="004D3C30">
      <w:pPr>
        <w:pStyle w:val="Caption"/>
        <w:rPr>
          <w:color w:val="auto"/>
        </w:rPr>
      </w:pPr>
      <w:bookmarkStart w:id="11" w:name="_Ref47970983"/>
      <w:r w:rsidRPr="00FA4CD1">
        <w:rPr>
          <w:color w:val="auto"/>
        </w:rPr>
        <w:t xml:space="preserve">Figure </w:t>
      </w:r>
      <w:r w:rsidRPr="00FA4CD1">
        <w:rPr>
          <w:noProof/>
          <w:color w:val="auto"/>
        </w:rPr>
        <w:fldChar w:fldCharType="begin"/>
      </w:r>
      <w:r w:rsidRPr="00FA4CD1">
        <w:rPr>
          <w:noProof/>
          <w:color w:val="auto"/>
        </w:rPr>
        <w:instrText xml:space="preserve"> SEQ Figure \* ARABIC </w:instrText>
      </w:r>
      <w:r w:rsidRPr="00FA4CD1">
        <w:rPr>
          <w:noProof/>
          <w:color w:val="auto"/>
        </w:rPr>
        <w:fldChar w:fldCharType="separate"/>
      </w:r>
      <w:r>
        <w:rPr>
          <w:noProof/>
          <w:color w:val="auto"/>
        </w:rPr>
        <w:t>14</w:t>
      </w:r>
      <w:r w:rsidRPr="00FA4CD1">
        <w:rPr>
          <w:noProof/>
          <w:color w:val="auto"/>
        </w:rPr>
        <w:fldChar w:fldCharType="end"/>
      </w:r>
      <w:bookmarkEnd w:id="11"/>
      <w:r w:rsidRPr="00FA4CD1">
        <w:rPr>
          <w:color w:val="auto"/>
        </w:rPr>
        <w:t xml:space="preserve"> Monthly modelled variation of lighting day-pattern for Western Europe region.</w:t>
      </w:r>
    </w:p>
    <w:p w14:paraId="76DE530A" w14:textId="77777777" w:rsidR="004D3C30" w:rsidRPr="00FA4CD1" w:rsidRDefault="004D3C30" w:rsidP="004D3C30">
      <w:pPr>
        <w:keepNext/>
      </w:pPr>
      <w:r w:rsidRPr="00FA4CD1">
        <w:rPr>
          <w:noProof/>
        </w:rPr>
        <w:drawing>
          <wp:inline distT="0" distB="0" distL="0" distR="0" wp14:anchorId="613E2B04" wp14:editId="290524E0">
            <wp:extent cx="5640077" cy="1746913"/>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66888" cy="1755217"/>
                    </a:xfrm>
                    <a:prstGeom prst="rect">
                      <a:avLst/>
                    </a:prstGeom>
                    <a:noFill/>
                  </pic:spPr>
                </pic:pic>
              </a:graphicData>
            </a:graphic>
          </wp:inline>
        </w:drawing>
      </w:r>
    </w:p>
    <w:p w14:paraId="4A24B0CD" w14:textId="77777777" w:rsidR="004D3C30" w:rsidRPr="00FA4CD1" w:rsidRDefault="004D3C30" w:rsidP="004D3C30">
      <w:pPr>
        <w:pStyle w:val="Caption"/>
        <w:rPr>
          <w:color w:val="auto"/>
        </w:rPr>
      </w:pPr>
      <w:r w:rsidRPr="00FA4CD1">
        <w:rPr>
          <w:color w:val="auto"/>
        </w:rPr>
        <w:t xml:space="preserve"> </w:t>
      </w:r>
      <w:bookmarkStart w:id="12" w:name="_Ref47971056"/>
      <w:r w:rsidRPr="00FA4CD1">
        <w:rPr>
          <w:color w:val="auto"/>
        </w:rPr>
        <w:t xml:space="preserve">Figure </w:t>
      </w:r>
      <w:r w:rsidRPr="00FA4CD1">
        <w:rPr>
          <w:noProof/>
          <w:color w:val="auto"/>
        </w:rPr>
        <w:fldChar w:fldCharType="begin"/>
      </w:r>
      <w:r w:rsidRPr="00FA4CD1">
        <w:rPr>
          <w:noProof/>
          <w:color w:val="auto"/>
        </w:rPr>
        <w:instrText xml:space="preserve"> SEQ Figure \* ARABIC </w:instrText>
      </w:r>
      <w:r w:rsidRPr="00FA4CD1">
        <w:rPr>
          <w:noProof/>
          <w:color w:val="auto"/>
        </w:rPr>
        <w:fldChar w:fldCharType="separate"/>
      </w:r>
      <w:r>
        <w:rPr>
          <w:noProof/>
          <w:color w:val="auto"/>
        </w:rPr>
        <w:t>15</w:t>
      </w:r>
      <w:r w:rsidRPr="00FA4CD1">
        <w:rPr>
          <w:noProof/>
          <w:color w:val="auto"/>
        </w:rPr>
        <w:fldChar w:fldCharType="end"/>
      </w:r>
      <w:bookmarkEnd w:id="12"/>
      <w:r w:rsidRPr="00FA4CD1">
        <w:rPr>
          <w:color w:val="auto"/>
        </w:rPr>
        <w:t xml:space="preserve"> Comparison of modelled lighting demand pattern with REMODECE measured data for Europe </w:t>
      </w:r>
      <w:r w:rsidRPr="00FA4CD1">
        <w:rPr>
          <w:color w:val="auto"/>
        </w:rPr>
        <w:fldChar w:fldCharType="begin" w:fldLock="1"/>
      </w:r>
      <w:r>
        <w:rPr>
          <w:color w:val="auto"/>
        </w:rPr>
        <w:instrText>ADDIN CSL_CITATION { "citationItems" : [ { "id" : "ITEM-1", "itemData" : { "abstract" : "This paper presents the preliminary results of the residential monitoring campaign, which is being carried out in the scope of the EIE project REMODECE, whose overall objective is to contribute to an increased understanding of the electricity consumption in the EU-25+2 households for the different types of equipment, including the consumers' behaviour and comfort levels, and to identify demand trends. The paper presents results on electronic loads, whose relevance is increasing significantly. Particular attention is given to standby consumption, which is generated by a large variety of appliances. From the measurements carried out it can be concluded that there is wide range of performance levels.", "author" : [ { "dropping-particle" : "De", "family" : "Almeida", "given" : "An\u00edbal", "non-dropping-particle" : "", "parse-names" : false, "suffix" : "" }, { "dropping-particle" : "", "family" : "Fonseca", "given" : "Paula", "non-dropping-particle" : "", "parse-names" : false, "suffix" : "" }, { "dropping-particle" : "", "family" : "Bandeirinha", "given" : "Rui", "non-dropping-particle" : "", "parse-names" : false, "suffix" : "" }, { "dropping-particle" : "", "family" : "Fernandes", "given" : "Tiago", "non-dropping-particle" : "", "parse-names" : false, "suffix" : "" }, { "dropping-particle" : "", "family" : "Ara\u00fajo", "given" : "Rui", "non-dropping-particle" : "", "parse-names" : false, "suffix" : "" }, { "dropping-particle" : "", "family" : "Nunes", "given" : "Urbano", "non-dropping-particle" : "", "parse-names" : false, "suffix" : "" } ], "id" : "ITEM-1", "issued" : { "date-parts" : [ [ "2008" ] ] }, "page" : "1-14", "title" : "Residential monitoring to decrease energy use and carbon emissions in Europe", "type" : "article-journal" }, "uris" : [ "http://www.mendeley.com/documents/?uuid=c1455a60-d65c-43aa-a8ad-ff2e14e1f640", "http://www.mendeley.com/documents/?uuid=4f08317a-4ef0-4ad1-8225-12ef7e1b0926" ] } ], "mendeley" : { "formattedCitation" : "[24]", "plainTextFormattedCitation" : "[24]", "previouslyFormattedCitation" : "[23]" }, "properties" : { "noteIndex" : 0 }, "schema" : "https://github.com/citation-style-language/schema/raw/master/csl-citation.json" }</w:instrText>
      </w:r>
      <w:r w:rsidRPr="00FA4CD1">
        <w:rPr>
          <w:color w:val="auto"/>
        </w:rPr>
        <w:fldChar w:fldCharType="separate"/>
      </w:r>
      <w:r w:rsidRPr="005C5708">
        <w:rPr>
          <w:i w:val="0"/>
          <w:noProof/>
          <w:color w:val="auto"/>
        </w:rPr>
        <w:t>[24]</w:t>
      </w:r>
      <w:r w:rsidRPr="00FA4CD1">
        <w:rPr>
          <w:color w:val="auto"/>
        </w:rPr>
        <w:fldChar w:fldCharType="end"/>
      </w:r>
      <w:r w:rsidRPr="00FA4CD1">
        <w:rPr>
          <w:color w:val="auto"/>
        </w:rPr>
        <w:t>.</w:t>
      </w:r>
    </w:p>
    <w:p w14:paraId="7C9F8036" w14:textId="77777777" w:rsidR="004D3C30" w:rsidRPr="00FA4CD1" w:rsidRDefault="004D3C30" w:rsidP="004D3C30"/>
    <w:p w14:paraId="0E068C5C" w14:textId="77777777" w:rsidR="004D3C30" w:rsidRPr="00FA4CD1" w:rsidRDefault="004D3C30" w:rsidP="004D3C30">
      <w:pPr>
        <w:pStyle w:val="Heading5"/>
        <w:rPr>
          <w:color w:val="auto"/>
        </w:rPr>
      </w:pPr>
      <w:r w:rsidRPr="00FA4CD1">
        <w:rPr>
          <w:color w:val="auto"/>
        </w:rPr>
        <w:t xml:space="preserve"> Space heating</w:t>
      </w:r>
    </w:p>
    <w:p w14:paraId="2C4358E6" w14:textId="77777777" w:rsidR="004D3C30" w:rsidRPr="00FA4CD1" w:rsidRDefault="004D3C30" w:rsidP="004D3C30">
      <w:pPr>
        <w:pStyle w:val="NoSpacing"/>
      </w:pPr>
      <w:r w:rsidRPr="00FA4CD1">
        <w:t xml:space="preserve">Empirical space heating curves found in the literature </w:t>
      </w:r>
      <w:r w:rsidRPr="00FA4CD1">
        <w:fldChar w:fldCharType="begin" w:fldLock="1"/>
      </w:r>
      <w:r>
        <w:instrText>ADDIN CSL_CITATION { "citationItems" : [ { "id" : "ITEM-1", "itemData" : { "DOI" : "IEE/13/650", "author" : [ { "dropping-particle" : "", "family" : "Connolly", "given" : "David", "non-dropping-particle" : "", "parse-names" : false, "suffix" : "" }, { "dropping-particle" : "", "family" : "Drysdale", "given" : "David", "non-dropping-particle" : "", "parse-names" : false, "suffix" : "" }, { "dropping-particle" : "", "family" : "Hansen", "given" : "Kenneth", "non-dropping-particle" : "", "parse-names" : false, "suffix" : "" }, { "dropping-particle" : "", "family" : "Novosel", "given" : "Tomislav", "non-dropping-particle" : "", "parse-names" : false, "suffix" : "" } ], "id" : "ITEM-1", "issued" : { "date-parts" : [ [ "2015" ] ] }, "page" : "32", "title" : "Creating Hourly Profiles to Model both Demand and Supply", "type" : "article-journal" }, "uris" : [ "http://www.mendeley.com/documents/?uuid=1d49952d-2975-458c-a5f1-7aec99c8420d", "http://www.mendeley.com/documents/?uuid=883388d3-83e1-4069-b0d3-9686066ad8fd" ] }, { "id" : "ITEM-2", "itemData" : { "author" : [ { "dropping-particle" : "", "family" : "Cahill", "given" : "James M.", "non-dropping-particle" : "", "parse-names" : false, "suffix" : "" }, { "dropping-particle" : "", "family" : "Ritland", "given" : "Keith G.", "non-dropping-particle" : "", "parse-names" : false, "suffix" : "" }, { "dropping-particle" : "", "family" : "Lin-Kelly", "given" : "Wendy", "non-dropping-particle" : "", "parse-names" : false, "suffix" : "" } ], "id" : "ITEM-2", "issued" : { "date-parts" : [ [ "1992" ] ] }, "title" : "Description of electric energy use in commercial buildings in the Pacific Northwest: 1986-1992", "type" : "article-journal" }, "uris" : [ "http://www.mendeley.com/documents/?uuid=698dab6c-54c6-4089-96b6-c53dbd9ee14e", "http://www.mendeley.com/documents/?uuid=3d4bedfe-0c1d-47c3-b798-4a61f173ef86" ] }, { "id" : "ITEM-3", "itemData" : { "URL" : "http://www.elforbrugspanel.dk/Pages/Rapportering.aspx", "id" : "ITEM-3", "issued" : { "date-parts" : [ [ "2012" ] ] }, "title" : "Paneldata", "type" : "webpage" }, "uris" : [ "http://www.mendeley.com/documents/?uuid=cc083307-5756-4217-ad84-1d58a87cc2fe", "http://www.mendeley.com/documents/?uuid=adcc2d22-d0f4-3883-9f54-664225276ef6", "http://www.mendeley.com/documents/?uuid=9441dbf5-ca39-4505-bb85-b43105334ffa" ] } ], "mendeley" : { "formattedCitation" : "[26,36,69]", "plainTextFormattedCitation" : "[26,36,69]", "previouslyFormattedCitation" : "[25,35,68]" }, "properties" : { "noteIndex" : 0 }, "schema" : "https://github.com/citation-style-language/schema/raw/master/csl-citation.json" }</w:instrText>
      </w:r>
      <w:r w:rsidRPr="00FA4CD1">
        <w:fldChar w:fldCharType="separate"/>
      </w:r>
      <w:r w:rsidRPr="005C5708">
        <w:rPr>
          <w:noProof/>
        </w:rPr>
        <w:t>[26,36,69]</w:t>
      </w:r>
      <w:r w:rsidRPr="00FA4CD1">
        <w:fldChar w:fldCharType="end"/>
      </w:r>
      <w:r w:rsidRPr="00FA4CD1">
        <w:t xml:space="preserve"> show a clear trend of very low demand during the night and peaks demand during morning and evening hours, highly resembling active occupancy profiles. Therefore, the parameters used are active occupancy profiles and heating degree hours. The styli</w:t>
      </w:r>
      <w:r>
        <w:t>z</w:t>
      </w:r>
      <w:r w:rsidRPr="00FA4CD1">
        <w:t>ed function for obtaining space heating hourly patterns per region is found below. The constants were also optimi</w:t>
      </w:r>
      <w:r>
        <w:t>z</w:t>
      </w:r>
      <w:r w:rsidRPr="00FA4CD1">
        <w:t>ed for this end-use demand equation. After normali</w:t>
      </w:r>
      <w:r>
        <w:t>z</w:t>
      </w:r>
      <w:r w:rsidRPr="00FA4CD1">
        <w:t xml:space="preserve">ing the patterns obtained for weekdays and weekend days, the seasonal variation component was included. This by making use of </w:t>
      </w:r>
      <w:r w:rsidRPr="00FA4CD1">
        <w:lastRenderedPageBreak/>
        <w:t>a monthly HDD data per region, which is determined in TIMER for the annual heating demand (Isaac &amp; Van Vuuren, 2009).</w:t>
      </w:r>
    </w:p>
    <w:p w14:paraId="2EB6413A" w14:textId="77777777" w:rsidR="004D3C30" w:rsidRPr="00FA4CD1" w:rsidRDefault="004D3C30" w:rsidP="004D3C30">
      <w:pPr>
        <w:pStyle w:val="NoSpacing"/>
      </w:pPr>
    </w:p>
    <w:p w14:paraId="20F12776" w14:textId="77777777" w:rsidR="004D3C30" w:rsidRPr="00FA4CD1" w:rsidRDefault="004D3C30" w:rsidP="004D3C30">
      <w:pPr>
        <w:pStyle w:val="NoSpacing"/>
      </w:pPr>
    </w:p>
    <w:p w14:paraId="5E83A817" w14:textId="77777777" w:rsidR="004D3C30" w:rsidRPr="00537659" w:rsidRDefault="004D3C30" w:rsidP="004D3C30">
      <w:pPr>
        <w:pStyle w:val="NoSpacing"/>
      </w:pPr>
      <m:oMathPara>
        <m:oMathParaPr>
          <m:jc m:val="left"/>
        </m:oMathParaPr>
        <m:oMath>
          <m:sSub>
            <m:sSubPr>
              <m:ctrlPr>
                <w:rPr>
                  <w:rFonts w:ascii="Cambria Math" w:hAnsi="Cambria Math"/>
                  <w:szCs w:val="22"/>
                </w:rPr>
              </m:ctrlPr>
            </m:sSubPr>
            <m:e>
              <m:r>
                <w:rPr>
                  <w:rFonts w:ascii="Cambria Math" w:hAnsi="Cambria Math"/>
                </w:rPr>
                <m:t>Heating</m:t>
              </m:r>
              <m:r>
                <m:rPr>
                  <m:sty m:val="p"/>
                </m:rPr>
                <w:rPr>
                  <w:rFonts w:ascii="Cambria Math" w:hAnsi="Cambria Math"/>
                </w:rPr>
                <m:t xml:space="preserve"> </m:t>
              </m:r>
              <m:r>
                <w:rPr>
                  <w:rFonts w:ascii="Cambria Math" w:hAnsi="Cambria Math"/>
                </w:rPr>
                <m:t>weekday</m:t>
              </m:r>
            </m:e>
            <m: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h</m:t>
              </m:r>
              <m:r>
                <m:rPr>
                  <m:sty m:val="p"/>
                </m:rPr>
                <w:rPr>
                  <w:rFonts w:ascii="Cambria Math" w:hAnsi="Cambria Math"/>
                </w:rPr>
                <m:t>)</m:t>
              </m:r>
            </m:sub>
          </m:sSub>
          <m:r>
            <m:rPr>
              <m:sty m:val="p"/>
            </m:rPr>
            <w:rPr>
              <w:rFonts w:ascii="Cambria Math" w:hAnsi="Cambria Math"/>
            </w:rPr>
            <m:t xml:space="preserve">= </m:t>
          </m:r>
          <m:d>
            <m:dPr>
              <m:begChr m:val="{"/>
              <m:endChr m:val=""/>
              <m:ctrlPr>
                <w:rPr>
                  <w:rFonts w:ascii="Cambria Math" w:hAnsi="Cambria Math"/>
                </w:rPr>
              </m:ctrlPr>
            </m:dPr>
            <m:e>
              <m:eqArr>
                <m:eqArrPr>
                  <m:ctrlPr>
                    <w:rPr>
                      <w:rFonts w:ascii="Cambria Math" w:hAnsi="Cambria Math"/>
                    </w:rPr>
                  </m:ctrlPr>
                </m:eqArrPr>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m:rPr>
                              <m:sty m:val="p"/>
                            </m:rPr>
                            <w:rPr>
                              <w:rFonts w:ascii="Cambria Math" w:hAnsi="Cambria Math"/>
                            </w:rPr>
                            <m:t>0.01,</m:t>
                          </m:r>
                          <m:sSub>
                            <m:sSubPr>
                              <m:ctrlPr>
                                <w:rPr>
                                  <w:rFonts w:ascii="Cambria Math" w:hAnsi="Cambria Math"/>
                                </w:rPr>
                              </m:ctrlPr>
                            </m:sSubPr>
                            <m:e>
                              <m:r>
                                <w:rPr>
                                  <w:rFonts w:ascii="Cambria Math" w:hAnsi="Cambria Math"/>
                                </w:rPr>
                                <m:t>AO</m:t>
                              </m:r>
                            </m:e>
                            <m:sub>
                              <m:r>
                                <w:rPr>
                                  <w:rFonts w:ascii="Cambria Math" w:hAnsi="Cambria Math"/>
                                </w:rPr>
                                <m:t>h</m:t>
                              </m:r>
                            </m:sub>
                          </m:sSub>
                          <m:r>
                            <m:rPr>
                              <m:sty m:val="p"/>
                            </m:rPr>
                            <w:rPr>
                              <w:rFonts w:ascii="Cambria Math" w:hAnsi="Cambria Math"/>
                            </w:rPr>
                            <m:t>+0.4</m:t>
                          </m:r>
                        </m:e>
                      </m:d>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m:rPr>
                              <m:sty m:val="p"/>
                            </m:rPr>
                            <w:rPr>
                              <w:rFonts w:ascii="Cambria Math" w:hAnsi="Cambria Math"/>
                            </w:rPr>
                            <m:t>0.6;</m:t>
                          </m:r>
                          <m:sSub>
                            <m:sSubPr>
                              <m:ctrlPr>
                                <w:rPr>
                                  <w:rFonts w:ascii="Cambria Math" w:hAnsi="Cambria Math"/>
                                </w:rPr>
                              </m:ctrlPr>
                            </m:sSubPr>
                            <m:e>
                              <m:r>
                                <w:rPr>
                                  <w:rFonts w:ascii="Cambria Math" w:hAnsi="Cambria Math"/>
                                </w:rPr>
                                <m:t>HDH</m:t>
                              </m:r>
                            </m:e>
                            <m:sub>
                              <m:r>
                                <w:rPr>
                                  <w:rFonts w:ascii="Cambria Math" w:hAnsi="Cambria Math"/>
                                </w:rPr>
                                <m:t>r</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h</m:t>
                              </m:r>
                            </m:sub>
                          </m:sSub>
                          <m:r>
                            <w:rPr>
                              <w:rFonts w:ascii="Cambria Math" w:hAnsi="Cambria Math"/>
                            </w:rPr>
                            <m:t>/17.9</m:t>
                          </m:r>
                        </m:e>
                      </m:d>
                      <m:r>
                        <m:rPr>
                          <m:sty m:val="p"/>
                        </m:rPr>
                        <w:rPr>
                          <w:rFonts w:ascii="Cambria Math" w:hAnsi="Cambria Math"/>
                        </w:rPr>
                        <m:t xml:space="preserve"> ⟹ </m:t>
                      </m:r>
                    </m:e>
                  </m:func>
                  <m:r>
                    <w:rPr>
                      <w:rFonts w:ascii="Cambria Math" w:hAnsi="Cambria Math"/>
                    </w:rPr>
                    <m:t>h</m:t>
                  </m:r>
                  <m:r>
                    <m:rPr>
                      <m:sty m:val="p"/>
                    </m:rPr>
                    <w:rPr>
                      <w:rFonts w:ascii="Cambria Math" w:hAnsi="Cambria Math"/>
                    </w:rPr>
                    <m:t xml:space="preserve"> ∈[5,10]</m:t>
                  </m:r>
                </m:e>
                <m:e>
                  <m:r>
                    <m:rPr>
                      <m:sty m:val="p"/>
                    </m:rPr>
                    <w:rPr>
                      <w:rFonts w:ascii="Cambria Math" w:hAnsi="Cambria Math"/>
                    </w:rPr>
                    <m:t xml:space="preserve"> </m:t>
                  </m:r>
                  <m:ctrlPr>
                    <w:rPr>
                      <w:rFonts w:ascii="Cambria Math" w:eastAsia="Cambria Math" w:hAnsi="Cambria Math" w:cs="Cambria Math"/>
                    </w:rPr>
                  </m:ctrlPr>
                </m:e>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m:rPr>
                              <m:sty m:val="p"/>
                            </m:rPr>
                            <w:rPr>
                              <w:rFonts w:ascii="Cambria Math" w:hAnsi="Cambria Math"/>
                            </w:rPr>
                            <m:t>0.01,</m:t>
                          </m:r>
                          <m:sSub>
                            <m:sSubPr>
                              <m:ctrlPr>
                                <w:rPr>
                                  <w:rFonts w:ascii="Cambria Math" w:hAnsi="Cambria Math"/>
                                </w:rPr>
                              </m:ctrlPr>
                            </m:sSubPr>
                            <m:e>
                              <m:r>
                                <w:rPr>
                                  <w:rFonts w:ascii="Cambria Math" w:hAnsi="Cambria Math"/>
                                </w:rPr>
                                <m:t>AO</m:t>
                              </m:r>
                            </m:e>
                            <m:sub>
                              <m:r>
                                <w:rPr>
                                  <w:rFonts w:ascii="Cambria Math" w:hAnsi="Cambria Math"/>
                                </w:rPr>
                                <m:t>h</m:t>
                              </m:r>
                            </m:sub>
                          </m:sSub>
                        </m:e>
                      </m:d>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m:rPr>
                              <m:sty m:val="p"/>
                            </m:rPr>
                            <w:rPr>
                              <w:rFonts w:ascii="Cambria Math" w:hAnsi="Cambria Math"/>
                            </w:rPr>
                            <m:t>0.6;</m:t>
                          </m:r>
                          <m:sSub>
                            <m:sSubPr>
                              <m:ctrlPr>
                                <w:rPr>
                                  <w:rFonts w:ascii="Cambria Math" w:hAnsi="Cambria Math"/>
                                </w:rPr>
                              </m:ctrlPr>
                            </m:sSubPr>
                            <m:e>
                              <m:r>
                                <w:rPr>
                                  <w:rFonts w:ascii="Cambria Math" w:hAnsi="Cambria Math"/>
                                </w:rPr>
                                <m:t>HDH</m:t>
                              </m:r>
                            </m:e>
                            <m:sub>
                              <m:r>
                                <w:rPr>
                                  <w:rFonts w:ascii="Cambria Math" w:hAnsi="Cambria Math"/>
                                </w:rPr>
                                <m:t>r</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h</m:t>
                              </m:r>
                            </m:sub>
                          </m:sSub>
                          <m:r>
                            <w:rPr>
                              <w:rFonts w:ascii="Cambria Math" w:hAnsi="Cambria Math"/>
                            </w:rPr>
                            <m:t>/17.9</m:t>
                          </m:r>
                        </m:e>
                      </m:d>
                      <m:r>
                        <m:rPr>
                          <m:sty m:val="p"/>
                        </m:rPr>
                        <w:rPr>
                          <w:rFonts w:ascii="Cambria Math" w:hAnsi="Cambria Math"/>
                        </w:rPr>
                        <m:t xml:space="preserve">             ⟹  </m:t>
                      </m:r>
                    </m:e>
                  </m:func>
                  <m:r>
                    <w:rPr>
                      <w:rFonts w:ascii="Cambria Math" w:hAnsi="Cambria Math"/>
                    </w:rPr>
                    <m:t>h</m:t>
                  </m:r>
                  <m:r>
                    <m:rPr>
                      <m:sty m:val="p"/>
                    </m:rPr>
                    <w:rPr>
                      <w:rFonts w:ascii="Cambria Math" w:hAnsi="Cambria Math"/>
                    </w:rPr>
                    <m:t xml:space="preserve"> </m:t>
                  </m:r>
                  <m:r>
                    <m:rPr>
                      <m:sty m:val="p"/>
                    </m:rPr>
                    <w:rPr>
                      <w:rFonts w:ascii="Cambria Math" w:hAnsi="Cambria Math" w:cs="Cambria Math"/>
                      <w:shd w:val="clear" w:color="auto" w:fill="FFFFFF"/>
                    </w:rPr>
                    <m:t>∉</m:t>
                  </m:r>
                  <m:r>
                    <m:rPr>
                      <m:sty m:val="p"/>
                    </m:rPr>
                    <w:rPr>
                      <w:rFonts w:ascii="Cambria Math" w:hAnsi="Cambria Math"/>
                    </w:rPr>
                    <m:t>[5,10]</m:t>
                  </m:r>
                </m:e>
              </m:eqArr>
            </m:e>
          </m:d>
        </m:oMath>
      </m:oMathPara>
    </w:p>
    <w:p w14:paraId="7BD46C78" w14:textId="77777777" w:rsidR="004D3C30" w:rsidRPr="00537659" w:rsidRDefault="004D3C30" w:rsidP="004D3C30">
      <w:pPr>
        <w:pStyle w:val="NoSpacing"/>
      </w:pPr>
    </w:p>
    <w:p w14:paraId="1F5229F0" w14:textId="77777777" w:rsidR="004D3C30" w:rsidRPr="00FA4CD1" w:rsidRDefault="004D3C30" w:rsidP="004D3C30">
      <w:pPr>
        <w:pStyle w:val="NoSpacing"/>
      </w:pPr>
      <m:oMath>
        <m:sSub>
          <m:sSubPr>
            <m:ctrlPr>
              <w:rPr>
                <w:rFonts w:ascii="Cambria Math" w:hAnsi="Cambria Math"/>
                <w:szCs w:val="22"/>
              </w:rPr>
            </m:ctrlPr>
          </m:sSubPr>
          <m:e>
            <m:r>
              <w:rPr>
                <w:rFonts w:ascii="Cambria Math" w:hAnsi="Cambria Math"/>
              </w:rPr>
              <m:t>Heating</m:t>
            </m:r>
            <m:r>
              <m:rPr>
                <m:sty m:val="p"/>
              </m:rPr>
              <w:rPr>
                <w:rFonts w:ascii="Cambria Math" w:hAnsi="Cambria Math"/>
              </w:rPr>
              <m:t xml:space="preserve"> </m:t>
            </m:r>
            <m:r>
              <w:rPr>
                <w:rFonts w:ascii="Cambria Math" w:hAnsi="Cambria Math"/>
              </w:rPr>
              <m:t>weekend</m:t>
            </m:r>
          </m:e>
          <m: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h</m:t>
            </m:r>
            <m:r>
              <m:rPr>
                <m:sty m:val="p"/>
              </m:rPr>
              <w:rPr>
                <w:rFonts w:ascii="Cambria Math" w:hAnsi="Cambria Math"/>
              </w:rPr>
              <m:t>)</m:t>
            </m:r>
          </m:sub>
        </m:sSub>
        <m:r>
          <m:rPr>
            <m:sty m:val="p"/>
          </m:rPr>
          <w:rPr>
            <w:rFonts w:ascii="Cambria Math" w:hAnsi="Cambria Math"/>
          </w:rPr>
          <m:t xml:space="preserve">= </m:t>
        </m:r>
        <m:d>
          <m:dPr>
            <m:begChr m:val="{"/>
            <m:endChr m:val=""/>
            <m:ctrlPr>
              <w:rPr>
                <w:rFonts w:ascii="Cambria Math" w:hAnsi="Cambria Math"/>
              </w:rPr>
            </m:ctrlPr>
          </m:dPr>
          <m:e>
            <m:eqArr>
              <m:eqArrPr>
                <m:ctrlPr>
                  <w:rPr>
                    <w:rFonts w:ascii="Cambria Math" w:hAnsi="Cambria Math"/>
                  </w:rPr>
                </m:ctrlPr>
              </m:eqArrPr>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m:rPr>
                            <m:sty m:val="p"/>
                          </m:rPr>
                          <w:rPr>
                            <w:rFonts w:ascii="Cambria Math" w:hAnsi="Cambria Math"/>
                          </w:rPr>
                          <m:t>0.01,</m:t>
                        </m:r>
                        <m:sSub>
                          <m:sSubPr>
                            <m:ctrlPr>
                              <w:rPr>
                                <w:rFonts w:ascii="Cambria Math" w:hAnsi="Cambria Math"/>
                              </w:rPr>
                            </m:ctrlPr>
                          </m:sSubPr>
                          <m:e>
                            <m:r>
                              <w:rPr>
                                <w:rFonts w:ascii="Cambria Math" w:hAnsi="Cambria Math"/>
                              </w:rPr>
                              <m:t>AO</m:t>
                            </m:r>
                          </m:e>
                          <m:sub>
                            <m:r>
                              <w:rPr>
                                <w:rFonts w:ascii="Cambria Math" w:hAnsi="Cambria Math"/>
                              </w:rPr>
                              <m:t>h</m:t>
                            </m:r>
                          </m:sub>
                        </m:sSub>
                        <m:r>
                          <m:rPr>
                            <m:sty m:val="p"/>
                          </m:rPr>
                          <w:rPr>
                            <w:rFonts w:ascii="Cambria Math" w:hAnsi="Cambria Math"/>
                          </w:rPr>
                          <m:t>+0.4</m:t>
                        </m:r>
                      </m:e>
                    </m:d>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m:rPr>
                            <m:sty m:val="p"/>
                          </m:rPr>
                          <w:rPr>
                            <w:rFonts w:ascii="Cambria Math" w:hAnsi="Cambria Math"/>
                          </w:rPr>
                          <m:t>0.6;</m:t>
                        </m:r>
                        <m:sSub>
                          <m:sSubPr>
                            <m:ctrlPr>
                              <w:rPr>
                                <w:rFonts w:ascii="Cambria Math" w:hAnsi="Cambria Math"/>
                              </w:rPr>
                            </m:ctrlPr>
                          </m:sSubPr>
                          <m:e>
                            <m:r>
                              <w:rPr>
                                <w:rFonts w:ascii="Cambria Math" w:hAnsi="Cambria Math"/>
                              </w:rPr>
                              <m:t>HDH</m:t>
                            </m:r>
                          </m:e>
                          <m:sub>
                            <m:r>
                              <w:rPr>
                                <w:rFonts w:ascii="Cambria Math" w:hAnsi="Cambria Math"/>
                              </w:rPr>
                              <m:t>r</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h</m:t>
                            </m:r>
                          </m:sub>
                        </m:sSub>
                        <m:r>
                          <w:rPr>
                            <w:rFonts w:ascii="Cambria Math" w:hAnsi="Cambria Math"/>
                          </w:rPr>
                          <m:t>/17.9</m:t>
                        </m:r>
                      </m:e>
                    </m:d>
                    <m:r>
                      <m:rPr>
                        <m:sty m:val="p"/>
                      </m:rPr>
                      <w:rPr>
                        <w:rFonts w:ascii="Cambria Math" w:hAnsi="Cambria Math"/>
                      </w:rPr>
                      <m:t xml:space="preserve"> ⟹ </m:t>
                    </m:r>
                  </m:e>
                </m:func>
                <m:r>
                  <w:rPr>
                    <w:rFonts w:ascii="Cambria Math" w:hAnsi="Cambria Math"/>
                  </w:rPr>
                  <m:t>h</m:t>
                </m:r>
                <m:r>
                  <m:rPr>
                    <m:sty m:val="p"/>
                  </m:rPr>
                  <w:rPr>
                    <w:rFonts w:ascii="Cambria Math" w:hAnsi="Cambria Math"/>
                  </w:rPr>
                  <m:t xml:space="preserve"> ∈[5,12]</m:t>
                </m:r>
              </m:e>
              <m:e>
                <m:r>
                  <m:rPr>
                    <m:sty m:val="p"/>
                  </m:rPr>
                  <w:rPr>
                    <w:rFonts w:ascii="Cambria Math" w:hAnsi="Cambria Math"/>
                  </w:rPr>
                  <m:t xml:space="preserve"> </m:t>
                </m:r>
                <m:ctrlPr>
                  <w:rPr>
                    <w:rFonts w:ascii="Cambria Math" w:eastAsia="Cambria Math" w:hAnsi="Cambria Math" w:cs="Cambria Math"/>
                  </w:rPr>
                </m:ctrlPr>
              </m:e>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m:rPr>
                            <m:sty m:val="p"/>
                          </m:rPr>
                          <w:rPr>
                            <w:rFonts w:ascii="Cambria Math" w:hAnsi="Cambria Math"/>
                          </w:rPr>
                          <m:t>0.01,</m:t>
                        </m:r>
                        <m:sSub>
                          <m:sSubPr>
                            <m:ctrlPr>
                              <w:rPr>
                                <w:rFonts w:ascii="Cambria Math" w:hAnsi="Cambria Math"/>
                              </w:rPr>
                            </m:ctrlPr>
                          </m:sSubPr>
                          <m:e>
                            <m:r>
                              <w:rPr>
                                <w:rFonts w:ascii="Cambria Math" w:hAnsi="Cambria Math"/>
                              </w:rPr>
                              <m:t>AO</m:t>
                            </m:r>
                          </m:e>
                          <m:sub>
                            <m:r>
                              <w:rPr>
                                <w:rFonts w:ascii="Cambria Math" w:hAnsi="Cambria Math"/>
                              </w:rPr>
                              <m:t>h</m:t>
                            </m:r>
                          </m:sub>
                        </m:sSub>
                      </m:e>
                    </m:d>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m:rPr>
                            <m:sty m:val="p"/>
                          </m:rPr>
                          <w:rPr>
                            <w:rFonts w:ascii="Cambria Math" w:hAnsi="Cambria Math"/>
                          </w:rPr>
                          <m:t>0.6;</m:t>
                        </m:r>
                        <m:sSub>
                          <m:sSubPr>
                            <m:ctrlPr>
                              <w:rPr>
                                <w:rFonts w:ascii="Cambria Math" w:hAnsi="Cambria Math"/>
                              </w:rPr>
                            </m:ctrlPr>
                          </m:sSubPr>
                          <m:e>
                            <m:r>
                              <m:rPr>
                                <m:sty m:val="p"/>
                              </m:rPr>
                              <w:rPr>
                                <w:rFonts w:ascii="Cambria Math" w:hAnsi="Cambria Math"/>
                              </w:rPr>
                              <m:t>1.1*</m:t>
                            </m:r>
                            <m:r>
                              <w:rPr>
                                <w:rFonts w:ascii="Cambria Math" w:hAnsi="Cambria Math"/>
                              </w:rPr>
                              <m:t>HDH</m:t>
                            </m:r>
                          </m:e>
                          <m:sub>
                            <m:r>
                              <w:rPr>
                                <w:rFonts w:ascii="Cambria Math" w:hAnsi="Cambria Math"/>
                              </w:rPr>
                              <m:t>r</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h</m:t>
                            </m:r>
                          </m:sub>
                        </m:sSub>
                        <m:r>
                          <w:rPr>
                            <w:rFonts w:ascii="Cambria Math" w:hAnsi="Cambria Math"/>
                          </w:rPr>
                          <m:t>/17.9</m:t>
                        </m:r>
                      </m:e>
                    </m:d>
                    <m:r>
                      <m:rPr>
                        <m:sty m:val="p"/>
                      </m:rPr>
                      <w:rPr>
                        <w:rFonts w:ascii="Cambria Math" w:hAnsi="Cambria Math"/>
                      </w:rPr>
                      <m:t xml:space="preserve"> ⟹ </m:t>
                    </m:r>
                  </m:e>
                </m:func>
                <m:r>
                  <w:rPr>
                    <w:rFonts w:ascii="Cambria Math" w:hAnsi="Cambria Math"/>
                  </w:rPr>
                  <m:t>h</m:t>
                </m:r>
                <m:r>
                  <m:rPr>
                    <m:sty m:val="p"/>
                  </m:rPr>
                  <w:rPr>
                    <w:rFonts w:ascii="Cambria Math" w:hAnsi="Cambria Math"/>
                  </w:rPr>
                  <m:t xml:space="preserve"> </m:t>
                </m:r>
                <m:r>
                  <m:rPr>
                    <m:sty m:val="p"/>
                  </m:rPr>
                  <w:rPr>
                    <w:rFonts w:ascii="Cambria Math" w:hAnsi="Cambria Math" w:cs="Cambria Math"/>
                    <w:shd w:val="clear" w:color="auto" w:fill="FFFFFF"/>
                  </w:rPr>
                  <m:t>∉</m:t>
                </m:r>
                <m:r>
                  <m:rPr>
                    <m:sty m:val="p"/>
                  </m:rPr>
                  <w:rPr>
                    <w:rFonts w:ascii="Cambria Math" w:hAnsi="Cambria Math"/>
                  </w:rPr>
                  <m:t>[5,12]</m:t>
                </m:r>
              </m:e>
            </m:eqArr>
          </m:e>
        </m:d>
      </m:oMath>
      <w:r w:rsidRPr="00537659">
        <w:tab/>
      </w:r>
      <w:r w:rsidRPr="00FA4CD1">
        <w:tab/>
      </w:r>
      <w:r w:rsidRPr="00FA4CD1">
        <w:tab/>
      </w:r>
      <w:r w:rsidRPr="00FA4CD1">
        <w:tab/>
      </w:r>
      <w:r w:rsidRPr="00FA4CD1">
        <w:tab/>
      </w:r>
      <w:r w:rsidRPr="00FA4CD1">
        <w:tab/>
      </w:r>
      <w:r w:rsidRPr="00FA4CD1">
        <w:tab/>
      </w:r>
      <w:r w:rsidRPr="00FA4CD1">
        <w:tab/>
      </w:r>
      <w:r w:rsidRPr="00FA4CD1">
        <w:tab/>
      </w:r>
      <w:r w:rsidRPr="00FA4CD1">
        <w:tab/>
      </w:r>
      <w:r w:rsidRPr="00FA4CD1">
        <w:tab/>
      </w:r>
      <w:r w:rsidRPr="00FA4CD1">
        <w:tab/>
      </w:r>
      <w:r w:rsidRPr="00FA4CD1">
        <w:tab/>
      </w:r>
      <w:r w:rsidRPr="00FA4CD1">
        <w:tab/>
        <w:t xml:space="preserve">         (4)</w:t>
      </w:r>
    </w:p>
    <w:p w14:paraId="2E1F96DC" w14:textId="77777777" w:rsidR="004D3C30" w:rsidRPr="00FA4CD1" w:rsidRDefault="004D3C30" w:rsidP="004D3C30">
      <w:pPr>
        <w:pStyle w:val="NoSpacing"/>
      </w:pPr>
    </w:p>
    <w:p w14:paraId="0CEB3205" w14:textId="77777777" w:rsidR="004D3C30" w:rsidRPr="00FA4CD1" w:rsidRDefault="004D3C30" w:rsidP="004D3C30">
      <w:pPr>
        <w:pStyle w:val="NoSpacing"/>
      </w:pPr>
      <w:r w:rsidRPr="00FA4CD1">
        <w:t>Where AO is the active occupancy varying for weekday or weekend and HDH stands for heating degree hours pattern varying for every month and region.</w:t>
      </w:r>
    </w:p>
    <w:p w14:paraId="35EA90DB" w14:textId="77777777" w:rsidR="004D3C30" w:rsidRPr="00FA4CD1" w:rsidRDefault="004D3C30" w:rsidP="004D3C30">
      <w:pPr>
        <w:pStyle w:val="NoSpacing"/>
      </w:pPr>
    </w:p>
    <w:p w14:paraId="02C3ED64" w14:textId="77777777" w:rsidR="004D3C30" w:rsidRPr="00FA4CD1" w:rsidRDefault="004D3C30" w:rsidP="004D3C30">
      <w:pPr>
        <w:pStyle w:val="NoSpacing"/>
      </w:pPr>
      <w:r w:rsidRPr="00FA4CD1">
        <w:t xml:space="preserve">Figure 11 illustrates the monthly heating demand patterns for weekend and working days for Western Europe. The months with larger demand are January and December, they also depict slightly larger morning and evening peaks than the other months. </w:t>
      </w:r>
    </w:p>
    <w:p w14:paraId="3176C1E9" w14:textId="77777777" w:rsidR="004D3C30" w:rsidRPr="00FA4CD1" w:rsidRDefault="004D3C30" w:rsidP="004D3C30">
      <w:pPr>
        <w:pStyle w:val="NoSpacing"/>
      </w:pPr>
    </w:p>
    <w:p w14:paraId="33F9E469" w14:textId="77777777" w:rsidR="004D3C30" w:rsidRPr="00FA4CD1" w:rsidRDefault="004D3C30" w:rsidP="004D3C30">
      <w:pPr>
        <w:pStyle w:val="NoSpacing"/>
      </w:pPr>
      <w:r w:rsidRPr="00FA4CD1">
        <w:t>Figure 12 illustrates, for the same region, the difference between modelled and empirical patterns for the average annual day pattern. It is important to highlight that the empirical data is coming from Denmark while the modelled patterns are calculated based on HDH from Western Europe. Hence, the difference between the modelled and measured data can be caused by differences in temperatures and consequently the HDH parameter used.</w:t>
      </w:r>
    </w:p>
    <w:p w14:paraId="14BC55AE" w14:textId="77777777" w:rsidR="004D3C30" w:rsidRPr="00FA4CD1" w:rsidRDefault="004D3C30" w:rsidP="004D3C30"/>
    <w:p w14:paraId="182FBD45" w14:textId="77777777" w:rsidR="004D3C30" w:rsidRPr="00FA4CD1" w:rsidRDefault="004D3C30" w:rsidP="004D3C30">
      <w:pPr>
        <w:keepNext/>
      </w:pPr>
      <w:r w:rsidRPr="00FA4CD1">
        <w:rPr>
          <w:noProof/>
        </w:rPr>
        <w:drawing>
          <wp:inline distT="0" distB="0" distL="0" distR="0" wp14:anchorId="456478D8" wp14:editId="3A7CDDA5">
            <wp:extent cx="5763283" cy="1637731"/>
            <wp:effectExtent l="0" t="0" r="889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15047" cy="1652441"/>
                    </a:xfrm>
                    <a:prstGeom prst="rect">
                      <a:avLst/>
                    </a:prstGeom>
                    <a:noFill/>
                  </pic:spPr>
                </pic:pic>
              </a:graphicData>
            </a:graphic>
          </wp:inline>
        </w:drawing>
      </w:r>
    </w:p>
    <w:p w14:paraId="7A7CB75C" w14:textId="77777777" w:rsidR="004D3C30" w:rsidRPr="00FA4CD1" w:rsidRDefault="004D3C30" w:rsidP="004D3C30">
      <w:pPr>
        <w:pStyle w:val="Caption"/>
        <w:rPr>
          <w:color w:val="auto"/>
        </w:rPr>
      </w:pPr>
      <w:r w:rsidRPr="00FA4CD1">
        <w:rPr>
          <w:color w:val="auto"/>
        </w:rPr>
        <w:t xml:space="preserve">Figure </w:t>
      </w:r>
      <w:r w:rsidRPr="00FA4CD1">
        <w:rPr>
          <w:noProof/>
          <w:color w:val="auto"/>
        </w:rPr>
        <w:fldChar w:fldCharType="begin"/>
      </w:r>
      <w:r w:rsidRPr="00FA4CD1">
        <w:rPr>
          <w:noProof/>
          <w:color w:val="auto"/>
        </w:rPr>
        <w:instrText xml:space="preserve"> SEQ Figure \* ARABIC </w:instrText>
      </w:r>
      <w:r w:rsidRPr="00FA4CD1">
        <w:rPr>
          <w:noProof/>
          <w:color w:val="auto"/>
        </w:rPr>
        <w:fldChar w:fldCharType="separate"/>
      </w:r>
      <w:r>
        <w:rPr>
          <w:noProof/>
          <w:color w:val="auto"/>
        </w:rPr>
        <w:t>16</w:t>
      </w:r>
      <w:r w:rsidRPr="00FA4CD1">
        <w:rPr>
          <w:noProof/>
          <w:color w:val="auto"/>
        </w:rPr>
        <w:fldChar w:fldCharType="end"/>
      </w:r>
      <w:r w:rsidRPr="00FA4CD1">
        <w:rPr>
          <w:color w:val="auto"/>
        </w:rPr>
        <w:t xml:space="preserve"> Monthly modelled variation of heating day-pattern for Western Europe region.</w:t>
      </w:r>
    </w:p>
    <w:p w14:paraId="1D934693" w14:textId="77777777" w:rsidR="004D3C30" w:rsidRPr="00FA4CD1" w:rsidRDefault="004D3C30" w:rsidP="004D3C30">
      <w:pPr>
        <w:pStyle w:val="NoSpacing"/>
      </w:pPr>
      <w:r w:rsidRPr="00FA4CD1">
        <w:rPr>
          <w:noProof/>
        </w:rPr>
        <w:lastRenderedPageBreak/>
        <w:drawing>
          <wp:inline distT="0" distB="0" distL="0" distR="0" wp14:anchorId="634FE159" wp14:editId="0A850E71">
            <wp:extent cx="5836920" cy="17526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36920" cy="1752600"/>
                    </a:xfrm>
                    <a:prstGeom prst="rect">
                      <a:avLst/>
                    </a:prstGeom>
                    <a:noFill/>
                    <a:ln>
                      <a:noFill/>
                    </a:ln>
                  </pic:spPr>
                </pic:pic>
              </a:graphicData>
            </a:graphic>
          </wp:inline>
        </w:drawing>
      </w:r>
    </w:p>
    <w:p w14:paraId="36073C83" w14:textId="77777777" w:rsidR="004D3C30" w:rsidRPr="00FA4CD1" w:rsidRDefault="004D3C30" w:rsidP="004D3C30">
      <w:pPr>
        <w:pStyle w:val="Caption"/>
        <w:rPr>
          <w:color w:val="auto"/>
        </w:rPr>
      </w:pPr>
      <w:r w:rsidRPr="00FA4CD1">
        <w:rPr>
          <w:color w:val="auto"/>
        </w:rPr>
        <w:t xml:space="preserve"> Figure </w:t>
      </w:r>
      <w:r w:rsidRPr="00FA4CD1">
        <w:rPr>
          <w:color w:val="auto"/>
        </w:rPr>
        <w:fldChar w:fldCharType="begin"/>
      </w:r>
      <w:r w:rsidRPr="00FA4CD1">
        <w:rPr>
          <w:noProof/>
          <w:color w:val="auto"/>
        </w:rPr>
        <w:instrText xml:space="preserve"> SEQ Figure \* ARABIC </w:instrText>
      </w:r>
      <w:r w:rsidRPr="00FA4CD1">
        <w:rPr>
          <w:color w:val="auto"/>
        </w:rPr>
        <w:fldChar w:fldCharType="separate"/>
      </w:r>
      <w:r>
        <w:rPr>
          <w:noProof/>
          <w:color w:val="auto"/>
        </w:rPr>
        <w:t>17</w:t>
      </w:r>
      <w:r w:rsidRPr="00FA4CD1">
        <w:rPr>
          <w:color w:val="auto"/>
        </w:rPr>
        <w:fldChar w:fldCharType="end"/>
      </w:r>
      <w:r w:rsidRPr="00FA4CD1">
        <w:rPr>
          <w:color w:val="auto"/>
        </w:rPr>
        <w:t xml:space="preserve"> Comparison of modelled space heating demand pattern for Europe with a the Denmark average pattern from measured data </w:t>
      </w:r>
      <w:r w:rsidRPr="00FA4CD1">
        <w:rPr>
          <w:color w:val="auto"/>
        </w:rPr>
        <w:fldChar w:fldCharType="begin" w:fldLock="1"/>
      </w:r>
      <w:r>
        <w:rPr>
          <w:color w:val="auto"/>
        </w:rPr>
        <w:instrText>ADDIN CSL_CITATION { "citationItems" : [ { "id" : "ITEM-1", "itemData" : { "URL" : "http://www.elforbrugspanel.dk/Pages/Rapportering.aspx", "id" : "ITEM-1", "issued" : { "date-parts" : [ [ "2012" ] ] }, "title" : "Paneldata", "type" : "webpage" }, "uris" : [ "http://www.mendeley.com/documents/?uuid=cc083307-5756-4217-ad84-1d58a87cc2fe", "http://www.mendeley.com/documents/?uuid=adcc2d22-d0f4-3883-9f54-664225276ef6" ] } ], "mendeley" : { "formattedCitation" : "[36]", "plainTextFormattedCitation" : "[36]", "previouslyFormattedCitation" : "[35]" }, "properties" : { "noteIndex" : 0 }, "schema" : "https://github.com/citation-style-language/schema/raw/master/csl-citation.json" }</w:instrText>
      </w:r>
      <w:r w:rsidRPr="00FA4CD1">
        <w:rPr>
          <w:color w:val="auto"/>
        </w:rPr>
        <w:fldChar w:fldCharType="separate"/>
      </w:r>
      <w:r w:rsidRPr="005C5708">
        <w:rPr>
          <w:i w:val="0"/>
          <w:noProof/>
          <w:color w:val="auto"/>
        </w:rPr>
        <w:t>[36]</w:t>
      </w:r>
      <w:r w:rsidRPr="00FA4CD1">
        <w:rPr>
          <w:color w:val="auto"/>
        </w:rPr>
        <w:fldChar w:fldCharType="end"/>
      </w:r>
      <w:r w:rsidRPr="00FA4CD1">
        <w:rPr>
          <w:color w:val="auto"/>
        </w:rPr>
        <w:t xml:space="preserve"> .</w:t>
      </w:r>
    </w:p>
    <w:p w14:paraId="4EA92F87" w14:textId="77777777" w:rsidR="004D3C30" w:rsidRPr="00FA4CD1" w:rsidRDefault="004D3C30" w:rsidP="004D3C30">
      <w:pPr>
        <w:pStyle w:val="Heading5"/>
        <w:rPr>
          <w:color w:val="auto"/>
        </w:rPr>
      </w:pPr>
      <w:r w:rsidRPr="00FA4CD1">
        <w:rPr>
          <w:color w:val="auto"/>
        </w:rPr>
        <w:t>Space cooling</w:t>
      </w:r>
    </w:p>
    <w:p w14:paraId="4B9121E3" w14:textId="77777777" w:rsidR="004D3C30" w:rsidRPr="00FA4CD1" w:rsidRDefault="004D3C30" w:rsidP="004D3C30">
      <w:r w:rsidRPr="00FA4CD1">
        <w:t>The parameters used for modelling residential demand for space cooling are cooling degree hours and total occupancy profile. It is assumed that people make use of air conditioning while sleeping and for this reason the total occupancy profile is implemented. The styli</w:t>
      </w:r>
      <w:r>
        <w:t>z</w:t>
      </w:r>
      <w:r w:rsidRPr="00FA4CD1">
        <w:t>ed function obtained for weekend and weekdays is described below. The calibration of this function was performed using empirical data from the USA.</w:t>
      </w:r>
    </w:p>
    <w:p w14:paraId="19CDE51F" w14:textId="77777777" w:rsidR="004D3C30" w:rsidRPr="00FA4CD1" w:rsidRDefault="004D3C30" w:rsidP="004D3C30">
      <w:pPr>
        <w:pStyle w:val="NoSpacing"/>
      </w:pPr>
      <m:oMath>
        <m:sSub>
          <m:sSubPr>
            <m:ctrlPr>
              <w:rPr>
                <w:rFonts w:ascii="Cambria Math" w:hAnsi="Cambria Math"/>
                <w:szCs w:val="24"/>
              </w:rPr>
            </m:ctrlPr>
          </m:sSubPr>
          <m:e>
            <m:r>
              <w:rPr>
                <w:rFonts w:ascii="Cambria Math" w:hAnsi="Cambria Math"/>
              </w:rPr>
              <m:t>AC</m:t>
            </m:r>
          </m:e>
          <m:sub>
            <m:d>
              <m:dPr>
                <m:ctrlPr>
                  <w:rPr>
                    <w:rFonts w:ascii="Cambria Math" w:hAnsi="Cambria Math"/>
                    <w:szCs w:val="24"/>
                  </w:rPr>
                </m:ctrlPr>
              </m:dPr>
              <m:e>
                <m:r>
                  <w:rPr>
                    <w:rFonts w:ascii="Cambria Math" w:hAnsi="Cambria Math"/>
                  </w:rPr>
                  <m:t>r</m:t>
                </m:r>
                <m:r>
                  <m:rPr>
                    <m:sty m:val="p"/>
                  </m:rPr>
                  <w:rPr>
                    <w:rFonts w:ascii="Cambria Math" w:hAnsi="Cambria Math"/>
                  </w:rPr>
                  <m:t>,m,</m:t>
                </m:r>
                <m:r>
                  <w:rPr>
                    <w:rFonts w:ascii="Cambria Math" w:hAnsi="Cambria Math"/>
                  </w:rPr>
                  <m:t>h</m:t>
                </m:r>
              </m:e>
            </m:d>
          </m:sub>
        </m:sSub>
        <m:r>
          <m:rPr>
            <m:sty m:val="p"/>
          </m:rPr>
          <w:rPr>
            <w:rFonts w:ascii="Cambria Math" w:hAnsi="Cambria Math"/>
          </w:rPr>
          <m:t xml:space="preserve">= </m:t>
        </m:r>
        <m:sSub>
          <m:sSubPr>
            <m:ctrlPr>
              <w:rPr>
                <w:rFonts w:ascii="Cambria Math" w:hAnsi="Cambria Math"/>
                <w:szCs w:val="24"/>
              </w:rPr>
            </m:ctrlPr>
          </m:sSubPr>
          <m:e>
            <m:r>
              <w:rPr>
                <w:rFonts w:ascii="Cambria Math" w:hAnsi="Cambria Math"/>
              </w:rPr>
              <m:t>HO</m:t>
            </m:r>
          </m:e>
          <m:sub>
            <m:r>
              <w:rPr>
                <w:rFonts w:ascii="Cambria Math" w:hAnsi="Cambria Math"/>
              </w:rPr>
              <m:t>h</m:t>
            </m:r>
          </m:sub>
        </m:sSub>
        <m:r>
          <m:rPr>
            <m:sty m:val="p"/>
          </m:rPr>
          <w:rPr>
            <w:rFonts w:ascii="Cambria Math" w:hAnsi="Cambria Math"/>
          </w:rPr>
          <m:t xml:space="preserve">*max⁡(0.01, </m:t>
        </m:r>
        <m:sSub>
          <m:sSubPr>
            <m:ctrlPr>
              <w:rPr>
                <w:rFonts w:ascii="Cambria Math" w:hAnsi="Cambria Math"/>
                <w:szCs w:val="24"/>
              </w:rPr>
            </m:ctrlPr>
          </m:sSubPr>
          <m:e>
            <m:r>
              <w:rPr>
                <w:rFonts w:ascii="Cambria Math" w:hAnsi="Cambria Math"/>
              </w:rPr>
              <m:t>CDH</m:t>
            </m:r>
          </m:e>
          <m:sub>
            <m:r>
              <w:rPr>
                <w:rFonts w:ascii="Cambria Math" w:hAnsi="Cambria Math"/>
              </w:rPr>
              <m:t>r</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h</m:t>
            </m:r>
            <m:r>
              <m:rPr>
                <m:sty m:val="p"/>
              </m:rPr>
              <w:rPr>
                <w:rFonts w:ascii="Cambria Math" w:hAnsi="Cambria Math"/>
              </w:rPr>
              <m:t xml:space="preserve"> </m:t>
            </m:r>
          </m:sub>
        </m:sSub>
        <m:r>
          <m:rPr>
            <m:sty m:val="p"/>
          </m:rPr>
          <w:rPr>
            <w:rFonts w:ascii="Cambria Math" w:hAnsi="Cambria Math"/>
          </w:rPr>
          <m:t>*7)</m:t>
        </m:r>
      </m:oMath>
      <w:r w:rsidRPr="00FA4CD1">
        <w:tab/>
      </w:r>
      <w:r w:rsidRPr="00FA4CD1">
        <w:tab/>
      </w:r>
      <w:r w:rsidRPr="00FA4CD1">
        <w:tab/>
      </w:r>
      <w:r w:rsidRPr="00FA4CD1">
        <w:tab/>
        <w:t>(5)</w:t>
      </w:r>
    </w:p>
    <w:p w14:paraId="0ADBA012" w14:textId="77777777" w:rsidR="004D3C30" w:rsidRPr="00FA4CD1" w:rsidRDefault="004D3C30" w:rsidP="004D3C30">
      <w:pPr>
        <w:pStyle w:val="NoSpacing"/>
      </w:pPr>
    </w:p>
    <w:p w14:paraId="269882CB" w14:textId="77777777" w:rsidR="004D3C30" w:rsidRPr="00FA4CD1" w:rsidRDefault="004D3C30" w:rsidP="004D3C30">
      <w:pPr>
        <w:pStyle w:val="NoSpacing"/>
      </w:pPr>
      <w:r w:rsidRPr="00FA4CD1">
        <w:t>Where space cooling demand pattern varies per hour h, month m and region r for weekday and weekend, HO is the percentage of population in the residences per hour for weekday or weekend, CDH is the cooling degree hour varying for every month and region.</w:t>
      </w:r>
    </w:p>
    <w:p w14:paraId="43DE7EB0" w14:textId="77777777" w:rsidR="004D3C30" w:rsidRPr="00FA4CD1" w:rsidRDefault="004D3C30" w:rsidP="004D3C30"/>
    <w:p w14:paraId="49AEF0B7" w14:textId="77777777" w:rsidR="004D3C30" w:rsidRPr="00FA4CD1" w:rsidRDefault="004D3C30" w:rsidP="004D3C30">
      <w:r w:rsidRPr="00FA4CD1">
        <w:t xml:space="preserve">Figure 13 illustrates the monthly variation of cooling demand pattern for the USA distinguishing between weekend and working days. During July and August, the demand is as expected higher. Figure 14 shows the yearly average modelled pattern from the USA in comparison to the empirically-based pattern used for calibration </w:t>
      </w:r>
      <w:r w:rsidRPr="00FA4CD1">
        <w:fldChar w:fldCharType="begin" w:fldLock="1"/>
      </w:r>
      <w:r>
        <w:instrText>ADDIN CSL_CITATION { "citationItems" : [ { "id" : "ITEM-1", "itemData" : { "author" : [ { "dropping-particle" : "", "family" : "Cahill", "given" : "James M.", "non-dropping-particle" : "", "parse-names" : false, "suffix" : "" }, { "dropping-particle" : "", "family" : "Ritland", "given" : "Keith G.", "non-dropping-particle" : "", "parse-names" : false, "suffix" : "" }, { "dropping-particle" : "", "family" : "Lin-Kelly", "given" : "Wendy", "non-dropping-particle" : "", "parse-names" : false, "suffix" : "" } ], "id" : "ITEM-1", "issued" : { "date-parts" : [ [ "1992" ] ] }, "title" : "Description of electric energy use in commercial buildings in the Pacific Northwest: 1986-1992", "type" : "article-journal" }, "uris" : [ "http://www.mendeley.com/documents/?uuid=698dab6c-54c6-4089-96b6-c53dbd9ee14e", "http://www.mendeley.com/documents/?uuid=3d4bedfe-0c1d-47c3-b798-4a61f173ef86" ] } ], "mendeley" : { "formattedCitation" : "[26]", "plainTextFormattedCitation" : "[26]", "previouslyFormattedCitation" : "[25]" }, "properties" : { "noteIndex" : 0 }, "schema" : "https://github.com/citation-style-language/schema/raw/master/csl-citation.json" }</w:instrText>
      </w:r>
      <w:r w:rsidRPr="00FA4CD1">
        <w:fldChar w:fldCharType="separate"/>
      </w:r>
      <w:r w:rsidRPr="005C5708">
        <w:rPr>
          <w:noProof/>
        </w:rPr>
        <w:t>[26]</w:t>
      </w:r>
      <w:r w:rsidRPr="00FA4CD1">
        <w:fldChar w:fldCharType="end"/>
      </w:r>
      <w:r w:rsidRPr="00FA4CD1">
        <w:t xml:space="preserve">. </w:t>
      </w:r>
    </w:p>
    <w:p w14:paraId="575580F5" w14:textId="77777777" w:rsidR="004D3C30" w:rsidRPr="00FA4CD1" w:rsidRDefault="004D3C30" w:rsidP="004D3C30"/>
    <w:p w14:paraId="0641271A" w14:textId="77777777" w:rsidR="004D3C30" w:rsidRPr="00FA4CD1" w:rsidRDefault="004D3C30" w:rsidP="004D3C30">
      <w:pPr>
        <w:keepNext/>
      </w:pPr>
      <w:r w:rsidRPr="00FA4CD1">
        <w:rPr>
          <w:noProof/>
        </w:rPr>
        <w:drawing>
          <wp:inline distT="0" distB="0" distL="0" distR="0" wp14:anchorId="2D87C93D" wp14:editId="4D3FE7E0">
            <wp:extent cx="5665590" cy="1617260"/>
            <wp:effectExtent l="0" t="0" r="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3648" cy="1642397"/>
                    </a:xfrm>
                    <a:prstGeom prst="rect">
                      <a:avLst/>
                    </a:prstGeom>
                    <a:noFill/>
                  </pic:spPr>
                </pic:pic>
              </a:graphicData>
            </a:graphic>
          </wp:inline>
        </w:drawing>
      </w:r>
    </w:p>
    <w:p w14:paraId="0C85B9BC" w14:textId="77777777" w:rsidR="004D3C30" w:rsidRPr="00FA4CD1" w:rsidRDefault="004D3C30" w:rsidP="004D3C30">
      <w:pPr>
        <w:pStyle w:val="Caption"/>
        <w:rPr>
          <w:color w:val="auto"/>
        </w:rPr>
      </w:pPr>
      <w:r w:rsidRPr="00FA4CD1">
        <w:rPr>
          <w:color w:val="auto"/>
        </w:rPr>
        <w:t xml:space="preserve">Figure </w:t>
      </w:r>
      <w:r w:rsidRPr="00FA4CD1">
        <w:rPr>
          <w:noProof/>
          <w:color w:val="auto"/>
        </w:rPr>
        <w:fldChar w:fldCharType="begin"/>
      </w:r>
      <w:r w:rsidRPr="00FA4CD1">
        <w:rPr>
          <w:noProof/>
          <w:color w:val="auto"/>
        </w:rPr>
        <w:instrText xml:space="preserve"> SEQ Figure \* ARABIC </w:instrText>
      </w:r>
      <w:r w:rsidRPr="00FA4CD1">
        <w:rPr>
          <w:noProof/>
          <w:color w:val="auto"/>
        </w:rPr>
        <w:fldChar w:fldCharType="separate"/>
      </w:r>
      <w:r>
        <w:rPr>
          <w:noProof/>
          <w:color w:val="auto"/>
        </w:rPr>
        <w:t>18</w:t>
      </w:r>
      <w:r w:rsidRPr="00FA4CD1">
        <w:rPr>
          <w:noProof/>
          <w:color w:val="auto"/>
        </w:rPr>
        <w:fldChar w:fldCharType="end"/>
      </w:r>
      <w:r w:rsidRPr="00FA4CD1">
        <w:rPr>
          <w:color w:val="auto"/>
        </w:rPr>
        <w:t xml:space="preserve"> Monthly modelled variation of cooling day-pattern for Western Europe region.</w:t>
      </w:r>
    </w:p>
    <w:p w14:paraId="01331800" w14:textId="77777777" w:rsidR="004D3C30" w:rsidRPr="00FA4CD1" w:rsidRDefault="004D3C30" w:rsidP="004D3C30">
      <w:pPr>
        <w:pStyle w:val="NoSpacing"/>
      </w:pPr>
      <w:r w:rsidRPr="00FA4CD1">
        <w:rPr>
          <w:noProof/>
        </w:rPr>
        <w:lastRenderedPageBreak/>
        <w:drawing>
          <wp:inline distT="0" distB="0" distL="0" distR="0" wp14:anchorId="27AF577D" wp14:editId="0CBC2B75">
            <wp:extent cx="2879678" cy="1728843"/>
            <wp:effectExtent l="0" t="0" r="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91723" cy="1736075"/>
                    </a:xfrm>
                    <a:prstGeom prst="rect">
                      <a:avLst/>
                    </a:prstGeom>
                    <a:noFill/>
                  </pic:spPr>
                </pic:pic>
              </a:graphicData>
            </a:graphic>
          </wp:inline>
        </w:drawing>
      </w:r>
    </w:p>
    <w:p w14:paraId="202C5C0B" w14:textId="77777777" w:rsidR="004D3C30" w:rsidRPr="00FA4CD1" w:rsidRDefault="004D3C30" w:rsidP="004D3C30">
      <w:pPr>
        <w:pStyle w:val="Caption"/>
        <w:rPr>
          <w:color w:val="auto"/>
        </w:rPr>
      </w:pPr>
      <w:r w:rsidRPr="00FA4CD1">
        <w:rPr>
          <w:color w:val="auto"/>
        </w:rPr>
        <w:t xml:space="preserve">Figure </w:t>
      </w:r>
      <w:r w:rsidRPr="00FA4CD1">
        <w:rPr>
          <w:color w:val="auto"/>
        </w:rPr>
        <w:fldChar w:fldCharType="begin"/>
      </w:r>
      <w:r w:rsidRPr="00FA4CD1">
        <w:rPr>
          <w:noProof/>
          <w:color w:val="auto"/>
        </w:rPr>
        <w:instrText xml:space="preserve"> SEQ Figure \* ARABIC </w:instrText>
      </w:r>
      <w:r w:rsidRPr="00FA4CD1">
        <w:rPr>
          <w:color w:val="auto"/>
        </w:rPr>
        <w:fldChar w:fldCharType="separate"/>
      </w:r>
      <w:r>
        <w:rPr>
          <w:noProof/>
          <w:color w:val="auto"/>
        </w:rPr>
        <w:t>19</w:t>
      </w:r>
      <w:r w:rsidRPr="00FA4CD1">
        <w:rPr>
          <w:color w:val="auto"/>
        </w:rPr>
        <w:fldChar w:fldCharType="end"/>
      </w:r>
      <w:r w:rsidRPr="00FA4CD1">
        <w:rPr>
          <w:color w:val="auto"/>
        </w:rPr>
        <w:t xml:space="preserve"> Comparison of modelled average cooling demand pattern for USA with the average pattern from measured data for the same region </w:t>
      </w:r>
      <w:r w:rsidRPr="00FA4CD1">
        <w:rPr>
          <w:color w:val="auto"/>
        </w:rPr>
        <w:fldChar w:fldCharType="begin" w:fldLock="1"/>
      </w:r>
      <w:r>
        <w:rPr>
          <w:color w:val="auto"/>
        </w:rPr>
        <w:instrText>ADDIN CSL_CITATION { "citationItems" : [ { "id" : "ITEM-1", "itemData" : { "author" : [ { "dropping-particle" : "", "family" : "Cahill", "given" : "James M.", "non-dropping-particle" : "", "parse-names" : false, "suffix" : "" }, { "dropping-particle" : "", "family" : "Ritland", "given" : "Keith G.", "non-dropping-particle" : "", "parse-names" : false, "suffix" : "" }, { "dropping-particle" : "", "family" : "Lin-Kelly", "given" : "Wendy", "non-dropping-particle" : "", "parse-names" : false, "suffix" : "" } ], "id" : "ITEM-1", "issued" : { "date-parts" : [ [ "1992" ] ] }, "title" : "Description of electric energy use in commercial buildings in the Pacific Northwest: 1986-1992", "type" : "article-journal" }, "uris" : [ "http://www.mendeley.com/documents/?uuid=698dab6c-54c6-4089-96b6-c53dbd9ee14e", "http://www.mendeley.com/documents/?uuid=3d4bedfe-0c1d-47c3-b798-4a61f173ef86" ] } ], "mendeley" : { "formattedCitation" : "[26]", "plainTextFormattedCitation" : "[26]", "previouslyFormattedCitation" : "[25]" }, "properties" : { "noteIndex" : 0 }, "schema" : "https://github.com/citation-style-language/schema/raw/master/csl-citation.json" }</w:instrText>
      </w:r>
      <w:r w:rsidRPr="00FA4CD1">
        <w:rPr>
          <w:color w:val="auto"/>
        </w:rPr>
        <w:fldChar w:fldCharType="separate"/>
      </w:r>
      <w:r w:rsidRPr="005C5708">
        <w:rPr>
          <w:i w:val="0"/>
          <w:noProof/>
          <w:color w:val="auto"/>
        </w:rPr>
        <w:t>[26]</w:t>
      </w:r>
      <w:r w:rsidRPr="00FA4CD1">
        <w:rPr>
          <w:color w:val="auto"/>
        </w:rPr>
        <w:fldChar w:fldCharType="end"/>
      </w:r>
      <w:r w:rsidRPr="00FA4CD1">
        <w:rPr>
          <w:color w:val="auto"/>
        </w:rPr>
        <w:t>.</w:t>
      </w:r>
    </w:p>
    <w:p w14:paraId="60D3D3A2" w14:textId="77777777" w:rsidR="004D3C30" w:rsidRPr="00FA4CD1" w:rsidRDefault="004D3C30" w:rsidP="004D3C30"/>
    <w:p w14:paraId="396AD7B0" w14:textId="77777777" w:rsidR="004D3C30" w:rsidRPr="00FA4CD1" w:rsidRDefault="004D3C30" w:rsidP="004D3C30">
      <w:pPr>
        <w:pStyle w:val="Heading4"/>
      </w:pPr>
      <w:r w:rsidRPr="00FA4CD1">
        <w:t>6.2.2 Water heating for residential and service sector.</w:t>
      </w:r>
    </w:p>
    <w:p w14:paraId="52E15766" w14:textId="77777777" w:rsidR="004D3C30" w:rsidRPr="00FA4CD1" w:rsidRDefault="004D3C30" w:rsidP="004D3C30">
      <w:pPr>
        <w:pStyle w:val="NoSpacing"/>
      </w:pPr>
      <w:r w:rsidRPr="00FA4CD1">
        <w:t>Daily water heating electricity demand is mainly dependent on factors related to people</w:t>
      </w:r>
      <w:r>
        <w:t>'</w:t>
      </w:r>
      <w:r w:rsidRPr="00FA4CD1">
        <w:t xml:space="preserve">s behavior or service activities. Hence, an average water heating pattern for weekdays and weekend days derived from empirical data is implemented for both the residential and service sector. </w:t>
      </w:r>
      <w:r w:rsidRPr="00FA4CD1">
        <w:fldChar w:fldCharType="begin"/>
      </w:r>
      <w:r w:rsidRPr="00FA4CD1">
        <w:instrText xml:space="preserve"> REF _Ref48028618 \h </w:instrText>
      </w:r>
      <w:r w:rsidRPr="00FA4CD1">
        <w:fldChar w:fldCharType="separate"/>
      </w:r>
      <w:r w:rsidRPr="00FA4CD1">
        <w:t xml:space="preserve">Figure </w:t>
      </w:r>
      <w:r>
        <w:rPr>
          <w:noProof/>
        </w:rPr>
        <w:t>21</w:t>
      </w:r>
      <w:r w:rsidRPr="00FA4CD1">
        <w:fldChar w:fldCharType="end"/>
      </w:r>
      <w:r w:rsidRPr="00FA4CD1">
        <w:t xml:space="preserve"> illustrates the patterns and differences within weekday and weekend days. </w:t>
      </w:r>
    </w:p>
    <w:p w14:paraId="29E2C371" w14:textId="77777777" w:rsidR="004D3C30" w:rsidRPr="00FA4CD1" w:rsidRDefault="004D3C30" w:rsidP="004D3C30">
      <w:pPr>
        <w:pStyle w:val="NoSpacing"/>
      </w:pPr>
    </w:p>
    <w:p w14:paraId="7B70824A" w14:textId="77777777" w:rsidR="004D3C30" w:rsidRPr="00FA4CD1" w:rsidRDefault="004D3C30" w:rsidP="004D3C30">
      <w:pPr>
        <w:keepNext/>
      </w:pPr>
      <w:r w:rsidRPr="00FA4CD1">
        <w:rPr>
          <w:noProof/>
        </w:rPr>
        <w:drawing>
          <wp:inline distT="0" distB="0" distL="0" distR="0" wp14:anchorId="29DBE133" wp14:editId="735B361E">
            <wp:extent cx="5353930" cy="16065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91438" cy="1617805"/>
                    </a:xfrm>
                    <a:prstGeom prst="rect">
                      <a:avLst/>
                    </a:prstGeom>
                    <a:noFill/>
                  </pic:spPr>
                </pic:pic>
              </a:graphicData>
            </a:graphic>
          </wp:inline>
        </w:drawing>
      </w:r>
    </w:p>
    <w:p w14:paraId="26435296" w14:textId="77777777" w:rsidR="004D3C30" w:rsidRPr="00FA4CD1" w:rsidRDefault="004D3C30" w:rsidP="004D3C30">
      <w:pPr>
        <w:pStyle w:val="Caption"/>
        <w:rPr>
          <w:color w:val="auto"/>
        </w:rPr>
      </w:pPr>
      <w:r w:rsidRPr="00FA4CD1">
        <w:rPr>
          <w:color w:val="auto"/>
        </w:rPr>
        <w:t xml:space="preserve">Figure </w:t>
      </w:r>
      <w:r w:rsidRPr="00FA4CD1">
        <w:rPr>
          <w:noProof/>
          <w:color w:val="auto"/>
        </w:rPr>
        <w:fldChar w:fldCharType="begin"/>
      </w:r>
      <w:r w:rsidRPr="00FA4CD1">
        <w:rPr>
          <w:noProof/>
          <w:color w:val="auto"/>
        </w:rPr>
        <w:instrText xml:space="preserve"> SEQ Figure \* ARABIC </w:instrText>
      </w:r>
      <w:r w:rsidRPr="00FA4CD1">
        <w:rPr>
          <w:noProof/>
          <w:color w:val="auto"/>
        </w:rPr>
        <w:fldChar w:fldCharType="separate"/>
      </w:r>
      <w:r>
        <w:rPr>
          <w:noProof/>
          <w:color w:val="auto"/>
        </w:rPr>
        <w:t>20</w:t>
      </w:r>
      <w:r w:rsidRPr="00FA4CD1">
        <w:rPr>
          <w:noProof/>
          <w:color w:val="auto"/>
        </w:rPr>
        <w:fldChar w:fldCharType="end"/>
      </w:r>
      <w:r w:rsidRPr="00FA4CD1">
        <w:rPr>
          <w:color w:val="auto"/>
        </w:rPr>
        <w:t xml:space="preserve"> Weekday and weekend water heating hourly electricity demand pattern, left from residential sector and extracted from </w:t>
      </w:r>
      <w:r w:rsidRPr="00FA4CD1">
        <w:rPr>
          <w:noProof/>
          <w:color w:val="auto"/>
        </w:rPr>
        <w:t xml:space="preserve">Cahill et al., 1992, right for service sector an obtained from </w:t>
      </w:r>
      <w:r w:rsidRPr="00FA4CD1">
        <w:rPr>
          <w:noProof/>
          <w:color w:val="auto"/>
        </w:rPr>
        <w:fldChar w:fldCharType="begin" w:fldLock="1"/>
      </w:r>
      <w:r>
        <w:rPr>
          <w:noProof/>
          <w:color w:val="auto"/>
        </w:rPr>
        <w:instrText>ADDIN CSL_CITATION { "citationItems" : [ { "id" : "ITEM-1", "itemData" : { "URL" : "https://data.openei.org/submissions/153", "author" : [ { "dropping-particle" : "", "family" : "EERE", "given" : "", "non-dropping-particle" : "", "parse-names" : false, "suffix" : "" } ], "id" : "ITEM-1", "issued" : { "date-parts" : [ [ "2013" ] ] }, "title" : "Commercial and Residential Hourly Load Profiles for all TMY3 Locations in the United States - Datasets - Office of Energy Efficiency &amp; Renewable Energy", "type" : "webpage" }, "uris" : [ "http://www.mendeley.com/documents/?uuid=b8301576-dce7-4509-99cf-bb2fdd7f1a33", "http://www.mendeley.com/documents/?uuid=1f7aa268-18d7-3b58-b580-9609d4db7106" ] } ], "mendeley" : { "formattedCitation" : "[29]", "manualFormatting" : "EERE, 2013", "plainTextFormattedCitation" : "[29]", "previouslyFormattedCitation" : "[28]" }, "properties" : { "noteIndex" : 0 }, "schema" : "https://github.com/citation-style-language/schema/raw/master/csl-citation.json" }</w:instrText>
      </w:r>
      <w:r w:rsidRPr="00FA4CD1">
        <w:rPr>
          <w:noProof/>
          <w:color w:val="auto"/>
        </w:rPr>
        <w:fldChar w:fldCharType="separate"/>
      </w:r>
      <w:r w:rsidRPr="00FA4CD1">
        <w:rPr>
          <w:i w:val="0"/>
          <w:noProof/>
          <w:color w:val="auto"/>
        </w:rPr>
        <w:t>EERE, 2013</w:t>
      </w:r>
      <w:r w:rsidRPr="00FA4CD1">
        <w:rPr>
          <w:noProof/>
          <w:color w:val="auto"/>
        </w:rPr>
        <w:fldChar w:fldCharType="end"/>
      </w:r>
      <w:r w:rsidRPr="00FA4CD1">
        <w:rPr>
          <w:noProof/>
          <w:color w:val="auto"/>
        </w:rPr>
        <w:t xml:space="preserve"> </w:t>
      </w:r>
      <w:r w:rsidRPr="00FA4CD1">
        <w:rPr>
          <w:color w:val="auto"/>
        </w:rPr>
        <w:t>.</w:t>
      </w:r>
    </w:p>
    <w:p w14:paraId="7FC40826" w14:textId="77777777" w:rsidR="004D3C30" w:rsidRPr="00FA4CD1" w:rsidRDefault="004D3C30" w:rsidP="004D3C30">
      <w:pPr>
        <w:pStyle w:val="NoSpacing"/>
      </w:pPr>
      <w:r w:rsidRPr="00FA4CD1">
        <w:t xml:space="preserve">Seasonal variation for this end-use does depend on ambient temperature for which HDD was implemented as indicated in the equation below for the service sector (Equation 6) and residential sector (Equation 7). In </w:t>
      </w:r>
      <w:r w:rsidRPr="00FA4CD1">
        <w:fldChar w:fldCharType="begin"/>
      </w:r>
      <w:r w:rsidRPr="00FA4CD1">
        <w:instrText xml:space="preserve"> REF _Ref48028618 \h </w:instrText>
      </w:r>
      <w:r w:rsidRPr="00FA4CD1">
        <w:fldChar w:fldCharType="separate"/>
      </w:r>
      <w:r w:rsidRPr="00FA4CD1">
        <w:t xml:space="preserve">Figure </w:t>
      </w:r>
      <w:r>
        <w:rPr>
          <w:noProof/>
        </w:rPr>
        <w:t>21</w:t>
      </w:r>
      <w:r w:rsidRPr="00FA4CD1">
        <w:fldChar w:fldCharType="end"/>
      </w:r>
      <w:r w:rsidRPr="00FA4CD1">
        <w:t xml:space="preserve"> the difference between the modelled monthly pattern and the reference pattern is described for both sectors. </w:t>
      </w:r>
    </w:p>
    <w:p w14:paraId="1E799AD5" w14:textId="77777777" w:rsidR="004D3C30" w:rsidRPr="00FA4CD1" w:rsidRDefault="004D3C30" w:rsidP="004D3C30">
      <w:pPr>
        <w:pStyle w:val="NoSpacing"/>
      </w:pPr>
    </w:p>
    <w:p w14:paraId="3A35AF20" w14:textId="77777777" w:rsidR="004D3C30" w:rsidRPr="00FA4CD1" w:rsidRDefault="004D3C30" w:rsidP="004D3C30">
      <w:pPr>
        <w:keepNext/>
        <w:jc w:val="left"/>
        <w:rPr>
          <w:rFonts w:eastAsiaTheme="minorEastAsia"/>
        </w:rPr>
      </w:pPr>
      <m:oMath>
        <m:r>
          <w:rPr>
            <w:rFonts w:ascii="Cambria Math" w:hAnsi="Cambria Math"/>
            <w:sz w:val="24"/>
            <w:szCs w:val="24"/>
          </w:rPr>
          <m:t>WH</m:t>
        </m:r>
        <m:sSub>
          <m:sSubPr>
            <m:ctrlPr>
              <w:rPr>
                <w:rFonts w:ascii="Cambria Math" w:hAnsi="Cambria Math"/>
                <w:i/>
                <w:sz w:val="24"/>
                <w:szCs w:val="24"/>
              </w:rPr>
            </m:ctrlPr>
          </m:sSubPr>
          <m:e>
            <m:r>
              <w:rPr>
                <w:rFonts w:ascii="Cambria Math" w:hAnsi="Cambria Math"/>
                <w:sz w:val="24"/>
                <w:szCs w:val="24"/>
              </w:rPr>
              <m:t>service</m:t>
            </m:r>
          </m:e>
          <m:sub>
            <m:r>
              <w:rPr>
                <w:rFonts w:ascii="Cambria Math" w:hAnsi="Cambria Math"/>
                <w:sz w:val="24"/>
                <w:szCs w:val="24"/>
              </w:rPr>
              <m:t>month</m:t>
            </m:r>
          </m:sub>
        </m:sSub>
        <m:r>
          <w:rPr>
            <w:rFonts w:ascii="Cambria Math" w:hAnsi="Cambria Math"/>
            <w:sz w:val="24"/>
            <w:szCs w:val="24"/>
          </w:rPr>
          <m:t>=422+0.43*</m:t>
        </m:r>
        <m:sSub>
          <m:sSubPr>
            <m:ctrlPr>
              <w:rPr>
                <w:rFonts w:ascii="Cambria Math" w:hAnsi="Cambria Math"/>
                <w:i/>
                <w:sz w:val="24"/>
                <w:szCs w:val="24"/>
              </w:rPr>
            </m:ctrlPr>
          </m:sSubPr>
          <m:e>
            <m:r>
              <w:rPr>
                <w:rFonts w:ascii="Cambria Math" w:hAnsi="Cambria Math"/>
                <w:sz w:val="24"/>
                <w:szCs w:val="24"/>
              </w:rPr>
              <m:t>HDD</m:t>
            </m:r>
          </m:e>
          <m:sub>
            <m:r>
              <w:rPr>
                <w:rFonts w:ascii="Cambria Math" w:hAnsi="Cambria Math"/>
                <w:sz w:val="24"/>
                <w:szCs w:val="24"/>
              </w:rPr>
              <m:t>month</m:t>
            </m:r>
          </m:sub>
        </m:sSub>
      </m:oMath>
      <w:r w:rsidRPr="00FA4CD1">
        <w:rPr>
          <w:rFonts w:eastAsiaTheme="minorEastAsia"/>
        </w:rPr>
        <w:t xml:space="preserve"> </w:t>
      </w:r>
      <w:r w:rsidRPr="00FA4CD1">
        <w:rPr>
          <w:rFonts w:eastAsiaTheme="minorEastAsia"/>
        </w:rPr>
        <w:tab/>
      </w:r>
      <w:r w:rsidRPr="00FA4CD1">
        <w:rPr>
          <w:rFonts w:eastAsiaTheme="minorEastAsia"/>
        </w:rPr>
        <w:tab/>
      </w:r>
      <w:r w:rsidRPr="00FA4CD1">
        <w:rPr>
          <w:rFonts w:eastAsiaTheme="minorEastAsia"/>
        </w:rPr>
        <w:tab/>
      </w:r>
      <w:r w:rsidRPr="00FA4CD1">
        <w:rPr>
          <w:rFonts w:eastAsiaTheme="minorEastAsia"/>
        </w:rPr>
        <w:tab/>
      </w:r>
      <w:r w:rsidRPr="00FA4CD1">
        <w:rPr>
          <w:rFonts w:eastAsiaTheme="minorEastAsia"/>
        </w:rPr>
        <w:tab/>
      </w:r>
      <w:r w:rsidRPr="00FA4CD1">
        <w:rPr>
          <w:rFonts w:eastAsiaTheme="minorEastAsia"/>
        </w:rPr>
        <w:tab/>
        <w:t>(6)</w:t>
      </w:r>
    </w:p>
    <w:p w14:paraId="388C3EFC" w14:textId="77777777" w:rsidR="004D3C30" w:rsidRPr="00FA4CD1" w:rsidRDefault="004D3C30" w:rsidP="004D3C30">
      <w:pPr>
        <w:keepNext/>
        <w:jc w:val="left"/>
      </w:pPr>
      <m:oMath>
        <m:r>
          <w:rPr>
            <w:rFonts w:ascii="Cambria Math" w:hAnsi="Cambria Math"/>
            <w:sz w:val="24"/>
            <w:szCs w:val="24"/>
          </w:rPr>
          <m:t>WH</m:t>
        </m:r>
        <m:sSub>
          <m:sSubPr>
            <m:ctrlPr>
              <w:rPr>
                <w:rFonts w:ascii="Cambria Math" w:hAnsi="Cambria Math"/>
                <w:i/>
                <w:sz w:val="24"/>
                <w:szCs w:val="24"/>
              </w:rPr>
            </m:ctrlPr>
          </m:sSubPr>
          <m:e>
            <m:r>
              <w:rPr>
                <w:rFonts w:ascii="Cambria Math" w:hAnsi="Cambria Math"/>
                <w:sz w:val="24"/>
                <w:szCs w:val="24"/>
              </w:rPr>
              <m:t>residential</m:t>
            </m:r>
          </m:e>
          <m:sub>
            <m:r>
              <w:rPr>
                <w:rFonts w:ascii="Cambria Math" w:hAnsi="Cambria Math"/>
                <w:sz w:val="24"/>
                <w:szCs w:val="24"/>
              </w:rPr>
              <m:t>month</m:t>
            </m:r>
          </m:sub>
        </m:sSub>
        <m:r>
          <w:rPr>
            <w:rFonts w:ascii="Cambria Math" w:hAnsi="Cambria Math"/>
            <w:sz w:val="24"/>
            <w:szCs w:val="24"/>
          </w:rPr>
          <m:t>=791+0.5*</m:t>
        </m:r>
        <m:sSub>
          <m:sSubPr>
            <m:ctrlPr>
              <w:rPr>
                <w:rFonts w:ascii="Cambria Math" w:hAnsi="Cambria Math"/>
                <w:i/>
                <w:sz w:val="24"/>
                <w:szCs w:val="24"/>
              </w:rPr>
            </m:ctrlPr>
          </m:sSubPr>
          <m:e>
            <m:r>
              <w:rPr>
                <w:rFonts w:ascii="Cambria Math" w:hAnsi="Cambria Math"/>
                <w:sz w:val="24"/>
                <w:szCs w:val="24"/>
              </w:rPr>
              <m:t>HDD</m:t>
            </m:r>
          </m:e>
          <m:sub>
            <m:r>
              <w:rPr>
                <w:rFonts w:ascii="Cambria Math" w:hAnsi="Cambria Math"/>
                <w:sz w:val="24"/>
                <w:szCs w:val="24"/>
              </w:rPr>
              <m:t>month</m:t>
            </m:r>
          </m:sub>
        </m:sSub>
      </m:oMath>
      <w:r w:rsidRPr="00FA4CD1">
        <w:rPr>
          <w:rFonts w:eastAsiaTheme="minorEastAsia"/>
        </w:rPr>
        <w:tab/>
      </w:r>
      <w:r w:rsidRPr="00FA4CD1">
        <w:rPr>
          <w:rFonts w:eastAsiaTheme="minorEastAsia"/>
        </w:rPr>
        <w:tab/>
      </w:r>
      <w:r w:rsidRPr="00FA4CD1">
        <w:rPr>
          <w:rFonts w:eastAsiaTheme="minorEastAsia"/>
        </w:rPr>
        <w:tab/>
      </w:r>
      <w:r w:rsidRPr="00FA4CD1">
        <w:rPr>
          <w:rFonts w:eastAsiaTheme="minorEastAsia"/>
        </w:rPr>
        <w:tab/>
      </w:r>
      <w:r w:rsidRPr="00FA4CD1">
        <w:rPr>
          <w:rFonts w:eastAsiaTheme="minorEastAsia"/>
        </w:rPr>
        <w:tab/>
      </w:r>
      <w:r w:rsidRPr="00FA4CD1">
        <w:rPr>
          <w:rFonts w:eastAsiaTheme="minorEastAsia"/>
        </w:rPr>
        <w:tab/>
        <w:t>(7)</w:t>
      </w:r>
    </w:p>
    <w:p w14:paraId="775913A6" w14:textId="77777777" w:rsidR="004D3C30" w:rsidRPr="00FA4CD1" w:rsidRDefault="004D3C30" w:rsidP="004D3C30">
      <w:pPr>
        <w:pStyle w:val="NoSpacing"/>
      </w:pPr>
    </w:p>
    <w:p w14:paraId="2F53B9CC" w14:textId="77777777" w:rsidR="004D3C30" w:rsidRPr="00FA4CD1" w:rsidRDefault="004D3C30" w:rsidP="004D3C30">
      <w:pPr>
        <w:pStyle w:val="NoSpacing"/>
      </w:pPr>
      <w:r w:rsidRPr="00FA4CD1">
        <w:rPr>
          <w:noProof/>
        </w:rPr>
        <w:lastRenderedPageBreak/>
        <w:drawing>
          <wp:inline distT="0" distB="0" distL="0" distR="0" wp14:anchorId="0D381FE0" wp14:editId="3D2B9B55">
            <wp:extent cx="6008073" cy="1807451"/>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41604" cy="1817538"/>
                    </a:xfrm>
                    <a:prstGeom prst="rect">
                      <a:avLst/>
                    </a:prstGeom>
                    <a:noFill/>
                  </pic:spPr>
                </pic:pic>
              </a:graphicData>
            </a:graphic>
          </wp:inline>
        </w:drawing>
      </w:r>
    </w:p>
    <w:p w14:paraId="3A0B8F91" w14:textId="77777777" w:rsidR="004D3C30" w:rsidRPr="00FA4CD1" w:rsidRDefault="004D3C30" w:rsidP="004D3C30">
      <w:pPr>
        <w:pStyle w:val="Caption"/>
        <w:rPr>
          <w:color w:val="auto"/>
        </w:rPr>
      </w:pPr>
      <w:bookmarkStart w:id="13" w:name="_Ref48028618"/>
      <w:r w:rsidRPr="00FA4CD1">
        <w:rPr>
          <w:color w:val="auto"/>
        </w:rPr>
        <w:t xml:space="preserve">Figure </w:t>
      </w:r>
      <w:r w:rsidRPr="00FA4CD1">
        <w:rPr>
          <w:noProof/>
          <w:color w:val="auto"/>
        </w:rPr>
        <w:fldChar w:fldCharType="begin"/>
      </w:r>
      <w:r w:rsidRPr="00FA4CD1">
        <w:rPr>
          <w:noProof/>
          <w:color w:val="auto"/>
        </w:rPr>
        <w:instrText xml:space="preserve"> SEQ Figure \* ARABIC </w:instrText>
      </w:r>
      <w:r w:rsidRPr="00FA4CD1">
        <w:rPr>
          <w:noProof/>
          <w:color w:val="auto"/>
        </w:rPr>
        <w:fldChar w:fldCharType="separate"/>
      </w:r>
      <w:r>
        <w:rPr>
          <w:noProof/>
          <w:color w:val="auto"/>
        </w:rPr>
        <w:t>21</w:t>
      </w:r>
      <w:r w:rsidRPr="00FA4CD1">
        <w:rPr>
          <w:noProof/>
          <w:color w:val="auto"/>
        </w:rPr>
        <w:fldChar w:fldCharType="end"/>
      </w:r>
      <w:bookmarkEnd w:id="13"/>
      <w:r w:rsidRPr="00FA4CD1">
        <w:rPr>
          <w:color w:val="auto"/>
        </w:rPr>
        <w:t xml:space="preserve"> Comparison of reference and modelled data for hot water demand. Residential hot water demand (left) modelled data is compared to an empirically-based average pattern from USA extracted from  </w:t>
      </w:r>
      <w:r w:rsidRPr="00FA4CD1">
        <w:rPr>
          <w:color w:val="auto"/>
        </w:rPr>
        <w:fldChar w:fldCharType="begin" w:fldLock="1"/>
      </w:r>
      <w:r>
        <w:rPr>
          <w:color w:val="auto"/>
        </w:rPr>
        <w:instrText>ADDIN CSL_CITATION { "citationItems" : [ { "id" : "ITEM-1", "itemData" : { "author" : [ { "dropping-particle" : "", "family" : "Cahill", "given" : "James M.", "non-dropping-particle" : "", "parse-names" : false, "suffix" : "" }, { "dropping-particle" : "", "family" : "Ritland", "given" : "Keith G.", "non-dropping-particle" : "", "parse-names" : false, "suffix" : "" }, { "dropping-particle" : "", "family" : "Lin-Kelly", "given" : "Wendy", "non-dropping-particle" : "", "parse-names" : false, "suffix" : "" } ], "id" : "ITEM-1", "issued" : { "date-parts" : [ [ "1992" ] ] }, "title" : "Description of electric energy use in commercial buildings in the Pacific Northwest: 1986-1992", "type" : "article-journal" }, "uris" : [ "http://www.mendeley.com/documents/?uuid=698dab6c-54c6-4089-96b6-c53dbd9ee14e", "http://www.mendeley.com/documents/?uuid=3d4bedfe-0c1d-47c3-b798-4a61f173ef86" ] } ], "mendeley" : { "formattedCitation" : "[26]", "manualFormatting" : "Cahill et al., 1992", "plainTextFormattedCitation" : "[26]", "previouslyFormattedCitation" : "[25]" }, "properties" : { "noteIndex" : 0 }, "schema" : "https://github.com/citation-style-language/schema/raw/master/csl-citation.json" }</w:instrText>
      </w:r>
      <w:r w:rsidRPr="00FA4CD1">
        <w:rPr>
          <w:color w:val="auto"/>
        </w:rPr>
        <w:fldChar w:fldCharType="separate"/>
      </w:r>
      <w:r w:rsidRPr="00FA4CD1">
        <w:rPr>
          <w:i w:val="0"/>
          <w:noProof/>
          <w:color w:val="auto"/>
        </w:rPr>
        <w:t>Cahill et al., 1992</w:t>
      </w:r>
      <w:r w:rsidRPr="00FA4CD1">
        <w:rPr>
          <w:color w:val="auto"/>
        </w:rPr>
        <w:fldChar w:fldCharType="end"/>
      </w:r>
      <w:r w:rsidRPr="00FA4CD1">
        <w:rPr>
          <w:color w:val="auto"/>
        </w:rPr>
        <w:t xml:space="preserve">. Hot water demand for service sector (right) modelled data is compared to the USA reference pattern extracted from </w:t>
      </w:r>
      <w:r w:rsidRPr="00FA4CD1">
        <w:rPr>
          <w:color w:val="auto"/>
        </w:rPr>
        <w:fldChar w:fldCharType="begin" w:fldLock="1"/>
      </w:r>
      <w:r>
        <w:rPr>
          <w:color w:val="auto"/>
        </w:rPr>
        <w:instrText>ADDIN CSL_CITATION { "citationItems" : [ { "id" : "ITEM-1", "itemData" : { "URL" : "https://data.openei.org/submissions/153", "author" : [ { "dropping-particle" : "", "family" : "EERE", "given" : "", "non-dropping-particle" : "", "parse-names" : false, "suffix" : "" } ], "id" : "ITEM-1", "issued" : { "date-parts" : [ [ "2013" ] ] }, "title" : "Commercial and Residential Hourly Load Profiles for all TMY3 Locations in the United States - Datasets - Office of Energy Efficiency &amp; Renewable Energy", "type" : "webpage" }, "uris" : [ "http://www.mendeley.com/documents/?uuid=b8301576-dce7-4509-99cf-bb2fdd7f1a33", "http://www.mendeley.com/documents/?uuid=1f7aa268-18d7-3b58-b580-9609d4db7106" ] } ], "mendeley" : { "formattedCitation" : "[29]", "manualFormatting" : "EERE, 2013", "plainTextFormattedCitation" : "[29]", "previouslyFormattedCitation" : "[28]" }, "properties" : { "noteIndex" : 0 }, "schema" : "https://github.com/citation-style-language/schema/raw/master/csl-citation.json" }</w:instrText>
      </w:r>
      <w:r w:rsidRPr="00FA4CD1">
        <w:rPr>
          <w:color w:val="auto"/>
        </w:rPr>
        <w:fldChar w:fldCharType="separate"/>
      </w:r>
      <w:r w:rsidRPr="00FA4CD1">
        <w:rPr>
          <w:i w:val="0"/>
          <w:noProof/>
          <w:color w:val="auto"/>
        </w:rPr>
        <w:t>EERE, 2013</w:t>
      </w:r>
      <w:r w:rsidRPr="00FA4CD1">
        <w:rPr>
          <w:color w:val="auto"/>
        </w:rPr>
        <w:fldChar w:fldCharType="end"/>
      </w:r>
    </w:p>
    <w:p w14:paraId="688F79F3" w14:textId="77777777" w:rsidR="004D3C30" w:rsidRPr="00FA4CD1" w:rsidRDefault="004D3C30" w:rsidP="004D3C30"/>
    <w:p w14:paraId="63465C08" w14:textId="77777777" w:rsidR="004D3C30" w:rsidRPr="00FA4CD1" w:rsidRDefault="004D3C30" w:rsidP="004D3C30">
      <w:pPr>
        <w:pStyle w:val="Heading4"/>
      </w:pPr>
      <w:r w:rsidRPr="00FA4CD1">
        <w:t>6.2.3 Service sector</w:t>
      </w:r>
    </w:p>
    <w:p w14:paraId="1D45894F" w14:textId="77777777" w:rsidR="004D3C30" w:rsidRPr="00FA4CD1" w:rsidRDefault="004D3C30" w:rsidP="004D3C30">
      <w:pPr>
        <w:pStyle w:val="Heading5"/>
        <w:rPr>
          <w:color w:val="auto"/>
        </w:rPr>
      </w:pPr>
      <w:r w:rsidRPr="00FA4CD1">
        <w:rPr>
          <w:color w:val="auto"/>
        </w:rPr>
        <w:t xml:space="preserve">Lighting </w:t>
      </w:r>
    </w:p>
    <w:p w14:paraId="0FB14C7B" w14:textId="77777777" w:rsidR="004D3C30" w:rsidRPr="00FA4CD1" w:rsidRDefault="004D3C30" w:rsidP="004D3C30">
      <w:r w:rsidRPr="00FA4CD1">
        <w:t>According to studies made of lighting demand in office buildings, there is no relation between irradiance level and lighting hourly pattern while it mainly depends on people</w:t>
      </w:r>
      <w:r>
        <w:t>'</w:t>
      </w:r>
      <w:r w:rsidRPr="00FA4CD1">
        <w:t xml:space="preserve">s behavior and building occupancy profile </w:t>
      </w:r>
      <w:r w:rsidRPr="00FA4CD1">
        <w:fldChar w:fldCharType="begin" w:fldLock="1"/>
      </w:r>
      <w:r>
        <w:instrText>ADDIN CSL_CITATION { "citationItems" : [ { "id" : "ITEM-1", "itemData" : { "DOI" : "10.1016/j.enbuild.2011.10.034", "ISSN" : "03787788", "abstract" : "Lighting is one of the largest energy users in artificially lit buildings. In this context, daylighting strategies that potentially reduce the needs of artificial lighting have been highlighted. However, they have not always materialized in practice, which is mainly due to the lack of understanding of occupant perception and behaviour of natural and artificial lighting systems. This study reports survey results from a monitoring campaign of four offices in Korea, which was conducted from February to June 2010 with an aim to reveal occupancy patterns, occupant use of lighting systems, and resulting lighting energy use. The results indicate that there are no statistically significant relationships between external illuminance and lighting use patterns, but there is a clear time of day effects (i.e. a strong tendency of turning on lighting on worker's first arrival in the morning). It has been found that the application of automatic dimming control for lighting with a design illuminance of 500 lx demands to the field studied offices can reduce lighting energy consumption by up to 43%. The study also shows that a change in occupancy patterns observed in this study leads to an increase in lighting energy use by up to 50%. \u00a9 2011 Elsevier B.V. All rights reserved.", "author" : [ { "dropping-particle" : "", "family" : "Yun", "given" : "Geun Young", "non-dropping-particle" : "", "parse-names" : false, "suffix" : "" }, { "dropping-particle" : "", "family" : "Kim", "given" : "Hyoin", "non-dropping-particle" : "", "parse-names" : false, "suffix" : "" }, { "dropping-particle" : "", "family" : "Kim", "given" : "Jeong Tai", "non-dropping-particle" : "", "parse-names" : false, "suffix" : "" } ], "container-title" : "Energy and Buildings", "id" : "ITEM-1", "issued" : { "date-parts" : [ [ "2012", "3" ] ] }, "page" : "152-158", "publisher" : "Elsevier", "title" : "Effects of occupancy and lighting use patterns on lighting energy consumption", "type" : "paper-conference", "volume" : "46" }, "uris" : [ "http://www.mendeley.com/documents/?uuid=842392fe-9e79-4357-ab97-031c8e5a59f6", "http://www.mendeley.com/documents/?uuid=221bad3f-4239-3fda-b44d-3fa868d73b98" ] }, { "id" : "ITEM-2", "itemData" : { "DOI" : "10.1016/j.enbuild.2014.09.071", "ISSN" : "03787788", "abstract" : "Lighting consumes about 20% to 40% of the total electricity use in large office buildings in China. Commonly in building simulations, static time schedules for typical weekdays, weekends and holidays are assumed to represent the dynamics of lighting energy use in buildings. This approach does not address the stochastic nature of lighting energy use, which can be influenced by occupant behavior in buildings. This study analyzes the main characteristics of lighting energy use over various timescales, based on the statistical analysis of measured lighting energy use data from 15 large office buildings in Beijing and Hong Kong. It was found that in these large office buildings, the 24-hourly variation in lighting energy use was mainly driven by the schedules of the building occupants. Outdoor illuminance levels had little impact on lighting energy use due to the lack of automatic daylighting controls (an effective retrofit measure to reduce lighting energy use) and the relatively small perimeter area exposed to natural daylight. A stochastic lighting energy use model for large office buildings was further developed to represent diverse occupant activities, at six different time periods throughout a day, and also the annual distribution of lighting power across these periods. The model was verified using measured lighting energy use from the 15 buildings. The developed stochastic lighting model can generate more accurate lighting schedules for use in building energy simulations, improving the simulation accuracy of lighting energy use in real buildings.", "author" : [ { "dropping-particle" : "", "family" : "Zhou", "given" : "Xin", "non-dropping-particle" : "", "parse-names" : false, "suffix" : "" }, { "dropping-particle" : "", "family" : "Yan", "given" : "Da", "non-dropping-particle" : "", "parse-names" : false, "suffix" : "" }, { "dropping-particle" : "", "family" : "Hong", "given" : "Tianzhen", "non-dropping-particle" : "", "parse-names" : false, "suffix" : "" }, { "dropping-particle" : "", "family" : "Ren", "given" : "Xiaoxin", "non-dropping-particle" : "", "parse-names" : false, "suffix" : "" } ], "container-title" : "Energy and Buildings", "id" : "ITEM-2", "issued" : { "date-parts" : [ [ "2015", "1" ] ] }, "page" : "275-287", "publisher" : "Elsevier Ltd", "title" : "Data analysis and stochastic modeling of lighting energy use in large office buildings in China", "type" : "article-journal", "volume" : "86" }, "uris" : [ "http://www.mendeley.com/documents/?uuid=d90be8ae-6f82-4226-9a5b-020e0c48e26c", "http://www.mendeley.com/documents/?uuid=c198d5cc-1bf7-32e2-9643-88ff5a283b71", "http://www.mendeley.com/documents/?uuid=070c48f0-28b9-4f71-b3f0-9bb75770a75a" ] } ], "mendeley" : { "formattedCitation" : "[57,58]", "plainTextFormattedCitation" : "[57,58]", "previouslyFormattedCitation" : "[56,57]" }, "properties" : { "noteIndex" : 0 }, "schema" : "https://github.com/citation-style-language/schema/raw/master/csl-citation.json" }</w:instrText>
      </w:r>
      <w:r w:rsidRPr="00FA4CD1">
        <w:fldChar w:fldCharType="separate"/>
      </w:r>
      <w:r w:rsidRPr="005C5708">
        <w:rPr>
          <w:noProof/>
        </w:rPr>
        <w:t>[57,58]</w:t>
      </w:r>
      <w:r w:rsidRPr="00FA4CD1">
        <w:fldChar w:fldCharType="end"/>
      </w:r>
      <w:r w:rsidRPr="00FA4CD1">
        <w:t xml:space="preserve">. Therefore, an average pattern of lighting demand for weekdays and weekend days have been implemented as illustrated in </w:t>
      </w:r>
      <w:r w:rsidRPr="00FA4CD1">
        <w:fldChar w:fldCharType="begin"/>
      </w:r>
      <w:r w:rsidRPr="00FA4CD1">
        <w:instrText xml:space="preserve"> REF _Ref48894555 \h </w:instrText>
      </w:r>
      <w:r w:rsidRPr="00FA4CD1">
        <w:fldChar w:fldCharType="separate"/>
      </w:r>
      <w:r w:rsidRPr="00FA4CD1">
        <w:t xml:space="preserve">Figure </w:t>
      </w:r>
      <w:r>
        <w:rPr>
          <w:noProof/>
        </w:rPr>
        <w:t>22</w:t>
      </w:r>
      <w:r w:rsidRPr="00FA4CD1">
        <w:fldChar w:fldCharType="end"/>
      </w:r>
      <w:r w:rsidRPr="00FA4CD1">
        <w:t xml:space="preserve">. In relation to seasonal variation, according to the hourly reference data from USA </w:t>
      </w:r>
      <w:r w:rsidRPr="00FA4CD1">
        <w:fldChar w:fldCharType="begin" w:fldLock="1"/>
      </w:r>
      <w:r>
        <w:instrText>ADDIN CSL_CITATION { "citationItems" : [ { "id" : "ITEM-1", "itemData" : { "URL" : "https://data.openei.org/submissions/153", "author" : [ { "dropping-particle" : "", "family" : "EERE", "given" : "", "non-dropping-particle" : "", "parse-names" : false, "suffix" : "" } ], "id" : "ITEM-1", "issued" : { "date-parts" : [ [ "2013" ] ] }, "title" : "Commercial and Residential Hourly Load Profiles for all TMY3 Locations in the United States - Datasets - Office of Energy Efficiency &amp; Renewable Energy", "type" : "webpage" }, "uris" : [ "http://www.mendeley.com/documents/?uuid=b8301576-dce7-4509-99cf-bb2fdd7f1a33", "http://www.mendeley.com/documents/?uuid=1f7aa268-18d7-3b58-b580-9609d4db7106" ] } ], "mendeley" : { "formattedCitation" : "[29]", "plainTextFormattedCitation" : "[29]", "previouslyFormattedCitation" : "[28]" }, "properties" : { "noteIndex" : 0 }, "schema" : "https://github.com/citation-style-language/schema/raw/master/csl-citation.json" }</w:instrText>
      </w:r>
      <w:r w:rsidRPr="00FA4CD1">
        <w:fldChar w:fldCharType="separate"/>
      </w:r>
      <w:r w:rsidRPr="005C5708">
        <w:rPr>
          <w:noProof/>
        </w:rPr>
        <w:t>[29]</w:t>
      </w:r>
      <w:r w:rsidRPr="00FA4CD1">
        <w:fldChar w:fldCharType="end"/>
      </w:r>
      <w:r w:rsidRPr="00FA4CD1">
        <w:t xml:space="preserve">, there is a lower demand during summer months than during winter months which indicates a dependence on monthly daylength variation. The Equation 8 was formulated for modelling the monthly demand. A comparison of the modelled monthly variation and the reference data used from USA is illustrated in </w:t>
      </w:r>
      <w:r w:rsidRPr="00FA4CD1">
        <w:fldChar w:fldCharType="begin"/>
      </w:r>
      <w:r w:rsidRPr="00FA4CD1">
        <w:instrText xml:space="preserve"> REF _Ref48895459 \h </w:instrText>
      </w:r>
      <w:r w:rsidRPr="00FA4CD1">
        <w:fldChar w:fldCharType="separate"/>
      </w:r>
      <w:r w:rsidRPr="00FA4CD1">
        <w:t xml:space="preserve">Figure </w:t>
      </w:r>
      <w:r>
        <w:rPr>
          <w:noProof/>
        </w:rPr>
        <w:t>23</w:t>
      </w:r>
      <w:r w:rsidRPr="00FA4CD1">
        <w:fldChar w:fldCharType="end"/>
      </w:r>
      <w:r w:rsidRPr="00FA4CD1">
        <w:t xml:space="preserve">.  </w:t>
      </w:r>
    </w:p>
    <w:p w14:paraId="1FCFC7AD" w14:textId="77777777" w:rsidR="004D3C30" w:rsidRPr="00FA4CD1" w:rsidRDefault="004D3C30" w:rsidP="004D3C30">
      <w:pPr>
        <w:keepNext/>
        <w:jc w:val="left"/>
      </w:pPr>
      <w:bookmarkStart w:id="14" w:name="_Hlk57655698"/>
      <m:oMath>
        <m:r>
          <w:rPr>
            <w:rFonts w:ascii="Cambria Math" w:hAnsi="Cambria Math"/>
            <w:sz w:val="24"/>
            <w:szCs w:val="24"/>
          </w:rPr>
          <m:t>Lightin</m:t>
        </m:r>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month</m:t>
            </m:r>
          </m:sub>
        </m:sSub>
        <m:r>
          <w:rPr>
            <w:rFonts w:ascii="Cambria Math" w:hAnsi="Cambria Math"/>
            <w:sz w:val="24"/>
            <w:szCs w:val="24"/>
          </w:rPr>
          <m:t>=0.83+1.52*</m:t>
        </m:r>
        <m:sSub>
          <m:sSubPr>
            <m:ctrlPr>
              <w:rPr>
                <w:rFonts w:ascii="Cambria Math" w:hAnsi="Cambria Math"/>
                <w:i/>
                <w:sz w:val="24"/>
                <w:szCs w:val="24"/>
              </w:rPr>
            </m:ctrlPr>
          </m:sSubPr>
          <m:e>
            <m:r>
              <w:rPr>
                <w:rFonts w:ascii="Cambria Math" w:hAnsi="Cambria Math"/>
                <w:sz w:val="24"/>
                <w:szCs w:val="24"/>
              </w:rPr>
              <m:t>(1/Daylength</m:t>
            </m:r>
          </m:e>
          <m:sub>
            <m:r>
              <w:rPr>
                <w:rFonts w:ascii="Cambria Math" w:hAnsi="Cambria Math"/>
                <w:sz w:val="24"/>
                <w:szCs w:val="24"/>
              </w:rPr>
              <m:t>month</m:t>
            </m:r>
          </m:sub>
        </m:sSub>
        <m:r>
          <w:rPr>
            <w:rFonts w:ascii="Cambria Math" w:hAnsi="Cambria Math"/>
            <w:sz w:val="24"/>
            <w:szCs w:val="24"/>
          </w:rPr>
          <m:t>)</m:t>
        </m:r>
      </m:oMath>
      <w:bookmarkEnd w:id="14"/>
      <w:r w:rsidRPr="00FA4CD1">
        <w:rPr>
          <w:rFonts w:eastAsiaTheme="minorEastAsia"/>
        </w:rPr>
        <w:tab/>
      </w:r>
      <w:r w:rsidRPr="00FA4CD1">
        <w:rPr>
          <w:rFonts w:eastAsiaTheme="minorEastAsia"/>
        </w:rPr>
        <w:tab/>
      </w:r>
      <w:r w:rsidRPr="00FA4CD1">
        <w:rPr>
          <w:rFonts w:eastAsiaTheme="minorEastAsia"/>
        </w:rPr>
        <w:tab/>
      </w:r>
      <w:r w:rsidRPr="00FA4CD1">
        <w:rPr>
          <w:rFonts w:eastAsiaTheme="minorEastAsia"/>
        </w:rPr>
        <w:tab/>
      </w:r>
      <w:r w:rsidRPr="00FA4CD1">
        <w:rPr>
          <w:rFonts w:eastAsiaTheme="minorEastAsia"/>
        </w:rPr>
        <w:tab/>
        <w:t>(8)</w:t>
      </w:r>
    </w:p>
    <w:p w14:paraId="012C0C25" w14:textId="77777777" w:rsidR="004D3C30" w:rsidRPr="00FA4CD1" w:rsidRDefault="004D3C30" w:rsidP="004D3C30"/>
    <w:p w14:paraId="11DAA82F" w14:textId="77777777" w:rsidR="004D3C30" w:rsidRPr="00FA4CD1" w:rsidRDefault="004D3C30" w:rsidP="004D3C30">
      <w:pPr>
        <w:keepNext/>
      </w:pPr>
      <w:r w:rsidRPr="00FA4CD1">
        <w:rPr>
          <w:noProof/>
          <w:lang w:eastAsia="en-GB"/>
        </w:rPr>
        <w:drawing>
          <wp:inline distT="0" distB="0" distL="0" distR="0" wp14:anchorId="4CF2E63E" wp14:editId="1D77B49D">
            <wp:extent cx="3244132" cy="18744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51959" cy="1878937"/>
                    </a:xfrm>
                    <a:prstGeom prst="rect">
                      <a:avLst/>
                    </a:prstGeom>
                    <a:noFill/>
                  </pic:spPr>
                </pic:pic>
              </a:graphicData>
            </a:graphic>
          </wp:inline>
        </w:drawing>
      </w:r>
    </w:p>
    <w:p w14:paraId="0C72C428" w14:textId="77777777" w:rsidR="004D3C30" w:rsidRPr="00FA4CD1" w:rsidRDefault="004D3C30" w:rsidP="004D3C30">
      <w:pPr>
        <w:pStyle w:val="Caption"/>
        <w:rPr>
          <w:color w:val="auto"/>
        </w:rPr>
      </w:pPr>
      <w:bookmarkStart w:id="15" w:name="_Ref48894555"/>
      <w:r w:rsidRPr="00FA4CD1">
        <w:rPr>
          <w:color w:val="auto"/>
        </w:rPr>
        <w:t xml:space="preserve">Figure </w:t>
      </w:r>
      <w:r w:rsidRPr="00FA4CD1">
        <w:rPr>
          <w:noProof/>
          <w:color w:val="auto"/>
        </w:rPr>
        <w:fldChar w:fldCharType="begin"/>
      </w:r>
      <w:r w:rsidRPr="00FA4CD1">
        <w:rPr>
          <w:noProof/>
          <w:color w:val="auto"/>
        </w:rPr>
        <w:instrText xml:space="preserve"> SEQ Figure \* ARABIC </w:instrText>
      </w:r>
      <w:r w:rsidRPr="00FA4CD1">
        <w:rPr>
          <w:noProof/>
          <w:color w:val="auto"/>
        </w:rPr>
        <w:fldChar w:fldCharType="separate"/>
      </w:r>
      <w:r>
        <w:rPr>
          <w:noProof/>
          <w:color w:val="auto"/>
        </w:rPr>
        <w:t>22</w:t>
      </w:r>
      <w:r w:rsidRPr="00FA4CD1">
        <w:rPr>
          <w:noProof/>
          <w:color w:val="auto"/>
        </w:rPr>
        <w:fldChar w:fldCharType="end"/>
      </w:r>
      <w:bookmarkEnd w:id="15"/>
      <w:r w:rsidRPr="00FA4CD1">
        <w:rPr>
          <w:color w:val="auto"/>
        </w:rPr>
        <w:t xml:space="preserve"> Weekday and weekend lighting  hourly electricity demand pattern  </w:t>
      </w:r>
      <w:r w:rsidRPr="00FA4CD1">
        <w:rPr>
          <w:color w:val="auto"/>
        </w:rPr>
        <w:fldChar w:fldCharType="begin" w:fldLock="1"/>
      </w:r>
      <w:r>
        <w:rPr>
          <w:color w:val="auto"/>
        </w:rPr>
        <w:instrText>ADDIN CSL_CITATION { "citationItems" : [ { "id" : "ITEM-1", "itemData" : { "URL" : "https://data.openei.org/submissions/153", "author" : [ { "dropping-particle" : "", "family" : "EERE", "given" : "", "non-dropping-particle" : "", "parse-names" : false, "suffix" : "" } ], "id" : "ITEM-1", "issued" : { "date-parts" : [ [ "2013" ] ] }, "title" : "Commercial and Residential Hourly Load Profiles for all TMY3 Locations in the United States - Datasets - Office of Energy Efficiency &amp; Renewable Energy", "type" : "webpage" }, "uris" : [ "http://www.mendeley.com/documents/?uuid=b8301576-dce7-4509-99cf-bb2fdd7f1a33", "http://www.mendeley.com/documents/?uuid=1f7aa268-18d7-3b58-b580-9609d4db7106" ] } ], "mendeley" : { "formattedCitation" : "[29]", "plainTextFormattedCitation" : "[29]", "previouslyFormattedCitation" : "[28]" }, "properties" : { "noteIndex" : 0 }, "schema" : "https://github.com/citation-style-language/schema/raw/master/csl-citation.json" }</w:instrText>
      </w:r>
      <w:r w:rsidRPr="00FA4CD1">
        <w:rPr>
          <w:color w:val="auto"/>
        </w:rPr>
        <w:fldChar w:fldCharType="separate"/>
      </w:r>
      <w:r w:rsidRPr="005C5708">
        <w:rPr>
          <w:i w:val="0"/>
          <w:noProof/>
          <w:color w:val="auto"/>
        </w:rPr>
        <w:t>[29]</w:t>
      </w:r>
      <w:r w:rsidRPr="00FA4CD1">
        <w:rPr>
          <w:color w:val="auto"/>
        </w:rPr>
        <w:fldChar w:fldCharType="end"/>
      </w:r>
      <w:r w:rsidRPr="00FA4CD1">
        <w:rPr>
          <w:color w:val="auto"/>
        </w:rPr>
        <w:t>.</w:t>
      </w:r>
    </w:p>
    <w:p w14:paraId="29DBF089" w14:textId="77777777" w:rsidR="004D3C30" w:rsidRPr="00FA4CD1" w:rsidRDefault="004D3C30" w:rsidP="004D3C30"/>
    <w:p w14:paraId="75A78A3A" w14:textId="77777777" w:rsidR="004D3C30" w:rsidRPr="00FA4CD1" w:rsidRDefault="004D3C30" w:rsidP="004D3C30">
      <w:pPr>
        <w:keepNext/>
      </w:pPr>
      <w:r w:rsidRPr="00FA4CD1">
        <w:rPr>
          <w:noProof/>
        </w:rPr>
        <w:lastRenderedPageBreak/>
        <w:drawing>
          <wp:inline distT="0" distB="0" distL="0" distR="0" wp14:anchorId="1458A795" wp14:editId="2821A99D">
            <wp:extent cx="2978438" cy="179407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95730" cy="1804492"/>
                    </a:xfrm>
                    <a:prstGeom prst="rect">
                      <a:avLst/>
                    </a:prstGeom>
                    <a:noFill/>
                  </pic:spPr>
                </pic:pic>
              </a:graphicData>
            </a:graphic>
          </wp:inline>
        </w:drawing>
      </w:r>
    </w:p>
    <w:p w14:paraId="376EBC15" w14:textId="77777777" w:rsidR="004D3C30" w:rsidRPr="00FA4CD1" w:rsidRDefault="004D3C30" w:rsidP="004D3C30">
      <w:pPr>
        <w:pStyle w:val="Caption"/>
        <w:rPr>
          <w:color w:val="auto"/>
        </w:rPr>
      </w:pPr>
      <w:bookmarkStart w:id="16" w:name="_Ref48895459"/>
      <w:r w:rsidRPr="00FA4CD1">
        <w:rPr>
          <w:color w:val="auto"/>
        </w:rPr>
        <w:t xml:space="preserve">Figure </w:t>
      </w:r>
      <w:r w:rsidRPr="00FA4CD1">
        <w:rPr>
          <w:noProof/>
          <w:color w:val="auto"/>
        </w:rPr>
        <w:fldChar w:fldCharType="begin"/>
      </w:r>
      <w:r w:rsidRPr="00FA4CD1">
        <w:rPr>
          <w:noProof/>
          <w:color w:val="auto"/>
        </w:rPr>
        <w:instrText xml:space="preserve"> SEQ Figure \* ARABIC </w:instrText>
      </w:r>
      <w:r w:rsidRPr="00FA4CD1">
        <w:rPr>
          <w:noProof/>
          <w:color w:val="auto"/>
        </w:rPr>
        <w:fldChar w:fldCharType="separate"/>
      </w:r>
      <w:r>
        <w:rPr>
          <w:noProof/>
          <w:color w:val="auto"/>
        </w:rPr>
        <w:t>23</w:t>
      </w:r>
      <w:r w:rsidRPr="00FA4CD1">
        <w:rPr>
          <w:noProof/>
          <w:color w:val="auto"/>
        </w:rPr>
        <w:fldChar w:fldCharType="end"/>
      </w:r>
      <w:bookmarkEnd w:id="16"/>
      <w:r w:rsidRPr="00FA4CD1">
        <w:rPr>
          <w:color w:val="auto"/>
        </w:rPr>
        <w:t xml:space="preserve"> Comparison of  reference </w:t>
      </w:r>
      <w:r w:rsidRPr="00FA4CD1">
        <w:rPr>
          <w:color w:val="auto"/>
        </w:rPr>
        <w:fldChar w:fldCharType="begin" w:fldLock="1"/>
      </w:r>
      <w:r>
        <w:rPr>
          <w:color w:val="auto"/>
        </w:rPr>
        <w:instrText>ADDIN CSL_CITATION { "citationItems" : [ { "id" : "ITEM-1", "itemData" : { "URL" : "https://data.openei.org/submissions/153", "author" : [ { "dropping-particle" : "", "family" : "EERE", "given" : "", "non-dropping-particle" : "", "parse-names" : false, "suffix" : "" } ], "id" : "ITEM-1", "issued" : { "date-parts" : [ [ "2013" ] ] }, "title" : "Commercial and Residential Hourly Load Profiles for all TMY3 Locations in the United States - Datasets - Office of Energy Efficiency &amp; Renewable Energy", "type" : "webpage" }, "uris" : [ "http://www.mendeley.com/documents/?uuid=b8301576-dce7-4509-99cf-bb2fdd7f1a33", "http://www.mendeley.com/documents/?uuid=1f7aa268-18d7-3b58-b580-9609d4db7106" ] } ], "mendeley" : { "formattedCitation" : "[29]", "plainTextFormattedCitation" : "[29]", "previouslyFormattedCitation" : "[28]" }, "properties" : { "noteIndex" : 0 }, "schema" : "https://github.com/citation-style-language/schema/raw/master/csl-citation.json" }</w:instrText>
      </w:r>
      <w:r w:rsidRPr="00FA4CD1">
        <w:rPr>
          <w:color w:val="auto"/>
        </w:rPr>
        <w:fldChar w:fldCharType="separate"/>
      </w:r>
      <w:r w:rsidRPr="005C5708">
        <w:rPr>
          <w:i w:val="0"/>
          <w:noProof/>
          <w:color w:val="auto"/>
        </w:rPr>
        <w:t>[29]</w:t>
      </w:r>
      <w:r w:rsidRPr="00FA4CD1">
        <w:rPr>
          <w:color w:val="auto"/>
        </w:rPr>
        <w:fldChar w:fldCharType="end"/>
      </w:r>
      <w:r w:rsidRPr="00FA4CD1">
        <w:rPr>
          <w:color w:val="auto"/>
        </w:rPr>
        <w:t xml:space="preserve"> and modelled data for monthly variation of lighting demand in USA. </w:t>
      </w:r>
    </w:p>
    <w:p w14:paraId="2E324E2B" w14:textId="77777777" w:rsidR="004D3C30" w:rsidRPr="00FA4CD1" w:rsidRDefault="004D3C30" w:rsidP="004D3C30"/>
    <w:p w14:paraId="5AED879C" w14:textId="77777777" w:rsidR="004D3C30" w:rsidRPr="00FA4CD1" w:rsidRDefault="004D3C30" w:rsidP="004D3C30">
      <w:pPr>
        <w:pStyle w:val="Heading5"/>
        <w:rPr>
          <w:color w:val="auto"/>
        </w:rPr>
      </w:pPr>
      <w:r w:rsidRPr="00FA4CD1">
        <w:rPr>
          <w:color w:val="auto"/>
        </w:rPr>
        <w:t xml:space="preserve">Space Heating </w:t>
      </w:r>
    </w:p>
    <w:p w14:paraId="65784A28" w14:textId="77777777" w:rsidR="004D3C30" w:rsidRPr="00FA4CD1" w:rsidRDefault="004D3C30" w:rsidP="004D3C30">
      <w:pPr>
        <w:keepNext/>
      </w:pPr>
      <w:r w:rsidRPr="00FA4CD1">
        <w:t xml:space="preserve">Electric heating hourly pattern is known to depend on the outside temperature </w:t>
      </w:r>
      <w:r w:rsidRPr="00FA4CD1">
        <w:fldChar w:fldCharType="begin" w:fldLock="1"/>
      </w:r>
      <w:r>
        <w:instrText>ADDIN CSL_CITATION { "citationItems" : [ { "id" : "ITEM-1", "itemData" : { "DOI" : "10.1016/j.jup.2019.03.004", "ISSN" : "09571787", "abstract" : "Long-term forecasts of the aggregate electric load profile are crucial for grid investment decisions and energy system planning. With current developments in energy efficiency of new and renovated buildings, and the coupling of heating and electricity demand through heat pumps, the long-term load forecast cannot be based on its historic pattern anymore. This paper presents part of an on-going work aimed at improving forecasts of the electric load profile on a national level, based on a bottom-up approach. The proposed methodology allows to account for energy efficiency measures of buildings and introduction of heat pumps on the aggregated electric load profile. Based on monitored data from over 100 non-residential buildings from all over Norway, with hourly resolution, this paper presents panel data regression models for heat load and electric specific load separately. This distinction is crucial since it allows to consider future energy efficiency measures and substitution of heating technologies. The data set is divided into 7 building types, with two variants: regular and energy efficient. The load is dependent on hour of the day, outer temperature and type of day, such as weekday and weekend. The resulting parameter estimates characterize the energy signature for each building type and variant, normalized per floor area unit (m2). Hence, it is possible to generate load profiles for typical days, weeks and years, and make aggregated load forecasts for a given area, needing only outdoor temperature and floor areas as additional data inputs.", "author" : [ { "dropping-particle" : "", "family" : "Lindberg", "given" : "K. B.", "non-dropping-particle" : "", "parse-names" : false, "suffix" : "" }, { "dropping-particle" : "", "family" : "Bakker", "given" : "S. J.", "non-dropping-particle" : "", "parse-names" : false, "suffix" : "" }, { "dropping-particle" : "", "family" : "Sartori", "given" : "I.", "non-dropping-particle" : "", "parse-names" : false, "suffix" : "" } ], "container-title" : "Utilities Policy", "id" : "ITEM-1", "issued" : { "date-parts" : [ [ "2019", "6" ] ] }, "page" : "63-88", "publisher" : "Elsevier Ltd", "title" : "Modelling electric and heat load profiles of non-residential buildings for use in long-term aggregate load forecasts", "type" : "article-journal", "volume" : "58" }, "uris" : [ "http://www.mendeley.com/documents/?uuid=505a8b0e-9a5f-46a6-80d0-30ea6dd857e8", "http://www.mendeley.com/documents/?uuid=87aef81a-4512-34bb-9416-14aeaeac425d" ] } ], "mendeley" : { "formattedCitation" : "[49]", "plainTextFormattedCitation" : "[49]", "previouslyFormattedCitation" : "[48]" }, "properties" : { "noteIndex" : 0 }, "schema" : "https://github.com/citation-style-language/schema/raw/master/csl-citation.json" }</w:instrText>
      </w:r>
      <w:r w:rsidRPr="00FA4CD1">
        <w:fldChar w:fldCharType="separate"/>
      </w:r>
      <w:r w:rsidRPr="005C5708">
        <w:rPr>
          <w:noProof/>
        </w:rPr>
        <w:t>[49]</w:t>
      </w:r>
      <w:r w:rsidRPr="00FA4CD1">
        <w:fldChar w:fldCharType="end"/>
      </w:r>
      <w:r w:rsidRPr="00FA4CD1">
        <w:t xml:space="preserve">. However, there was no relation found between the reference USA database available for this end-use </w:t>
      </w:r>
      <w:r w:rsidRPr="00FA4CD1">
        <w:fldChar w:fldCharType="begin" w:fldLock="1"/>
      </w:r>
      <w:r>
        <w:instrText>ADDIN CSL_CITATION { "citationItems" : [ { "id" : "ITEM-1", "itemData" : { "URL" : "https://data.openei.org/submissions/153", "author" : [ { "dropping-particle" : "", "family" : "EERE", "given" : "", "non-dropping-particle" : "", "parse-names" : false, "suffix" : "" } ], "id" : "ITEM-1", "issued" : { "date-parts" : [ [ "2013" ] ] }, "title" : "Commercial and Residential Hourly Load Profiles for all TMY3 Locations in the United States - Datasets - Office of Energy Efficiency &amp; Renewable Energy", "type" : "webpage" }, "uris" : [ "http://www.mendeley.com/documents/?uuid=b8301576-dce7-4509-99cf-bb2fdd7f1a33", "http://www.mendeley.com/documents/?uuid=1f7aa268-18d7-3b58-b580-9609d4db7106" ] } ], "mendeley" : { "formattedCitation" : "[29]", "plainTextFormattedCitation" : "[29]", "previouslyFormattedCitation" : "[28]" }, "properties" : { "noteIndex" : 0 }, "schema" : "https://github.com/citation-style-language/schema/raw/master/csl-citation.json" }</w:instrText>
      </w:r>
      <w:r w:rsidRPr="00FA4CD1">
        <w:fldChar w:fldCharType="separate"/>
      </w:r>
      <w:r w:rsidRPr="005C5708">
        <w:rPr>
          <w:noProof/>
        </w:rPr>
        <w:t>[29]</w:t>
      </w:r>
      <w:r w:rsidRPr="00FA4CD1">
        <w:fldChar w:fldCharType="end"/>
      </w:r>
      <w:r w:rsidRPr="00FA4CD1">
        <w:t xml:space="preserve"> and the parameters implemented for making the styli</w:t>
      </w:r>
      <w:r>
        <w:t>z</w:t>
      </w:r>
      <w:r w:rsidRPr="00FA4CD1">
        <w:t xml:space="preserve">ed functions (hourly biophysical parameter (HDH) and the service occupancy profile). Therefore, the monthly patterns from the reference USA database were implemented for all regions for weekday and weekend days. </w:t>
      </w:r>
      <w:r w:rsidRPr="00FA4CD1">
        <w:fldChar w:fldCharType="begin"/>
      </w:r>
      <w:r w:rsidRPr="00FA4CD1">
        <w:instrText xml:space="preserve"> REF _Ref48898592 \h  \* MERGEFORMAT </w:instrText>
      </w:r>
      <w:r w:rsidRPr="00FA4CD1">
        <w:fldChar w:fldCharType="separate"/>
      </w:r>
      <w:r w:rsidRPr="00FA4CD1">
        <w:t xml:space="preserve">Figure </w:t>
      </w:r>
      <w:r>
        <w:rPr>
          <w:noProof/>
        </w:rPr>
        <w:t>24</w:t>
      </w:r>
      <w:r w:rsidRPr="00FA4CD1">
        <w:fldChar w:fldCharType="end"/>
      </w:r>
      <w:r w:rsidRPr="00FA4CD1">
        <w:t xml:space="preserve"> illustrates the monthly patterns implemented for space heating from winter months as obtained from the USA database </w:t>
      </w:r>
      <w:r w:rsidRPr="00FA4CD1">
        <w:fldChar w:fldCharType="begin" w:fldLock="1"/>
      </w:r>
      <w:r>
        <w:instrText>ADDIN CSL_CITATION { "citationItems" : [ { "id" : "ITEM-1", "itemData" : { "URL" : "https://data.openei.org/submissions/153", "author" : [ { "dropping-particle" : "", "family" : "EERE", "given" : "", "non-dropping-particle" : "", "parse-names" : false, "suffix" : "" } ], "id" : "ITEM-1", "issued" : { "date-parts" : [ [ "2013" ] ] }, "title" : "Commercial and Residential Hourly Load Profiles for all TMY3 Locations in the United States - Datasets - Office of Energy Efficiency &amp; Renewable Energy", "type" : "webpage" }, "uris" : [ "http://www.mendeley.com/documents/?uuid=b8301576-dce7-4509-99cf-bb2fdd7f1a33", "http://www.mendeley.com/documents/?uuid=1f7aa268-18d7-3b58-b580-9609d4db7106" ] } ], "mendeley" : { "formattedCitation" : "[29]", "plainTextFormattedCitation" : "[29]", "previouslyFormattedCitation" : "[28]" }, "properties" : { "noteIndex" : 0 }, "schema" : "https://github.com/citation-style-language/schema/raw/master/csl-citation.json" }</w:instrText>
      </w:r>
      <w:r w:rsidRPr="00FA4CD1">
        <w:fldChar w:fldCharType="separate"/>
      </w:r>
      <w:r w:rsidRPr="005C5708">
        <w:rPr>
          <w:noProof/>
        </w:rPr>
        <w:t>[29]</w:t>
      </w:r>
      <w:r w:rsidRPr="00FA4CD1">
        <w:fldChar w:fldCharType="end"/>
      </w:r>
      <w:r w:rsidRPr="00FA4CD1">
        <w:t xml:space="preserve">. They were combined with the HDD data for accounting monthly variation of electricity demand. </w:t>
      </w:r>
    </w:p>
    <w:p w14:paraId="52C1BC3E" w14:textId="77777777" w:rsidR="004D3C30" w:rsidRPr="00FA4CD1" w:rsidRDefault="004D3C30" w:rsidP="004D3C30">
      <w:pPr>
        <w:keepNext/>
      </w:pPr>
      <w:r w:rsidRPr="00FA4CD1">
        <w:rPr>
          <w:noProof/>
        </w:rPr>
        <w:drawing>
          <wp:inline distT="0" distB="0" distL="0" distR="0" wp14:anchorId="2E74C580" wp14:editId="50C994B1">
            <wp:extent cx="5642666" cy="17018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55222" cy="1705587"/>
                    </a:xfrm>
                    <a:prstGeom prst="rect">
                      <a:avLst/>
                    </a:prstGeom>
                    <a:noFill/>
                  </pic:spPr>
                </pic:pic>
              </a:graphicData>
            </a:graphic>
          </wp:inline>
        </w:drawing>
      </w:r>
    </w:p>
    <w:p w14:paraId="6D5F7CF3" w14:textId="77777777" w:rsidR="004D3C30" w:rsidRPr="00FA4CD1" w:rsidRDefault="004D3C30" w:rsidP="004D3C30">
      <w:pPr>
        <w:pStyle w:val="Caption"/>
        <w:rPr>
          <w:color w:val="auto"/>
        </w:rPr>
      </w:pPr>
      <w:bookmarkStart w:id="17" w:name="_Ref48898592"/>
      <w:r w:rsidRPr="00FA4CD1">
        <w:rPr>
          <w:color w:val="auto"/>
        </w:rPr>
        <w:t xml:space="preserve">Figure </w:t>
      </w:r>
      <w:r w:rsidRPr="00FA4CD1">
        <w:rPr>
          <w:noProof/>
          <w:color w:val="auto"/>
        </w:rPr>
        <w:fldChar w:fldCharType="begin"/>
      </w:r>
      <w:r w:rsidRPr="00FA4CD1">
        <w:rPr>
          <w:noProof/>
          <w:color w:val="auto"/>
        </w:rPr>
        <w:instrText xml:space="preserve"> SEQ Figure \* ARABIC </w:instrText>
      </w:r>
      <w:r w:rsidRPr="00FA4CD1">
        <w:rPr>
          <w:noProof/>
          <w:color w:val="auto"/>
        </w:rPr>
        <w:fldChar w:fldCharType="separate"/>
      </w:r>
      <w:r>
        <w:rPr>
          <w:noProof/>
          <w:color w:val="auto"/>
        </w:rPr>
        <w:t>24</w:t>
      </w:r>
      <w:r w:rsidRPr="00FA4CD1">
        <w:rPr>
          <w:noProof/>
          <w:color w:val="auto"/>
        </w:rPr>
        <w:fldChar w:fldCharType="end"/>
      </w:r>
      <w:bookmarkEnd w:id="17"/>
      <w:r w:rsidRPr="00FA4CD1">
        <w:rPr>
          <w:color w:val="auto"/>
        </w:rPr>
        <w:t xml:space="preserve"> Monthly variation of space heating day-pattern implemented for all regions from weekdays and weekend days </w:t>
      </w:r>
      <w:r w:rsidRPr="00FA4CD1">
        <w:rPr>
          <w:color w:val="auto"/>
        </w:rPr>
        <w:fldChar w:fldCharType="begin" w:fldLock="1"/>
      </w:r>
      <w:r>
        <w:rPr>
          <w:color w:val="auto"/>
        </w:rPr>
        <w:instrText>ADDIN CSL_CITATION { "citationItems" : [ { "id" : "ITEM-1", "itemData" : { "URL" : "https://data.openei.org/submissions/153", "author" : [ { "dropping-particle" : "", "family" : "EERE", "given" : "", "non-dropping-particle" : "", "parse-names" : false, "suffix" : "" } ], "id" : "ITEM-1", "issued" : { "date-parts" : [ [ "2013" ] ] }, "title" : "Commercial and Residential Hourly Load Profiles for all TMY3 Locations in the United States - Datasets - Office of Energy Efficiency &amp; Renewable Energy", "type" : "webpage" }, "uris" : [ "http://www.mendeley.com/documents/?uuid=b8301576-dce7-4509-99cf-bb2fdd7f1a33", "http://www.mendeley.com/documents/?uuid=1f7aa268-18d7-3b58-b580-9609d4db7106" ] } ], "mendeley" : { "formattedCitation" : "[29]", "plainTextFormattedCitation" : "[29]", "previouslyFormattedCitation" : "[28]" }, "properties" : { "noteIndex" : 0 }, "schema" : "https://github.com/citation-style-language/schema/raw/master/csl-citation.json" }</w:instrText>
      </w:r>
      <w:r w:rsidRPr="00FA4CD1">
        <w:rPr>
          <w:color w:val="auto"/>
        </w:rPr>
        <w:fldChar w:fldCharType="separate"/>
      </w:r>
      <w:r w:rsidRPr="005C5708">
        <w:rPr>
          <w:i w:val="0"/>
          <w:noProof/>
          <w:color w:val="auto"/>
        </w:rPr>
        <w:t>[29]</w:t>
      </w:r>
      <w:r w:rsidRPr="00FA4CD1">
        <w:rPr>
          <w:color w:val="auto"/>
        </w:rPr>
        <w:fldChar w:fldCharType="end"/>
      </w:r>
      <w:r w:rsidRPr="00FA4CD1">
        <w:rPr>
          <w:color w:val="auto"/>
        </w:rPr>
        <w:t xml:space="preserve">. </w:t>
      </w:r>
    </w:p>
    <w:p w14:paraId="03495BBC" w14:textId="77777777" w:rsidR="004D3C30" w:rsidRPr="00FA4CD1" w:rsidRDefault="004D3C30" w:rsidP="004D3C30">
      <w:pPr>
        <w:pStyle w:val="Heading5"/>
        <w:rPr>
          <w:color w:val="auto"/>
        </w:rPr>
      </w:pPr>
      <w:r w:rsidRPr="00FA4CD1">
        <w:rPr>
          <w:color w:val="auto"/>
        </w:rPr>
        <w:t xml:space="preserve">Space cooling </w:t>
      </w:r>
    </w:p>
    <w:p w14:paraId="3050ECAD" w14:textId="77777777" w:rsidR="004D3C30" w:rsidRPr="00FA4CD1" w:rsidRDefault="004D3C30" w:rsidP="004D3C30">
      <w:pPr>
        <w:rPr>
          <w:rFonts w:eastAsiaTheme="minorEastAsia"/>
        </w:rPr>
      </w:pPr>
      <w:r w:rsidRPr="00FA4CD1">
        <w:t xml:space="preserve">Space cooling load profile both for service and residential sector depends on two main parameters: occupancy profile of buildings, and on the outside temperature </w:t>
      </w:r>
      <w:r w:rsidRPr="00FA4CD1">
        <w:fldChar w:fldCharType="begin" w:fldLock="1"/>
      </w:r>
      <w:r>
        <w:instrText>ADDIN CSL_CITATION { "citationItems" : [ { "id" : "ITEM-1", "itemData" : { "author" : [ { "dropping-particle" : "", "family" : "Mclachlan", "given" : "Carly", "non-dropping-particle" : "", "parse-names" : false, "suffix" : "" }, { "dropping-particle" : "", "family" : "Glynn", "given" : "Steven", "non-dropping-particle" : "", "parse-names" : false, "suffix" : "" }, { "dropping-particle" : "", "family" : "Hill", "given" : "Frances", "non-dropping-particle" : "", "parse-names" : false, "suffix" : "" }, { "dropping-particle" : "", "family" : "Edwards", "given" : "Rodger", "non-dropping-particle" : "", "parse-names" : false, "suffix" : "" }, { "dropping-particle" : "", "family" : "Kuriakose", "given" : "Jaise", "non-dropping-particle" : "", "parse-names" : false, "suffix" : "" }, { "dropping-particle" : "", "family" : "Wood", "given" : "Ruth", "non-dropping-particle" : "", "parse-names" : false, "suffix" : "" }, { "dropping-particle" : "", "family" : "Manchester", "given" : "Tyndall", "non-dropping-particle" : "", "parse-names" : false, "suffix" : "" } ], "id" : "ITEM-1", "issued" : { "date-parts" : [ [ "2016" ] ] }, "title" : "Air conditioning demand assessment", "type" : "report" }, "uris" : [ "http://www.mendeley.com/documents/?uuid=5bbd6be8-0b40-4652-90c9-d49bfac15fd3", "http://www.mendeley.com/documents/?uuid=e2c860cd-ed4a-3674-ab2a-2fe2ba83fc24" ] } ], "mendeley" : { "formattedCitation" : "[50]", "plainTextFormattedCitation" : "[50]", "previouslyFormattedCitation" : "[49]" }, "properties" : { "noteIndex" : 0 }, "schema" : "https://github.com/citation-style-language/schema/raw/master/csl-citation.json" }</w:instrText>
      </w:r>
      <w:r w:rsidRPr="00FA4CD1">
        <w:fldChar w:fldCharType="separate"/>
      </w:r>
      <w:r w:rsidRPr="005C5708">
        <w:rPr>
          <w:noProof/>
        </w:rPr>
        <w:t>[50]</w:t>
      </w:r>
      <w:r w:rsidRPr="00FA4CD1">
        <w:fldChar w:fldCharType="end"/>
      </w:r>
      <w:r w:rsidRPr="00FA4CD1">
        <w:t>. Therefore, styli</w:t>
      </w:r>
      <w:r>
        <w:t>z</w:t>
      </w:r>
      <w:r w:rsidRPr="00FA4CD1">
        <w:t>ed functions depending on these parameters were made as indicated in Equation 10. They enable to obtain day-patterns that vary per month and across regions. Figure 21 illustrates the monthly pattern variation for the USA. Further, a comparison between the reference pattern used for calibrating the styli</w:t>
      </w:r>
      <w:r>
        <w:t>z</w:t>
      </w:r>
      <w:r w:rsidRPr="00FA4CD1">
        <w:t>ed function and the modelled pattern obtained is illustrated in figure 22.</w:t>
      </w:r>
    </w:p>
    <w:p w14:paraId="2B94773A" w14:textId="77777777" w:rsidR="004D3C30" w:rsidRPr="00FA4CD1" w:rsidRDefault="004D3C30" w:rsidP="004D3C30">
      <w:pPr>
        <w:rPr>
          <w:rFonts w:eastAsiaTheme="minorEastAsia"/>
        </w:rPr>
      </w:pPr>
      <m:oMath>
        <m:sSub>
          <m:sSubPr>
            <m:ctrlPr>
              <w:rPr>
                <w:rFonts w:ascii="Cambria Math" w:hAnsi="Cambria Math"/>
                <w:i/>
              </w:rPr>
            </m:ctrlPr>
          </m:sSubPr>
          <m:e>
            <m:r>
              <w:rPr>
                <w:rFonts w:ascii="Cambria Math" w:hAnsi="Cambria Math"/>
              </w:rPr>
              <m:t>SpaceCooling</m:t>
            </m:r>
          </m:e>
          <m:sub>
            <m:d>
              <m:dPr>
                <m:ctrlPr>
                  <w:rPr>
                    <w:rFonts w:ascii="Cambria Math" w:hAnsi="Cambria Math"/>
                    <w:i/>
                  </w:rPr>
                </m:ctrlPr>
              </m:dPr>
              <m:e>
                <m:r>
                  <w:rPr>
                    <w:rFonts w:ascii="Cambria Math" w:hAnsi="Cambria Math"/>
                  </w:rPr>
                  <m:t>r,m,h</m:t>
                </m:r>
              </m:e>
            </m:d>
            <m:r>
              <w:rPr>
                <w:rFonts w:ascii="Cambria Math" w:hAnsi="Cambria Math"/>
              </w:rPr>
              <m:t xml:space="preserve"> weekday</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CDH</m:t>
                </m:r>
              </m:e>
              <m:sub>
                <m:d>
                  <m:dPr>
                    <m:ctrlPr>
                      <w:rPr>
                        <w:rFonts w:ascii="Cambria Math" w:hAnsi="Cambria Math"/>
                        <w:i/>
                      </w:rPr>
                    </m:ctrlPr>
                  </m:dPr>
                  <m:e>
                    <m:r>
                      <w:rPr>
                        <w:rFonts w:ascii="Cambria Math" w:hAnsi="Cambria Math"/>
                      </w:rPr>
                      <m:t>r,m,h</m:t>
                    </m:r>
                  </m:e>
                </m:d>
              </m:sub>
            </m:sSub>
          </m:num>
          <m:den>
            <m:r>
              <w:rPr>
                <w:rFonts w:ascii="Cambria Math" w:hAnsi="Cambria Math"/>
              </w:rPr>
              <m:t>12.43</m:t>
            </m:r>
          </m:den>
        </m:f>
        <m:r>
          <w:rPr>
            <w:rFonts w:ascii="Cambria Math" w:hAnsi="Cambria Math"/>
          </w:rPr>
          <m:t>+0.5+0.6*</m:t>
        </m:r>
        <m:sSub>
          <m:sSubPr>
            <m:ctrlPr>
              <w:rPr>
                <w:rFonts w:ascii="Cambria Math" w:hAnsi="Cambria Math"/>
                <w:i/>
              </w:rPr>
            </m:ctrlPr>
          </m:sSubPr>
          <m:e>
            <m:r>
              <w:rPr>
                <w:rFonts w:ascii="Cambria Math" w:hAnsi="Cambria Math"/>
              </w:rPr>
              <m:t>OCC</m:t>
            </m:r>
          </m:e>
          <m:sub>
            <m:d>
              <m:dPr>
                <m:ctrlPr>
                  <w:rPr>
                    <w:rFonts w:ascii="Cambria Math" w:hAnsi="Cambria Math"/>
                    <w:i/>
                  </w:rPr>
                </m:ctrlPr>
              </m:dPr>
              <m:e>
                <m:r>
                  <w:rPr>
                    <w:rFonts w:ascii="Cambria Math" w:hAnsi="Cambria Math"/>
                  </w:rPr>
                  <m:t>h</m:t>
                </m:r>
              </m:e>
            </m:d>
          </m:sub>
        </m:sSub>
      </m:oMath>
      <w:r w:rsidRPr="00FA4CD1">
        <w:rPr>
          <w:rFonts w:eastAsiaTheme="minorEastAsia"/>
        </w:rPr>
        <w:t xml:space="preserve"> </w:t>
      </w:r>
    </w:p>
    <w:p w14:paraId="79AEB665" w14:textId="77777777" w:rsidR="004D3C30" w:rsidRPr="00FA4CD1" w:rsidRDefault="004D3C30" w:rsidP="004D3C30">
      <w:pPr>
        <w:rPr>
          <w:rFonts w:eastAsiaTheme="minorEastAsia"/>
        </w:rPr>
      </w:pPr>
    </w:p>
    <w:p w14:paraId="3E984816" w14:textId="77777777" w:rsidR="004D3C30" w:rsidRPr="00FA4CD1" w:rsidRDefault="004D3C30" w:rsidP="004D3C30">
      <w:pPr>
        <w:rPr>
          <w:rFonts w:eastAsiaTheme="minorEastAsia"/>
        </w:rPr>
      </w:pPr>
      <m:oMath>
        <m:sSub>
          <m:sSubPr>
            <m:ctrlPr>
              <w:rPr>
                <w:rFonts w:ascii="Cambria Math" w:hAnsi="Cambria Math"/>
                <w:i/>
              </w:rPr>
            </m:ctrlPr>
          </m:sSubPr>
          <m:e>
            <m:r>
              <w:rPr>
                <w:rFonts w:ascii="Cambria Math" w:hAnsi="Cambria Math"/>
              </w:rPr>
              <m:t>SpaceCooling</m:t>
            </m:r>
          </m:e>
          <m:sub>
            <m:d>
              <m:dPr>
                <m:ctrlPr>
                  <w:rPr>
                    <w:rFonts w:ascii="Cambria Math" w:hAnsi="Cambria Math"/>
                    <w:i/>
                  </w:rPr>
                </m:ctrlPr>
              </m:dPr>
              <m:e>
                <m:r>
                  <w:rPr>
                    <w:rFonts w:ascii="Cambria Math" w:hAnsi="Cambria Math"/>
                  </w:rPr>
                  <m:t>r,m,h</m:t>
                </m:r>
              </m:e>
            </m:d>
            <m:r>
              <w:rPr>
                <w:rFonts w:ascii="Cambria Math" w:hAnsi="Cambria Math"/>
              </w:rPr>
              <m:t xml:space="preserve"> weekend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CDH</m:t>
                </m:r>
              </m:e>
              <m:sub>
                <m:d>
                  <m:dPr>
                    <m:ctrlPr>
                      <w:rPr>
                        <w:rFonts w:ascii="Cambria Math" w:hAnsi="Cambria Math"/>
                        <w:i/>
                      </w:rPr>
                    </m:ctrlPr>
                  </m:dPr>
                  <m:e>
                    <m:r>
                      <w:rPr>
                        <w:rFonts w:ascii="Cambria Math" w:hAnsi="Cambria Math"/>
                      </w:rPr>
                      <m:t>r,m,h</m:t>
                    </m:r>
                  </m:e>
                </m:d>
              </m:sub>
            </m:sSub>
          </m:num>
          <m:den>
            <m:r>
              <w:rPr>
                <w:rFonts w:ascii="Cambria Math" w:hAnsi="Cambria Math"/>
              </w:rPr>
              <m:t>12.43</m:t>
            </m:r>
          </m:den>
        </m:f>
        <m:r>
          <w:rPr>
            <w:rFonts w:ascii="Cambria Math" w:hAnsi="Cambria Math"/>
          </w:rPr>
          <m:t>+0.5+0.2*</m:t>
        </m:r>
        <m:sSub>
          <m:sSubPr>
            <m:ctrlPr>
              <w:rPr>
                <w:rFonts w:ascii="Cambria Math" w:hAnsi="Cambria Math"/>
                <w:i/>
              </w:rPr>
            </m:ctrlPr>
          </m:sSubPr>
          <m:e>
            <m:r>
              <w:rPr>
                <w:rFonts w:ascii="Cambria Math" w:hAnsi="Cambria Math"/>
              </w:rPr>
              <m:t>OCC</m:t>
            </m:r>
          </m:e>
          <m:sub>
            <m:d>
              <m:dPr>
                <m:ctrlPr>
                  <w:rPr>
                    <w:rFonts w:ascii="Cambria Math" w:hAnsi="Cambria Math"/>
                    <w:i/>
                  </w:rPr>
                </m:ctrlPr>
              </m:dPr>
              <m:e>
                <m:r>
                  <w:rPr>
                    <w:rFonts w:ascii="Cambria Math" w:hAnsi="Cambria Math"/>
                  </w:rPr>
                  <m:t>h</m:t>
                </m:r>
              </m:e>
            </m:d>
          </m:sub>
        </m:sSub>
      </m:oMath>
      <w:r w:rsidRPr="00FA4CD1">
        <w:rPr>
          <w:rFonts w:eastAsiaTheme="minorEastAsia"/>
        </w:rPr>
        <w:t xml:space="preserve"> </w:t>
      </w:r>
      <w:r w:rsidRPr="00FA4CD1">
        <w:rPr>
          <w:rFonts w:eastAsiaTheme="minorEastAsia"/>
        </w:rPr>
        <w:tab/>
      </w:r>
      <w:r w:rsidRPr="00FA4CD1">
        <w:rPr>
          <w:rFonts w:eastAsiaTheme="minorEastAsia"/>
        </w:rPr>
        <w:tab/>
      </w:r>
      <w:r w:rsidRPr="00FA4CD1">
        <w:rPr>
          <w:rFonts w:eastAsiaTheme="minorEastAsia"/>
        </w:rPr>
        <w:tab/>
        <w:t>(10)</w:t>
      </w:r>
    </w:p>
    <w:p w14:paraId="73125685" w14:textId="77777777" w:rsidR="004D3C30" w:rsidRPr="00FA4CD1" w:rsidRDefault="004D3C30" w:rsidP="004D3C30">
      <w:pPr>
        <w:keepNext/>
      </w:pPr>
      <w:r w:rsidRPr="00FA4CD1">
        <w:rPr>
          <w:rFonts w:eastAsiaTheme="minorEastAsia"/>
        </w:rPr>
        <w:lastRenderedPageBreak/>
        <w:t xml:space="preserve">Where space cooling varies for region </w:t>
      </w:r>
      <w:r w:rsidRPr="00FA4CD1">
        <w:rPr>
          <w:rFonts w:eastAsiaTheme="minorEastAsia"/>
          <w:i/>
          <w:iCs/>
        </w:rPr>
        <w:t>r</w:t>
      </w:r>
      <w:r w:rsidRPr="00FA4CD1">
        <w:rPr>
          <w:rFonts w:eastAsiaTheme="minorEastAsia"/>
        </w:rPr>
        <w:t xml:space="preserve">, month </w:t>
      </w:r>
      <w:r w:rsidRPr="00FA4CD1">
        <w:rPr>
          <w:rFonts w:eastAsiaTheme="minorEastAsia"/>
          <w:i/>
          <w:iCs/>
        </w:rPr>
        <w:t>m</w:t>
      </w:r>
      <w:r w:rsidRPr="00FA4CD1">
        <w:rPr>
          <w:rFonts w:eastAsiaTheme="minorEastAsia"/>
        </w:rPr>
        <w:t xml:space="preserve">, and hour </w:t>
      </w:r>
      <w:r w:rsidRPr="00FA4CD1">
        <w:rPr>
          <w:rFonts w:eastAsiaTheme="minorEastAsia"/>
          <w:i/>
          <w:iCs/>
        </w:rPr>
        <w:t>h</w:t>
      </w:r>
      <w:r w:rsidRPr="00FA4CD1">
        <w:rPr>
          <w:rFonts w:eastAsiaTheme="minorEastAsia"/>
        </w:rPr>
        <w:t xml:space="preserve"> for weekend and weekdays. It is driven by cooling degree hours </w:t>
      </w:r>
      <w:r w:rsidRPr="00FA4CD1">
        <w:rPr>
          <w:rFonts w:eastAsiaTheme="minorEastAsia"/>
          <w:i/>
          <w:iCs/>
        </w:rPr>
        <w:t>CDH</w:t>
      </w:r>
      <w:r w:rsidRPr="00FA4CD1">
        <w:rPr>
          <w:rFonts w:eastAsiaTheme="minorEastAsia"/>
        </w:rPr>
        <w:t xml:space="preserve"> and service sector building occupancy profile </w:t>
      </w:r>
      <w:r w:rsidRPr="00FA4CD1">
        <w:rPr>
          <w:rFonts w:eastAsiaTheme="minorEastAsia"/>
          <w:i/>
          <w:iCs/>
        </w:rPr>
        <w:t>OCC</w:t>
      </w:r>
      <w:r w:rsidRPr="00FA4CD1">
        <w:rPr>
          <w:rFonts w:eastAsiaTheme="minorEastAsia"/>
        </w:rPr>
        <w:t>.</w:t>
      </w:r>
    </w:p>
    <w:p w14:paraId="218E270D" w14:textId="77777777" w:rsidR="004D3C30" w:rsidRPr="00FA4CD1" w:rsidRDefault="004D3C30" w:rsidP="004D3C30"/>
    <w:p w14:paraId="657CE594" w14:textId="77777777" w:rsidR="004D3C30" w:rsidRPr="00FA4CD1" w:rsidRDefault="004D3C30" w:rsidP="004D3C30">
      <w:pPr>
        <w:keepNext/>
      </w:pPr>
      <w:r w:rsidRPr="00FA4CD1">
        <w:rPr>
          <w:noProof/>
        </w:rPr>
        <w:drawing>
          <wp:inline distT="0" distB="0" distL="0" distR="0" wp14:anchorId="605A384B" wp14:editId="002E87F7">
            <wp:extent cx="5539333" cy="1742536"/>
            <wp:effectExtent l="0" t="0" r="444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87111" cy="1757566"/>
                    </a:xfrm>
                    <a:prstGeom prst="rect">
                      <a:avLst/>
                    </a:prstGeom>
                    <a:noFill/>
                  </pic:spPr>
                </pic:pic>
              </a:graphicData>
            </a:graphic>
          </wp:inline>
        </w:drawing>
      </w:r>
    </w:p>
    <w:p w14:paraId="03804007" w14:textId="77777777" w:rsidR="004D3C30" w:rsidRPr="00FA4CD1" w:rsidRDefault="004D3C30" w:rsidP="004D3C30">
      <w:pPr>
        <w:pStyle w:val="Caption"/>
        <w:rPr>
          <w:color w:val="auto"/>
        </w:rPr>
      </w:pPr>
      <w:r w:rsidRPr="00FA4CD1">
        <w:rPr>
          <w:color w:val="auto"/>
        </w:rPr>
        <w:t xml:space="preserve">Figure </w:t>
      </w:r>
      <w:r w:rsidRPr="00FA4CD1">
        <w:rPr>
          <w:noProof/>
          <w:color w:val="auto"/>
        </w:rPr>
        <w:fldChar w:fldCharType="begin"/>
      </w:r>
      <w:r w:rsidRPr="00FA4CD1">
        <w:rPr>
          <w:noProof/>
          <w:color w:val="auto"/>
        </w:rPr>
        <w:instrText xml:space="preserve"> SEQ Figure \* ARABIC </w:instrText>
      </w:r>
      <w:r w:rsidRPr="00FA4CD1">
        <w:rPr>
          <w:noProof/>
          <w:color w:val="auto"/>
        </w:rPr>
        <w:fldChar w:fldCharType="separate"/>
      </w:r>
      <w:r>
        <w:rPr>
          <w:noProof/>
          <w:color w:val="auto"/>
        </w:rPr>
        <w:t>25</w:t>
      </w:r>
      <w:r w:rsidRPr="00FA4CD1">
        <w:rPr>
          <w:noProof/>
          <w:color w:val="auto"/>
        </w:rPr>
        <w:fldChar w:fldCharType="end"/>
      </w:r>
      <w:r w:rsidRPr="00FA4CD1">
        <w:rPr>
          <w:color w:val="auto"/>
        </w:rPr>
        <w:t xml:space="preserve"> Monthly modelled variation of space cooling day-pattern for USA for weekdays and weekend days. </w:t>
      </w:r>
    </w:p>
    <w:p w14:paraId="6A24F72D" w14:textId="77777777" w:rsidR="004D3C30" w:rsidRPr="00FA4CD1" w:rsidRDefault="004D3C30" w:rsidP="004D3C30">
      <w:pPr>
        <w:keepNext/>
      </w:pPr>
      <w:r w:rsidRPr="00FA4CD1">
        <w:rPr>
          <w:noProof/>
        </w:rPr>
        <w:drawing>
          <wp:inline distT="0" distB="0" distL="0" distR="0" wp14:anchorId="1422C5BB" wp14:editId="150856DA">
            <wp:extent cx="5543567" cy="2147977"/>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58823" cy="2153888"/>
                    </a:xfrm>
                    <a:prstGeom prst="rect">
                      <a:avLst/>
                    </a:prstGeom>
                    <a:noFill/>
                  </pic:spPr>
                </pic:pic>
              </a:graphicData>
            </a:graphic>
          </wp:inline>
        </w:drawing>
      </w:r>
    </w:p>
    <w:p w14:paraId="272B60C0" w14:textId="77777777" w:rsidR="004D3C30" w:rsidRPr="00FA4CD1" w:rsidRDefault="004D3C30" w:rsidP="004D3C30">
      <w:pPr>
        <w:pStyle w:val="Caption"/>
        <w:rPr>
          <w:color w:val="auto"/>
        </w:rPr>
      </w:pPr>
      <w:r w:rsidRPr="00FA4CD1">
        <w:rPr>
          <w:color w:val="auto"/>
        </w:rPr>
        <w:t xml:space="preserve">Figure </w:t>
      </w:r>
      <w:r w:rsidRPr="00FA4CD1">
        <w:rPr>
          <w:noProof/>
          <w:color w:val="auto"/>
        </w:rPr>
        <w:fldChar w:fldCharType="begin"/>
      </w:r>
      <w:r w:rsidRPr="00FA4CD1">
        <w:rPr>
          <w:noProof/>
          <w:color w:val="auto"/>
        </w:rPr>
        <w:instrText xml:space="preserve"> SEQ Figure \* ARABIC </w:instrText>
      </w:r>
      <w:r w:rsidRPr="00FA4CD1">
        <w:rPr>
          <w:noProof/>
          <w:color w:val="auto"/>
        </w:rPr>
        <w:fldChar w:fldCharType="separate"/>
      </w:r>
      <w:r>
        <w:rPr>
          <w:noProof/>
          <w:color w:val="auto"/>
        </w:rPr>
        <w:t>26</w:t>
      </w:r>
      <w:r w:rsidRPr="00FA4CD1">
        <w:rPr>
          <w:noProof/>
          <w:color w:val="auto"/>
        </w:rPr>
        <w:fldChar w:fldCharType="end"/>
      </w:r>
      <w:r w:rsidRPr="00FA4CD1">
        <w:rPr>
          <w:color w:val="auto"/>
        </w:rPr>
        <w:t xml:space="preserve"> Comparison between the modelled space cooling demand pattern for USA for the month of August with the reference data implemented </w:t>
      </w:r>
      <w:r w:rsidRPr="00FA4CD1">
        <w:rPr>
          <w:color w:val="auto"/>
        </w:rPr>
        <w:fldChar w:fldCharType="begin" w:fldLock="1"/>
      </w:r>
      <w:r>
        <w:rPr>
          <w:color w:val="auto"/>
        </w:rPr>
        <w:instrText>ADDIN CSL_CITATION { "citationItems" : [ { "id" : "ITEM-1", "itemData" : { "URL" : "https://data.openei.org/submissions/153", "author" : [ { "dropping-particle" : "", "family" : "EERE", "given" : "", "non-dropping-particle" : "", "parse-names" : false, "suffix" : "" } ], "id" : "ITEM-1", "issued" : { "date-parts" : [ [ "2013" ] ] }, "title" : "Commercial and Residential Hourly Load Profiles for all TMY3 Locations in the United States - Datasets - Office of Energy Efficiency &amp; Renewable Energy", "type" : "webpage" }, "uris" : [ "http://www.mendeley.com/documents/?uuid=b8301576-dce7-4509-99cf-bb2fdd7f1a33", "http://www.mendeley.com/documents/?uuid=1f7aa268-18d7-3b58-b580-9609d4db7106" ] } ], "mendeley" : { "formattedCitation" : "[29]", "plainTextFormattedCitation" : "[29]", "previouslyFormattedCitation" : "[28]" }, "properties" : { "noteIndex" : 0 }, "schema" : "https://github.com/citation-style-language/schema/raw/master/csl-citation.json" }</w:instrText>
      </w:r>
      <w:r w:rsidRPr="00FA4CD1">
        <w:rPr>
          <w:color w:val="auto"/>
        </w:rPr>
        <w:fldChar w:fldCharType="separate"/>
      </w:r>
      <w:r w:rsidRPr="005C5708">
        <w:rPr>
          <w:i w:val="0"/>
          <w:noProof/>
          <w:color w:val="auto"/>
        </w:rPr>
        <w:t>[29]</w:t>
      </w:r>
      <w:r w:rsidRPr="00FA4CD1">
        <w:rPr>
          <w:color w:val="auto"/>
        </w:rPr>
        <w:fldChar w:fldCharType="end"/>
      </w:r>
      <w:r w:rsidRPr="00FA4CD1">
        <w:rPr>
          <w:color w:val="auto"/>
        </w:rPr>
        <w:t>.</w:t>
      </w:r>
    </w:p>
    <w:p w14:paraId="462B72B4" w14:textId="77777777" w:rsidR="004D3C30" w:rsidRPr="00FA4CD1" w:rsidRDefault="004D3C30" w:rsidP="004D3C30"/>
    <w:p w14:paraId="0BDC2BC6" w14:textId="77777777" w:rsidR="004D3C30" w:rsidRPr="00FA4CD1" w:rsidRDefault="004D3C30" w:rsidP="004D3C30">
      <w:pPr>
        <w:pStyle w:val="Heading2"/>
      </w:pPr>
      <w:bookmarkStart w:id="18" w:name="_Toc53755127"/>
      <w:bookmarkStart w:id="19" w:name="_Toc65223874"/>
      <w:bookmarkStart w:id="20" w:name="_Toc105598862"/>
      <w:r w:rsidRPr="00FA4CD1">
        <w:t>6.3 End-uses without climate dependence</w:t>
      </w:r>
      <w:bookmarkEnd w:id="18"/>
      <w:bookmarkEnd w:id="19"/>
      <w:bookmarkEnd w:id="20"/>
    </w:p>
    <w:p w14:paraId="1888103E" w14:textId="77777777" w:rsidR="004D3C30" w:rsidRPr="00FA4CD1" w:rsidRDefault="004D3C30" w:rsidP="004D3C30"/>
    <w:p w14:paraId="36E3CEAD" w14:textId="77777777" w:rsidR="004D3C30" w:rsidRPr="00FA4CD1" w:rsidRDefault="004D3C30" w:rsidP="004D3C30">
      <w:r w:rsidRPr="00FA4CD1">
        <w:t>In this section</w:t>
      </w:r>
      <w:r>
        <w:t>,</w:t>
      </w:r>
      <w:r w:rsidRPr="00FA4CD1">
        <w:t xml:space="preserve"> information of the end-use patterns without climate dependence implemented</w:t>
      </w:r>
      <w:r>
        <w:t xml:space="preserve"> is provided</w:t>
      </w:r>
      <w:r w:rsidRPr="00FA4CD1">
        <w:t>. Table 2 and table 3 show the weekday and the weekend hourly patterns implemented. They are normali</w:t>
      </w:r>
      <w:r>
        <w:t>z</w:t>
      </w:r>
      <w:r w:rsidRPr="00FA4CD1">
        <w:t xml:space="preserve">ed to the daily demand. Also, they include the day factor which accounts for demand differences between type of days. Cement and steel industry are industries that for most of their production implement continuous processes which require a steady electricity demand </w:t>
      </w:r>
      <w:r w:rsidRPr="00FA4CD1">
        <w:fldChar w:fldCharType="begin" w:fldLock="1"/>
      </w:r>
      <w:r>
        <w:instrText>ADDIN CSL_CITATION { "citationItems" : [ { "id" : "ITEM-1", "itemData" : { "DOI" : "https://www.worldsteel.org/en/dam/jcr:96d7a585-e6b2-4d63-b943-4cd9ab621a91/World%2520Steel%2520in%2520Figures%25202019.pdf", "author" : [ { "dropping-particle" : "", "family" : "World Steel Association", "given" : "", "non-dropping-particle" : "", "parse-names" : false, "suffix" : "" } ], "id" : "ITEM-1", "issued" : { "date-parts" : [ [ "2019" ] ] }, "title" : "World Steel in Figures", "type" : "article-journal" }, "uris" : [ "http://www.mendeley.com/documents/?uuid=47f14cdd-d657-4985-a795-d7e8f52533b9", "http://www.mendeley.com/documents/?uuid=03f70b60-3a80-4f17-b92a-5cdb018690ec" ] }, { "id" : "ITEM-2", "itemData" : { "author" : [ { "dropping-particle" : "", "family" : "Yao, M.; Hu, Z.; Sifuentes, F.; Zhang", "given" : "N.", "non-dropping-particle" : "", "parse-names" : false, "suffix" : "" } ], "container-title" : "Energies", "id" : "ITEM-2", "issued" : { "date-parts" : [ [ "2015" ] ] }, "title" : "Integrated Power Management of Conventional Units and Industrial Loads in China\u2019s Ancillary Services Scheduling", "type" : "article-journal" }, "uris" : [ "http://www.mendeley.com/documents/?uuid=bb54f2c3-2fc6-4051-bde9-36c2449aaa6f", "http://www.mendeley.com/documents/?uuid=b34ba25c-ea33-4414-884b-369e34aea4a9" ] } ], "mendeley" : { "formattedCitation" : "[37,70]", "plainTextFormattedCitation" : "[37,70]", "previouslyFormattedCitation" : "[36,69]" }, "properties" : { "noteIndex" : 0 }, "schema" : "https://github.com/citation-style-language/schema/raw/master/csl-citation.json" }</w:instrText>
      </w:r>
      <w:r w:rsidRPr="00FA4CD1">
        <w:fldChar w:fldCharType="separate"/>
      </w:r>
      <w:r w:rsidRPr="005C5708">
        <w:rPr>
          <w:noProof/>
        </w:rPr>
        <w:t>[37,70]</w:t>
      </w:r>
      <w:r w:rsidRPr="00FA4CD1">
        <w:fldChar w:fldCharType="end"/>
      </w:r>
      <w:r w:rsidRPr="00FA4CD1">
        <w:t xml:space="preserve">. Hence, a continuous pattern was implemented. </w:t>
      </w:r>
    </w:p>
    <w:p w14:paraId="5C7C8682" w14:textId="77777777" w:rsidR="004D3C30" w:rsidRPr="00FA4CD1" w:rsidRDefault="004D3C30" w:rsidP="004D3C30">
      <w:pPr>
        <w:pStyle w:val="Caption"/>
        <w:keepNext/>
        <w:rPr>
          <w:color w:val="auto"/>
        </w:rPr>
      </w:pPr>
      <w:r w:rsidRPr="00FA4CD1">
        <w:rPr>
          <w:color w:val="auto"/>
        </w:rPr>
        <w:lastRenderedPageBreak/>
        <w:t xml:space="preserve">Table </w:t>
      </w:r>
      <w:r w:rsidRPr="00FA4CD1">
        <w:rPr>
          <w:noProof/>
          <w:color w:val="auto"/>
        </w:rPr>
        <w:fldChar w:fldCharType="begin"/>
      </w:r>
      <w:r w:rsidRPr="00FA4CD1">
        <w:rPr>
          <w:noProof/>
          <w:color w:val="auto"/>
        </w:rPr>
        <w:instrText xml:space="preserve"> SEQ Table \* ARABIC </w:instrText>
      </w:r>
      <w:r w:rsidRPr="00FA4CD1">
        <w:rPr>
          <w:noProof/>
          <w:color w:val="auto"/>
        </w:rPr>
        <w:fldChar w:fldCharType="separate"/>
      </w:r>
      <w:r>
        <w:rPr>
          <w:noProof/>
          <w:color w:val="auto"/>
        </w:rPr>
        <w:t>3</w:t>
      </w:r>
      <w:r w:rsidRPr="00FA4CD1">
        <w:rPr>
          <w:noProof/>
          <w:color w:val="auto"/>
        </w:rPr>
        <w:fldChar w:fldCharType="end"/>
      </w:r>
      <w:r w:rsidRPr="00FA4CD1">
        <w:rPr>
          <w:color w:val="auto"/>
        </w:rPr>
        <w:t xml:space="preserve"> Weekday end-use patterns without climate dependence for hourly demand. </w:t>
      </w:r>
    </w:p>
    <w:p w14:paraId="304103E4" w14:textId="77777777" w:rsidR="004D3C30" w:rsidRPr="00FA4CD1" w:rsidRDefault="004D3C30" w:rsidP="004D3C30">
      <w:r w:rsidRPr="00FA4CD1">
        <w:rPr>
          <w:noProof/>
        </w:rPr>
        <w:drawing>
          <wp:inline distT="0" distB="0" distL="0" distR="0" wp14:anchorId="7BF8A8B6" wp14:editId="0D6D575F">
            <wp:extent cx="6423891" cy="2717800"/>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427743" cy="2719430"/>
                    </a:xfrm>
                    <a:prstGeom prst="rect">
                      <a:avLst/>
                    </a:prstGeom>
                    <a:noFill/>
                    <a:ln>
                      <a:noFill/>
                    </a:ln>
                  </pic:spPr>
                </pic:pic>
              </a:graphicData>
            </a:graphic>
          </wp:inline>
        </w:drawing>
      </w:r>
    </w:p>
    <w:p w14:paraId="493F136D" w14:textId="77777777" w:rsidR="004D3C30" w:rsidRPr="00FA4CD1" w:rsidRDefault="004D3C30" w:rsidP="004D3C30">
      <w:pPr>
        <w:pStyle w:val="Caption"/>
        <w:keepNext/>
        <w:rPr>
          <w:color w:val="auto"/>
        </w:rPr>
      </w:pPr>
      <w:r w:rsidRPr="00FA4CD1">
        <w:rPr>
          <w:color w:val="auto"/>
        </w:rPr>
        <w:t xml:space="preserve">Table </w:t>
      </w:r>
      <w:r w:rsidRPr="00FA4CD1">
        <w:rPr>
          <w:noProof/>
          <w:color w:val="auto"/>
        </w:rPr>
        <w:fldChar w:fldCharType="begin"/>
      </w:r>
      <w:r w:rsidRPr="00FA4CD1">
        <w:rPr>
          <w:noProof/>
          <w:color w:val="auto"/>
        </w:rPr>
        <w:instrText xml:space="preserve"> SEQ Table \* ARABIC </w:instrText>
      </w:r>
      <w:r w:rsidRPr="00FA4CD1">
        <w:rPr>
          <w:noProof/>
          <w:color w:val="auto"/>
        </w:rPr>
        <w:fldChar w:fldCharType="separate"/>
      </w:r>
      <w:r>
        <w:rPr>
          <w:noProof/>
          <w:color w:val="auto"/>
        </w:rPr>
        <w:t>4</w:t>
      </w:r>
      <w:r w:rsidRPr="00FA4CD1">
        <w:rPr>
          <w:noProof/>
          <w:color w:val="auto"/>
        </w:rPr>
        <w:fldChar w:fldCharType="end"/>
      </w:r>
      <w:r w:rsidRPr="00FA4CD1">
        <w:rPr>
          <w:color w:val="auto"/>
        </w:rPr>
        <w:t xml:space="preserve"> Weekend end-use patterns without climate dependence for hourly demand.</w:t>
      </w:r>
    </w:p>
    <w:p w14:paraId="13D90F06" w14:textId="77777777" w:rsidR="004D3C30" w:rsidRPr="00FA4CD1" w:rsidRDefault="004D3C30" w:rsidP="004D3C30">
      <w:r w:rsidRPr="00FA4CD1">
        <w:rPr>
          <w:noProof/>
        </w:rPr>
        <w:drawing>
          <wp:inline distT="0" distB="0" distL="0" distR="0" wp14:anchorId="36BD89F0" wp14:editId="20619F65">
            <wp:extent cx="6438900" cy="27241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443315" cy="2726018"/>
                    </a:xfrm>
                    <a:prstGeom prst="rect">
                      <a:avLst/>
                    </a:prstGeom>
                    <a:noFill/>
                    <a:ln>
                      <a:noFill/>
                    </a:ln>
                  </pic:spPr>
                </pic:pic>
              </a:graphicData>
            </a:graphic>
          </wp:inline>
        </w:drawing>
      </w:r>
    </w:p>
    <w:p w14:paraId="0922052B" w14:textId="77777777" w:rsidR="004D3C30" w:rsidRPr="00FA4CD1" w:rsidRDefault="004D3C30" w:rsidP="004D3C30"/>
    <w:p w14:paraId="792CE7A2" w14:textId="77777777" w:rsidR="004D3C30" w:rsidRPr="00FA4CD1" w:rsidRDefault="004D3C30" w:rsidP="004D3C30"/>
    <w:p w14:paraId="4ABF27B7" w14:textId="77777777" w:rsidR="004D3C30" w:rsidRPr="00FA4CD1" w:rsidRDefault="004D3C30" w:rsidP="004D3C30"/>
    <w:p w14:paraId="226366AF" w14:textId="77777777" w:rsidR="004D3C30" w:rsidRPr="00FA4CD1" w:rsidRDefault="004D3C30" w:rsidP="004D3C30"/>
    <w:p w14:paraId="5A66FAD3" w14:textId="77777777" w:rsidR="004D3C30" w:rsidRPr="00FA4CD1" w:rsidRDefault="004D3C30" w:rsidP="004D3C30"/>
    <w:p w14:paraId="3BB153C8" w14:textId="77777777" w:rsidR="004D3C30" w:rsidRPr="00FA4CD1" w:rsidRDefault="004D3C30" w:rsidP="004D3C30"/>
    <w:p w14:paraId="1CE80569" w14:textId="77777777" w:rsidR="004D3C30" w:rsidRDefault="004D3C30" w:rsidP="004D3C30">
      <w:pPr>
        <w:spacing w:line="259" w:lineRule="auto"/>
        <w:jc w:val="left"/>
      </w:pPr>
      <w:r>
        <w:br w:type="page"/>
      </w:r>
    </w:p>
    <w:p w14:paraId="0C245A40" w14:textId="77777777" w:rsidR="004D3C30" w:rsidRPr="00FA4CD1" w:rsidRDefault="004D3C30" w:rsidP="004D3C30"/>
    <w:p w14:paraId="69A6F934" w14:textId="77777777" w:rsidR="004D3C30" w:rsidRPr="00FA4CD1" w:rsidRDefault="004D3C30" w:rsidP="004D3C30">
      <w:pPr>
        <w:pStyle w:val="Heading2"/>
      </w:pPr>
      <w:bookmarkStart w:id="21" w:name="_Toc53755128"/>
      <w:bookmarkStart w:id="22" w:name="_Toc65223875"/>
      <w:bookmarkStart w:id="23" w:name="_Toc105598863"/>
      <w:r w:rsidRPr="00FA4CD1">
        <w:t>6.4 Comparison with empirical data for the month of September</w:t>
      </w:r>
      <w:bookmarkEnd w:id="21"/>
      <w:bookmarkEnd w:id="22"/>
      <w:bookmarkEnd w:id="23"/>
    </w:p>
    <w:p w14:paraId="45B32352" w14:textId="77777777" w:rsidR="004D3C30" w:rsidRPr="00FA4CD1" w:rsidRDefault="004D3C30" w:rsidP="004D3C30"/>
    <w:p w14:paraId="045EDC0E" w14:textId="77777777" w:rsidR="004D3C30" w:rsidRPr="00FA4CD1" w:rsidRDefault="004D3C30" w:rsidP="004D3C30">
      <w:pPr>
        <w:keepNext/>
      </w:pPr>
      <w:r w:rsidRPr="00FA4CD1">
        <w:rPr>
          <w:noProof/>
        </w:rPr>
        <w:drawing>
          <wp:inline distT="0" distB="0" distL="0" distR="0" wp14:anchorId="5C2CAC0C" wp14:editId="38D137B4">
            <wp:extent cx="5277492" cy="5291138"/>
            <wp:effectExtent l="0" t="0" r="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97849" cy="5311547"/>
                    </a:xfrm>
                    <a:prstGeom prst="rect">
                      <a:avLst/>
                    </a:prstGeom>
                    <a:noFill/>
                  </pic:spPr>
                </pic:pic>
              </a:graphicData>
            </a:graphic>
          </wp:inline>
        </w:drawing>
      </w:r>
    </w:p>
    <w:p w14:paraId="462CC1B4" w14:textId="77777777" w:rsidR="004D3C30" w:rsidRPr="00FA4CD1" w:rsidRDefault="004D3C30" w:rsidP="004D3C30">
      <w:pPr>
        <w:pStyle w:val="Caption"/>
        <w:rPr>
          <w:color w:val="auto"/>
        </w:rPr>
      </w:pPr>
      <w:r w:rsidRPr="00FA4CD1">
        <w:rPr>
          <w:color w:val="auto"/>
        </w:rPr>
        <w:t xml:space="preserve">Figure </w:t>
      </w:r>
      <w:r w:rsidRPr="00FA4CD1">
        <w:rPr>
          <w:color w:val="auto"/>
        </w:rPr>
        <w:fldChar w:fldCharType="begin"/>
      </w:r>
      <w:r w:rsidRPr="00FA4CD1">
        <w:rPr>
          <w:color w:val="auto"/>
        </w:rPr>
        <w:instrText xml:space="preserve"> SEQ Figure \* ARABIC </w:instrText>
      </w:r>
      <w:r w:rsidRPr="00FA4CD1">
        <w:rPr>
          <w:color w:val="auto"/>
        </w:rPr>
        <w:fldChar w:fldCharType="separate"/>
      </w:r>
      <w:r>
        <w:rPr>
          <w:noProof/>
          <w:color w:val="auto"/>
        </w:rPr>
        <w:t>27</w:t>
      </w:r>
      <w:r w:rsidRPr="00FA4CD1">
        <w:rPr>
          <w:noProof/>
          <w:color w:val="auto"/>
        </w:rPr>
        <w:fldChar w:fldCharType="end"/>
      </w:r>
      <w:r w:rsidRPr="00FA4CD1">
        <w:rPr>
          <w:color w:val="auto"/>
        </w:rPr>
        <w:t xml:space="preserve"> Comparison of measured and modelled hourly electricity demand patterns of the average weekday and weekend day for the month of September for Europe, USA and Brazil. The years vary per graph depending on the availability of measured data.</w:t>
      </w:r>
    </w:p>
    <w:p w14:paraId="3E0FEE35" w14:textId="77777777" w:rsidR="004D3C30" w:rsidRPr="00FA4CD1" w:rsidRDefault="004D3C30" w:rsidP="004D3C30"/>
    <w:p w14:paraId="04323C9A" w14:textId="77777777" w:rsidR="004D3C30" w:rsidRPr="00FA4CD1" w:rsidRDefault="004D3C30" w:rsidP="004D3C30"/>
    <w:p w14:paraId="164B8F27" w14:textId="77777777" w:rsidR="004D3C30" w:rsidRPr="00FA4CD1" w:rsidRDefault="004D3C30" w:rsidP="004D3C30"/>
    <w:p w14:paraId="6BBF8F47" w14:textId="77777777" w:rsidR="004D3C30" w:rsidRPr="00FA4CD1" w:rsidRDefault="004D3C30" w:rsidP="004D3C30"/>
    <w:p w14:paraId="2EE874E7" w14:textId="77777777" w:rsidR="004D3C30" w:rsidRPr="00FA4CD1" w:rsidRDefault="004D3C30" w:rsidP="004D3C30"/>
    <w:p w14:paraId="26D9A127" w14:textId="77777777" w:rsidR="004D3C30" w:rsidRPr="00FA4CD1" w:rsidRDefault="004D3C30" w:rsidP="004D3C30"/>
    <w:p w14:paraId="060829D7" w14:textId="77777777" w:rsidR="004D3C30" w:rsidRPr="00FA4CD1" w:rsidRDefault="004D3C30" w:rsidP="004D3C30">
      <w:pPr>
        <w:pStyle w:val="Heading2"/>
      </w:pPr>
      <w:bookmarkStart w:id="24" w:name="_Toc65223876"/>
      <w:bookmarkStart w:id="25" w:name="_Toc105598864"/>
      <w:r w:rsidRPr="00FA4CD1">
        <w:lastRenderedPageBreak/>
        <w:t>6.5 Sectoral load demand</w:t>
      </w:r>
      <w:bookmarkEnd w:id="24"/>
      <w:bookmarkEnd w:id="25"/>
    </w:p>
    <w:p w14:paraId="0239DA53" w14:textId="77777777" w:rsidR="004D3C30" w:rsidRPr="00FA4CD1" w:rsidRDefault="004D3C30" w:rsidP="004D3C30"/>
    <w:p w14:paraId="007964FE" w14:textId="77777777" w:rsidR="004D3C30" w:rsidRPr="00FA4CD1" w:rsidRDefault="004D3C30" w:rsidP="004D3C30">
      <w:pPr>
        <w:keepNext/>
      </w:pPr>
      <w:r w:rsidRPr="00FA4CD1">
        <w:rPr>
          <w:noProof/>
        </w:rPr>
        <w:drawing>
          <wp:inline distT="0" distB="0" distL="0" distR="0" wp14:anchorId="4D52CB15" wp14:editId="7C45C489">
            <wp:extent cx="4605690" cy="2636520"/>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657683" cy="2666284"/>
                    </a:xfrm>
                    <a:prstGeom prst="rect">
                      <a:avLst/>
                    </a:prstGeom>
                    <a:noFill/>
                  </pic:spPr>
                </pic:pic>
              </a:graphicData>
            </a:graphic>
          </wp:inline>
        </w:drawing>
      </w:r>
    </w:p>
    <w:p w14:paraId="4C2418A6" w14:textId="77777777" w:rsidR="004D3C30" w:rsidRPr="00FA4CD1" w:rsidRDefault="004D3C30" w:rsidP="004D3C30">
      <w:pPr>
        <w:pStyle w:val="Caption"/>
        <w:rPr>
          <w:color w:val="auto"/>
        </w:rPr>
      </w:pPr>
      <w:r w:rsidRPr="00FA4CD1">
        <w:rPr>
          <w:color w:val="auto"/>
        </w:rPr>
        <w:t xml:space="preserve">Figure </w:t>
      </w:r>
      <w:r w:rsidRPr="00FA4CD1">
        <w:rPr>
          <w:color w:val="auto"/>
        </w:rPr>
        <w:fldChar w:fldCharType="begin"/>
      </w:r>
      <w:r w:rsidRPr="00FA4CD1">
        <w:rPr>
          <w:color w:val="auto"/>
        </w:rPr>
        <w:instrText xml:space="preserve"> SEQ Figure \* ARABIC </w:instrText>
      </w:r>
      <w:r w:rsidRPr="00FA4CD1">
        <w:rPr>
          <w:color w:val="auto"/>
        </w:rPr>
        <w:fldChar w:fldCharType="separate"/>
      </w:r>
      <w:r>
        <w:rPr>
          <w:noProof/>
          <w:color w:val="auto"/>
        </w:rPr>
        <w:t>28</w:t>
      </w:r>
      <w:r w:rsidRPr="00FA4CD1">
        <w:rPr>
          <w:noProof/>
          <w:color w:val="auto"/>
        </w:rPr>
        <w:fldChar w:fldCharType="end"/>
      </w:r>
      <w:r w:rsidRPr="00FA4CD1">
        <w:rPr>
          <w:color w:val="auto"/>
        </w:rPr>
        <w:t xml:space="preserve"> Residential and service sector weekday load demand shape for 2019 for Western Europe region for the months of September and February.</w:t>
      </w:r>
    </w:p>
    <w:p w14:paraId="1FD287DF" w14:textId="77777777" w:rsidR="004D3C30" w:rsidRPr="00FA4CD1" w:rsidRDefault="004D3C30" w:rsidP="004D3C30"/>
    <w:p w14:paraId="6AB32823" w14:textId="77777777" w:rsidR="004D3C30" w:rsidRPr="00FA4CD1" w:rsidRDefault="004D3C30" w:rsidP="004D3C30">
      <w:pPr>
        <w:keepNext/>
      </w:pPr>
      <w:r w:rsidRPr="00FA4CD1">
        <w:rPr>
          <w:noProof/>
        </w:rPr>
        <w:drawing>
          <wp:inline distT="0" distB="0" distL="0" distR="0" wp14:anchorId="1B91A8CB" wp14:editId="3E053250">
            <wp:extent cx="4500880" cy="4043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516972" cy="4057455"/>
                    </a:xfrm>
                    <a:prstGeom prst="rect">
                      <a:avLst/>
                    </a:prstGeom>
                    <a:noFill/>
                  </pic:spPr>
                </pic:pic>
              </a:graphicData>
            </a:graphic>
          </wp:inline>
        </w:drawing>
      </w:r>
    </w:p>
    <w:p w14:paraId="1041F94E" w14:textId="1D649BBD" w:rsidR="004D3C30" w:rsidRDefault="004D3C30" w:rsidP="004D3C30">
      <w:pPr>
        <w:pStyle w:val="Caption"/>
      </w:pPr>
      <w:r w:rsidRPr="00FA4CD1">
        <w:rPr>
          <w:color w:val="auto"/>
        </w:rPr>
        <w:t xml:space="preserve">Figure </w:t>
      </w:r>
      <w:r w:rsidRPr="00FA4CD1">
        <w:rPr>
          <w:color w:val="auto"/>
        </w:rPr>
        <w:fldChar w:fldCharType="begin"/>
      </w:r>
      <w:r w:rsidRPr="00FA4CD1">
        <w:rPr>
          <w:color w:val="auto"/>
        </w:rPr>
        <w:instrText xml:space="preserve"> SEQ Figure \* ARABIC </w:instrText>
      </w:r>
      <w:r w:rsidRPr="00FA4CD1">
        <w:rPr>
          <w:color w:val="auto"/>
        </w:rPr>
        <w:fldChar w:fldCharType="separate"/>
      </w:r>
      <w:r>
        <w:rPr>
          <w:noProof/>
          <w:color w:val="auto"/>
        </w:rPr>
        <w:t>29</w:t>
      </w:r>
      <w:r w:rsidRPr="00FA4CD1">
        <w:rPr>
          <w:noProof/>
          <w:color w:val="auto"/>
        </w:rPr>
        <w:fldChar w:fldCharType="end"/>
      </w:r>
      <w:r w:rsidRPr="00FA4CD1">
        <w:rPr>
          <w:color w:val="auto"/>
        </w:rPr>
        <w:t xml:space="preserve"> Non stacked sectoral decomposition of load duration curves for selected regions for the year 2019.</w:t>
      </w:r>
    </w:p>
    <w:sectPr w:rsidR="004D3C30" w:rsidSect="007B4B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01D1461"/>
    <w:multiLevelType w:val="multilevel"/>
    <w:tmpl w:val="C95A2B04"/>
    <w:lvl w:ilvl="0">
      <w:start w:val="6"/>
      <w:numFmt w:val="decimal"/>
      <w:lvlText w:val="%1."/>
      <w:lvlJc w:val="left"/>
      <w:pPr>
        <w:ind w:left="643" w:hanging="360"/>
      </w:pPr>
      <w:rPr>
        <w:rFonts w:hint="default"/>
      </w:rPr>
    </w:lvl>
    <w:lvl w:ilvl="1">
      <w:start w:val="1"/>
      <w:numFmt w:val="decimal"/>
      <w:isLgl/>
      <w:lvlText w:val="%1.%2"/>
      <w:lvlJc w:val="left"/>
      <w:pPr>
        <w:ind w:left="823" w:hanging="540"/>
      </w:pPr>
      <w:rPr>
        <w:rFonts w:hint="default"/>
      </w:rPr>
    </w:lvl>
    <w:lvl w:ilvl="2">
      <w:start w:val="5"/>
      <w:numFmt w:val="decimal"/>
      <w:isLgl/>
      <w:lvlText w:val="%1.%2.%3"/>
      <w:lvlJc w:val="left"/>
      <w:pPr>
        <w:ind w:left="1003" w:hanging="720"/>
      </w:pPr>
      <w:rPr>
        <w:rFonts w:hint="default"/>
      </w:rPr>
    </w:lvl>
    <w:lvl w:ilvl="3">
      <w:start w:val="1"/>
      <w:numFmt w:val="decimal"/>
      <w:isLgl/>
      <w:lvlText w:val="%1.%2.%3.%4"/>
      <w:lvlJc w:val="left"/>
      <w:pPr>
        <w:ind w:left="1003" w:hanging="720"/>
      </w:pPr>
      <w:rPr>
        <w:rFonts w:hint="default"/>
      </w:rPr>
    </w:lvl>
    <w:lvl w:ilvl="4">
      <w:start w:val="1"/>
      <w:numFmt w:val="decimal"/>
      <w:isLgl/>
      <w:lvlText w:val="%1.%2.%3.%4.%5"/>
      <w:lvlJc w:val="left"/>
      <w:pPr>
        <w:ind w:left="1363" w:hanging="1080"/>
      </w:pPr>
      <w:rPr>
        <w:rFonts w:hint="default"/>
      </w:rPr>
    </w:lvl>
    <w:lvl w:ilvl="5">
      <w:start w:val="1"/>
      <w:numFmt w:val="decimal"/>
      <w:isLgl/>
      <w:lvlText w:val="%1.%2.%3.%4.%5.%6"/>
      <w:lvlJc w:val="left"/>
      <w:pPr>
        <w:ind w:left="1363" w:hanging="1080"/>
      </w:pPr>
      <w:rPr>
        <w:rFonts w:hint="default"/>
      </w:rPr>
    </w:lvl>
    <w:lvl w:ilvl="6">
      <w:start w:val="1"/>
      <w:numFmt w:val="decimal"/>
      <w:isLgl/>
      <w:lvlText w:val="%1.%2.%3.%4.%5.%6.%7"/>
      <w:lvlJc w:val="left"/>
      <w:pPr>
        <w:ind w:left="1723" w:hanging="1440"/>
      </w:pPr>
      <w:rPr>
        <w:rFonts w:hint="default"/>
      </w:rPr>
    </w:lvl>
    <w:lvl w:ilvl="7">
      <w:start w:val="1"/>
      <w:numFmt w:val="decimal"/>
      <w:isLgl/>
      <w:lvlText w:val="%1.%2.%3.%4.%5.%6.%7.%8"/>
      <w:lvlJc w:val="left"/>
      <w:pPr>
        <w:ind w:left="1723" w:hanging="1440"/>
      </w:pPr>
      <w:rPr>
        <w:rFonts w:hint="default"/>
      </w:rPr>
    </w:lvl>
    <w:lvl w:ilvl="8">
      <w:start w:val="1"/>
      <w:numFmt w:val="decimal"/>
      <w:isLgl/>
      <w:lvlText w:val="%1.%2.%3.%4.%5.%6.%7.%8.%9"/>
      <w:lvlJc w:val="left"/>
      <w:pPr>
        <w:ind w:left="1723"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QxtzQ3NzMwN7I0MzRV0lEKTi0uzszPAykwrAUA/NW/oCwAAAA="/>
  </w:docVars>
  <w:rsids>
    <w:rsidRoot w:val="004D3C30"/>
    <w:rsid w:val="004D3C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59462"/>
  <w15:chartTrackingRefBased/>
  <w15:docId w15:val="{27BC3781-46F3-47B4-97FD-74338D6E3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C30"/>
    <w:pPr>
      <w:spacing w:line="240" w:lineRule="auto"/>
      <w:jc w:val="both"/>
    </w:pPr>
    <w:rPr>
      <w:lang w:val="en-US"/>
    </w:rPr>
  </w:style>
  <w:style w:type="paragraph" w:styleId="Heading1">
    <w:name w:val="heading 1"/>
    <w:basedOn w:val="Normal"/>
    <w:next w:val="Normal"/>
    <w:link w:val="Heading1Char"/>
    <w:uiPriority w:val="9"/>
    <w:qFormat/>
    <w:rsid w:val="004D3C30"/>
    <w:pPr>
      <w:keepNext/>
      <w:keepLines/>
      <w:spacing w:before="240" w:after="0"/>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unhideWhenUsed/>
    <w:qFormat/>
    <w:rsid w:val="004D3C30"/>
    <w:pPr>
      <w:keepNext/>
      <w:keepLines/>
      <w:spacing w:before="40" w:after="0"/>
      <w:outlineLvl w:val="1"/>
    </w:pPr>
    <w:rPr>
      <w:rFonts w:asciiTheme="majorHAnsi" w:eastAsiaTheme="majorEastAsia" w:hAnsiTheme="majorHAnsi" w:cstheme="majorBidi"/>
      <w:b/>
      <w:sz w:val="26"/>
      <w:szCs w:val="26"/>
    </w:rPr>
  </w:style>
  <w:style w:type="paragraph" w:styleId="Heading4">
    <w:name w:val="heading 4"/>
    <w:basedOn w:val="Normal"/>
    <w:next w:val="Normal"/>
    <w:link w:val="Heading4Char"/>
    <w:uiPriority w:val="9"/>
    <w:unhideWhenUsed/>
    <w:qFormat/>
    <w:rsid w:val="004D3C30"/>
    <w:pPr>
      <w:keepNext/>
      <w:keepLines/>
      <w:spacing w:before="40" w:after="0"/>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unhideWhenUsed/>
    <w:qFormat/>
    <w:rsid w:val="004D3C3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C30"/>
    <w:rPr>
      <w:rFonts w:asciiTheme="majorHAnsi" w:eastAsiaTheme="majorEastAsia" w:hAnsiTheme="majorHAnsi" w:cstheme="majorBidi"/>
      <w:b/>
      <w:sz w:val="32"/>
      <w:szCs w:val="32"/>
      <w:lang w:val="en-US"/>
    </w:rPr>
  </w:style>
  <w:style w:type="character" w:customStyle="1" w:styleId="Heading2Char">
    <w:name w:val="Heading 2 Char"/>
    <w:basedOn w:val="DefaultParagraphFont"/>
    <w:link w:val="Heading2"/>
    <w:uiPriority w:val="9"/>
    <w:rsid w:val="004D3C30"/>
    <w:rPr>
      <w:rFonts w:asciiTheme="majorHAnsi" w:eastAsiaTheme="majorEastAsia" w:hAnsiTheme="majorHAnsi" w:cstheme="majorBidi"/>
      <w:b/>
      <w:sz w:val="26"/>
      <w:szCs w:val="26"/>
      <w:lang w:val="en-US"/>
    </w:rPr>
  </w:style>
  <w:style w:type="character" w:customStyle="1" w:styleId="Heading4Char">
    <w:name w:val="Heading 4 Char"/>
    <w:basedOn w:val="DefaultParagraphFont"/>
    <w:link w:val="Heading4"/>
    <w:uiPriority w:val="9"/>
    <w:rsid w:val="004D3C30"/>
    <w:rPr>
      <w:rFonts w:asciiTheme="majorHAnsi" w:eastAsiaTheme="majorEastAsia" w:hAnsiTheme="majorHAnsi" w:cstheme="majorBidi"/>
      <w:i/>
      <w:iCs/>
      <w:lang w:val="en-US"/>
    </w:rPr>
  </w:style>
  <w:style w:type="character" w:customStyle="1" w:styleId="Heading5Char">
    <w:name w:val="Heading 5 Char"/>
    <w:basedOn w:val="DefaultParagraphFont"/>
    <w:link w:val="Heading5"/>
    <w:uiPriority w:val="9"/>
    <w:rsid w:val="004D3C30"/>
    <w:rPr>
      <w:rFonts w:asciiTheme="majorHAnsi" w:eastAsiaTheme="majorEastAsia" w:hAnsiTheme="majorHAnsi" w:cstheme="majorBidi"/>
      <w:color w:val="2F5496" w:themeColor="accent1" w:themeShade="BF"/>
      <w:lang w:val="en-US"/>
    </w:rPr>
  </w:style>
  <w:style w:type="paragraph" w:styleId="NoSpacing">
    <w:name w:val="No Spacing"/>
    <w:link w:val="NoSpacingChar"/>
    <w:autoRedefine/>
    <w:uiPriority w:val="1"/>
    <w:qFormat/>
    <w:rsid w:val="004D3C30"/>
    <w:pPr>
      <w:tabs>
        <w:tab w:val="left" w:pos="90"/>
      </w:tabs>
      <w:spacing w:after="0" w:line="240" w:lineRule="auto"/>
      <w:contextualSpacing/>
      <w:jc w:val="both"/>
    </w:pPr>
    <w:rPr>
      <w:rFonts w:ascii="Calibri" w:eastAsia="Times New Roman" w:hAnsi="Calibri"/>
      <w:bCs/>
      <w:szCs w:val="20"/>
      <w:lang w:val="en-US" w:eastAsia="ja-JP"/>
    </w:rPr>
  </w:style>
  <w:style w:type="character" w:customStyle="1" w:styleId="NoSpacingChar">
    <w:name w:val="No Spacing Char"/>
    <w:basedOn w:val="DefaultParagraphFont"/>
    <w:link w:val="NoSpacing"/>
    <w:uiPriority w:val="1"/>
    <w:rsid w:val="004D3C30"/>
    <w:rPr>
      <w:rFonts w:ascii="Calibri" w:eastAsia="Times New Roman" w:hAnsi="Calibri"/>
      <w:bCs/>
      <w:szCs w:val="20"/>
      <w:lang w:val="en-US" w:eastAsia="ja-JP"/>
    </w:rPr>
  </w:style>
  <w:style w:type="paragraph" w:styleId="Caption">
    <w:name w:val="caption"/>
    <w:basedOn w:val="Normal"/>
    <w:next w:val="Normal"/>
    <w:uiPriority w:val="35"/>
    <w:unhideWhenUsed/>
    <w:qFormat/>
    <w:rsid w:val="004D3C30"/>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emf"/><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emf"/><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6621</Words>
  <Characters>37744</Characters>
  <Application>Microsoft Office Word</Application>
  <DocSecurity>0</DocSecurity>
  <Lines>314</Lines>
  <Paragraphs>88</Paragraphs>
  <ScaleCrop>false</ScaleCrop>
  <Company/>
  <LinksUpToDate>false</LinksUpToDate>
  <CharactersWithSpaces>44277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Zapata Castillo, V.H. (Victhalia)</dc:creator>
  <cp:keywords/>
  <dc:description/>
  <cp:lastModifiedBy>Zapata Castillo, V.H. (Victhalia)</cp:lastModifiedBy>
  <cp:revision>1</cp:revision>
  <dcterms:created xsi:type="dcterms:W3CDTF">2022-07-05T07:29:00Z</dcterms:created>
  <dcterms:modified xsi:type="dcterms:W3CDTF">2022-07-05T07:33:00Z</dcterms:modified>
</cp:coreProperties>
</file>