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7FF80D" w14:textId="0193617B" w:rsidR="00DA783E" w:rsidRDefault="00DA783E">
      <w:pPr>
        <w:rPr>
          <w:b/>
          <w:bCs/>
        </w:rPr>
      </w:pPr>
      <w:r w:rsidRPr="00DA783E">
        <w:rPr>
          <w:b/>
          <w:bCs/>
        </w:rPr>
        <w:t xml:space="preserve">Site Selection </w:t>
      </w:r>
      <w:r w:rsidR="00832AD1">
        <w:rPr>
          <w:b/>
          <w:bCs/>
        </w:rPr>
        <w:t>for Wind Output Data</w:t>
      </w:r>
    </w:p>
    <w:p w14:paraId="64E7E68D" w14:textId="77777777" w:rsidR="007C3A65" w:rsidRDefault="007C3A65" w:rsidP="007C3A65">
      <w:r w:rsidRPr="007C3A65">
        <w:t xml:space="preserve">Outside the EU, </w:t>
      </w:r>
      <w:proofErr w:type="spellStart"/>
      <w:r w:rsidRPr="007C3A65">
        <w:t>Renewables.ninja</w:t>
      </w:r>
      <w:proofErr w:type="spellEnd"/>
      <w:r w:rsidRPr="007C3A65">
        <w:t xml:space="preserve"> does not offer pre-aggregated national wind-output (capacity-factor) time series for </w:t>
      </w:r>
      <w:proofErr w:type="gramStart"/>
      <w:r w:rsidRPr="007C3A65">
        <w:t>download —</w:t>
      </w:r>
      <w:proofErr w:type="gramEnd"/>
      <w:r w:rsidRPr="007C3A65">
        <w:t xml:space="preserve"> those bulk "country" datasets exist only for European countries. For the rest of the world, including China and South Korea, only point (single </w:t>
      </w:r>
      <w:proofErr w:type="spellStart"/>
      <w:r w:rsidRPr="007C3A65">
        <w:t>lat</w:t>
      </w:r>
      <w:proofErr w:type="spellEnd"/>
      <w:r w:rsidRPr="007C3A65">
        <w:t>/</w:t>
      </w:r>
      <w:proofErr w:type="spellStart"/>
      <w:r w:rsidRPr="007C3A65">
        <w:t>lon</w:t>
      </w:r>
      <w:proofErr w:type="spellEnd"/>
      <w:r w:rsidRPr="007C3A65">
        <w:t>) simulations are available, through the token-authenticated API.</w:t>
      </w:r>
    </w:p>
    <w:p w14:paraId="61FBDD05" w14:textId="77777777" w:rsidR="007C3A65" w:rsidRDefault="007C3A65" w:rsidP="007C3A65">
      <w:pPr>
        <w:keepNext/>
      </w:pPr>
      <w:r w:rsidRPr="007C3A65">
        <w:drawing>
          <wp:inline distT="0" distB="0" distL="0" distR="0" wp14:anchorId="5C50FA06" wp14:editId="0FEEB467">
            <wp:extent cx="5943600" cy="3324860"/>
            <wp:effectExtent l="0" t="0" r="0" b="8890"/>
            <wp:docPr id="1678220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220675" name=""/>
                    <pic:cNvPicPr/>
                  </pic:nvPicPr>
                  <pic:blipFill>
                    <a:blip r:embed="rId7"/>
                    <a:stretch>
                      <a:fillRect/>
                    </a:stretch>
                  </pic:blipFill>
                  <pic:spPr>
                    <a:xfrm>
                      <a:off x="0" y="0"/>
                      <a:ext cx="5943600" cy="3324860"/>
                    </a:xfrm>
                    <a:prstGeom prst="rect">
                      <a:avLst/>
                    </a:prstGeom>
                  </pic:spPr>
                </pic:pic>
              </a:graphicData>
            </a:graphic>
          </wp:inline>
        </w:drawing>
      </w:r>
    </w:p>
    <w:p w14:paraId="2FE09BF9" w14:textId="009076C1" w:rsidR="007C3A65" w:rsidRPr="007C3A65" w:rsidRDefault="007C3A65" w:rsidP="007C3A65">
      <w:pPr>
        <w:pStyle w:val="Caption"/>
      </w:pPr>
      <w:r>
        <w:t xml:space="preserve">Figure </w:t>
      </w:r>
      <w:r>
        <w:fldChar w:fldCharType="begin"/>
      </w:r>
      <w:r>
        <w:instrText xml:space="preserve"> SEQ Figure \* ARABIC </w:instrText>
      </w:r>
      <w:r>
        <w:fldChar w:fldCharType="separate"/>
      </w:r>
      <w:r>
        <w:rPr>
          <w:noProof/>
        </w:rPr>
        <w:t>1</w:t>
      </w:r>
      <w:r>
        <w:fldChar w:fldCharType="end"/>
      </w:r>
      <w:r>
        <w:t xml:space="preserve"> Example Manual Wind Power Output Call</w:t>
      </w:r>
    </w:p>
    <w:p w14:paraId="2F84A683" w14:textId="6E4E86C4" w:rsidR="007C3A65" w:rsidRPr="007C3A65" w:rsidRDefault="007C3A65" w:rsidP="007C3A65">
      <w:r w:rsidRPr="007C3A65">
        <w:t xml:space="preserve">Reproducing the </w:t>
      </w:r>
      <w:proofErr w:type="spellStart"/>
      <w:r w:rsidRPr="007C3A65">
        <w:t>Staffell</w:t>
      </w:r>
      <w:proofErr w:type="spellEnd"/>
      <w:r w:rsidRPr="007C3A65">
        <w:t xml:space="preserve"> &amp; Pfenninger (2016) "Virtual Wind Farm"</w:t>
      </w:r>
      <w:r>
        <w:rPr>
          <w:rStyle w:val="FootnoteReference"/>
        </w:rPr>
        <w:footnoteReference w:id="1"/>
      </w:r>
      <w:r w:rsidRPr="007C3A65">
        <w:t xml:space="preserve"> methodology ourselves at national scale would mean simulating every reanalysis grid cell, weighting by the actual turbine-fleet distribution, and bias-correcting against metered national output — data- and compute-intensive work that </w:t>
      </w:r>
      <w:proofErr w:type="spellStart"/>
      <w:r w:rsidRPr="007C3A65">
        <w:t>Renewables.ninja</w:t>
      </w:r>
      <w:proofErr w:type="spellEnd"/>
      <w:r w:rsidRPr="007C3A65">
        <w:t xml:space="preserve"> has already performed. It is far more efficient to reuse its already-computed point outputs at representative locations.</w:t>
      </w:r>
    </w:p>
    <w:p w14:paraId="0EF4A9AA" w14:textId="004C125F" w:rsidR="007C3A65" w:rsidRDefault="007C3A65" w:rsidP="007C3A65">
      <w:r w:rsidRPr="007C3A65">
        <w:t xml:space="preserve">Therefore, for wind we stopped translating the 2 m wind speed to a capacity factor. The 2 m MERRA-2 wind field (U2M/V2M) has a diurnal cycle that is inverted relative to turbine hub height — it peaks mid-afternoon instead of overnight — so no vertical extrapolation recovers the correct time-of-day shape. </w:t>
      </w:r>
      <w:proofErr w:type="gramStart"/>
      <w:r w:rsidRPr="007C3A65">
        <w:t>Instead</w:t>
      </w:r>
      <w:proofErr w:type="gramEnd"/>
      <w:r w:rsidRPr="007C3A65">
        <w:t xml:space="preserve"> we read the </w:t>
      </w:r>
      <w:proofErr w:type="spellStart"/>
      <w:r w:rsidRPr="007C3A65">
        <w:t>Renewables.ninja</w:t>
      </w:r>
      <w:proofErr w:type="spellEnd"/>
      <w:r w:rsidRPr="007C3A65">
        <w:t xml:space="preserve"> wind simulation output for hand-picked sites in each country's main wind regions (hub-height, power-curve, bias-corrected; fetched with capacity = 1 so the electricity column </w:t>
      </w:r>
      <w:r w:rsidRPr="007C3A65">
        <w:rPr>
          <w:i/>
          <w:iCs/>
        </w:rPr>
        <w:t>is</w:t>
      </w:r>
      <w:r w:rsidRPr="007C3A65">
        <w:t> the hourly capacity factor) and average across sites</w:t>
      </w:r>
      <w:r>
        <w:t xml:space="preserve">/years. The script for the API download is in </w:t>
      </w:r>
      <w:r w:rsidRPr="007C3A65">
        <w:lastRenderedPageBreak/>
        <w:t>\Global-Electricity-File-Creator\scripts\fetch_ninja_sites.py</w:t>
      </w:r>
      <w:r>
        <w:t xml:space="preserve"> and the user can specify what locations to include. </w:t>
      </w:r>
      <w:proofErr w:type="gramStart"/>
      <w:r>
        <w:t>User</w:t>
      </w:r>
      <w:proofErr w:type="gramEnd"/>
      <w:r>
        <w:t xml:space="preserve"> should create their own </w:t>
      </w:r>
      <w:proofErr w:type="spellStart"/>
      <w:r>
        <w:t>Renewables</w:t>
      </w:r>
      <w:proofErr w:type="gramStart"/>
      <w:r>
        <w:t>.ninja</w:t>
      </w:r>
      <w:proofErr w:type="spellEnd"/>
      <w:proofErr w:type="gramEnd"/>
      <w:r>
        <w:t xml:space="preserve"> login to allow for 50 downloads per hour. </w:t>
      </w:r>
      <w:proofErr w:type="gramStart"/>
      <w:r>
        <w:t>User</w:t>
      </w:r>
      <w:proofErr w:type="gramEnd"/>
      <w:r>
        <w:t xml:space="preserve"> must update the API token. </w:t>
      </w:r>
    </w:p>
    <w:p w14:paraId="093DC000" w14:textId="77777777" w:rsidR="007C3A65" w:rsidRDefault="007C3A65" w:rsidP="007C3A65">
      <w:pPr>
        <w:keepNext/>
      </w:pPr>
      <w:r w:rsidRPr="007C3A65">
        <w:drawing>
          <wp:inline distT="0" distB="0" distL="0" distR="0" wp14:anchorId="2F19EA88" wp14:editId="7A03A6A6">
            <wp:extent cx="5943600" cy="2433955"/>
            <wp:effectExtent l="0" t="0" r="0" b="4445"/>
            <wp:docPr id="1708366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366458" name=""/>
                    <pic:cNvPicPr/>
                  </pic:nvPicPr>
                  <pic:blipFill>
                    <a:blip r:embed="rId8"/>
                    <a:stretch>
                      <a:fillRect/>
                    </a:stretch>
                  </pic:blipFill>
                  <pic:spPr>
                    <a:xfrm>
                      <a:off x="0" y="0"/>
                      <a:ext cx="5943600" cy="2433955"/>
                    </a:xfrm>
                    <a:prstGeom prst="rect">
                      <a:avLst/>
                    </a:prstGeom>
                  </pic:spPr>
                </pic:pic>
              </a:graphicData>
            </a:graphic>
          </wp:inline>
        </w:drawing>
      </w:r>
    </w:p>
    <w:p w14:paraId="45B91940" w14:textId="5706DC55" w:rsidR="007C3A65" w:rsidRPr="007C3A65" w:rsidRDefault="007C3A65" w:rsidP="007C3A65">
      <w:pPr>
        <w:pStyle w:val="Caption"/>
      </w:pPr>
      <w:r>
        <w:t xml:space="preserve">Figure </w:t>
      </w:r>
      <w:r>
        <w:fldChar w:fldCharType="begin"/>
      </w:r>
      <w:r>
        <w:instrText xml:space="preserve"> SEQ Figure \* ARABIC </w:instrText>
      </w:r>
      <w:r>
        <w:fldChar w:fldCharType="separate"/>
      </w:r>
      <w:r>
        <w:rPr>
          <w:noProof/>
        </w:rPr>
        <w:t>2</w:t>
      </w:r>
      <w:r>
        <w:fldChar w:fldCharType="end"/>
      </w:r>
      <w:r>
        <w:t xml:space="preserve"> Example API token found under user profile. This gets saved in </w:t>
      </w:r>
      <w:r w:rsidRPr="007C3A65">
        <w:t>data</w:t>
      </w:r>
      <w:proofErr w:type="gramStart"/>
      <w:r w:rsidRPr="007C3A65">
        <w:t>/.</w:t>
      </w:r>
      <w:proofErr w:type="spellStart"/>
      <w:r w:rsidRPr="007C3A65">
        <w:t>ninja</w:t>
      </w:r>
      <w:proofErr w:type="gramEnd"/>
      <w:r w:rsidRPr="007C3A65">
        <w:t>_token</w:t>
      </w:r>
      <w:proofErr w:type="spellEnd"/>
    </w:p>
    <w:p w14:paraId="5B1D8977" w14:textId="77777777" w:rsidR="007C3A65" w:rsidRPr="007C3A65" w:rsidRDefault="007C3A65" w:rsidP="007C3A65">
      <w:r w:rsidRPr="007C3A65">
        <w:t>The point locations were hand-picked to sit in each country's principal wind-generation regions — for China, the major northern onshore wind bases (Inner Mongolia, Gansu, Xinjiang, Hebei, Jilin, Ningxia) plus the main coastal offshore clusters (Jiangsu, Guangdong, Fujian), and for South Korea, the Gangwon onshore ridge, Jeju, and the southwest/southeast offshore development zones.</w:t>
      </w:r>
    </w:p>
    <w:p w14:paraId="32B9E319" w14:textId="77777777" w:rsidR="007C3A65" w:rsidRDefault="007C3A65">
      <w:pPr>
        <w:rPr>
          <w:u w:val="single"/>
        </w:rPr>
      </w:pPr>
      <w:r>
        <w:rPr>
          <w:u w:val="single"/>
        </w:rPr>
        <w:br w:type="page"/>
      </w:r>
    </w:p>
    <w:p w14:paraId="3814AB94" w14:textId="7DB8B9B9" w:rsidR="00DA783E" w:rsidRPr="00832AD1" w:rsidRDefault="00DA783E">
      <w:pPr>
        <w:rPr>
          <w:u w:val="single"/>
        </w:rPr>
      </w:pPr>
      <w:r w:rsidRPr="00832AD1">
        <w:rPr>
          <w:u w:val="single"/>
        </w:rPr>
        <w:lastRenderedPageBreak/>
        <w:t>Real Wind Turbines in China</w:t>
      </w:r>
    </w:p>
    <w:p w14:paraId="1B713A35" w14:textId="226F86B8" w:rsidR="00DA783E" w:rsidRDefault="00DA783E">
      <w:r>
        <w:t xml:space="preserve">Source: </w:t>
      </w:r>
      <w:hyperlink r:id="rId9" w:history="1">
        <w:r w:rsidRPr="00BE360F">
          <w:rPr>
            <w:rStyle w:val="Hyperlink"/>
          </w:rPr>
          <w:t>https://www.bakerinstitute.org/map-chinas-energy-infrastructure</w:t>
        </w:r>
      </w:hyperlink>
      <w:r>
        <w:t xml:space="preserve"> </w:t>
      </w:r>
    </w:p>
    <w:p w14:paraId="7354E056" w14:textId="155DAE8D" w:rsidR="00DA783E" w:rsidRDefault="00DA783E">
      <w:r w:rsidRPr="00DA783E">
        <w:rPr>
          <w:noProof/>
        </w:rPr>
        <w:drawing>
          <wp:inline distT="0" distB="0" distL="0" distR="0" wp14:anchorId="45FE0EF8" wp14:editId="4D02FB50">
            <wp:extent cx="6152255" cy="3819525"/>
            <wp:effectExtent l="0" t="0" r="1270" b="0"/>
            <wp:docPr id="1501106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106989" name=""/>
                    <pic:cNvPicPr/>
                  </pic:nvPicPr>
                  <pic:blipFill>
                    <a:blip r:embed="rId10"/>
                    <a:stretch>
                      <a:fillRect/>
                    </a:stretch>
                  </pic:blipFill>
                  <pic:spPr>
                    <a:xfrm>
                      <a:off x="0" y="0"/>
                      <a:ext cx="6172801" cy="3832281"/>
                    </a:xfrm>
                    <a:prstGeom prst="rect">
                      <a:avLst/>
                    </a:prstGeom>
                  </pic:spPr>
                </pic:pic>
              </a:graphicData>
            </a:graphic>
          </wp:inline>
        </w:drawing>
      </w:r>
    </w:p>
    <w:p w14:paraId="7948879E" w14:textId="10211620" w:rsidR="00DA783E" w:rsidRPr="00832AD1" w:rsidRDefault="00DA783E">
      <w:pPr>
        <w:rPr>
          <w:u w:val="single"/>
        </w:rPr>
      </w:pPr>
      <w:r w:rsidRPr="00832AD1">
        <w:rPr>
          <w:u w:val="single"/>
        </w:rPr>
        <w:t xml:space="preserve">Representative Sites from </w:t>
      </w:r>
      <w:proofErr w:type="spellStart"/>
      <w:r w:rsidRPr="00832AD1">
        <w:rPr>
          <w:u w:val="single"/>
        </w:rPr>
        <w:t>Renewables.Ninja</w:t>
      </w:r>
      <w:proofErr w:type="spellEnd"/>
      <w:r w:rsidR="00832AD1">
        <w:rPr>
          <w:u w:val="single"/>
        </w:rPr>
        <w:t xml:space="preserve"> in China</w:t>
      </w:r>
    </w:p>
    <w:p w14:paraId="59C33B1A" w14:textId="199AFB44" w:rsidR="00DA783E" w:rsidRDefault="00DA783E">
      <w:r w:rsidRPr="00DA783E">
        <w:rPr>
          <w:noProof/>
        </w:rPr>
        <w:drawing>
          <wp:inline distT="0" distB="0" distL="0" distR="0" wp14:anchorId="01D22153" wp14:editId="7526AE7F">
            <wp:extent cx="4359741" cy="2980690"/>
            <wp:effectExtent l="0" t="0" r="3175" b="0"/>
            <wp:docPr id="9420053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8267" b="8168"/>
                    <a:stretch>
                      <a:fillRect/>
                    </a:stretch>
                  </pic:blipFill>
                  <pic:spPr bwMode="auto">
                    <a:xfrm>
                      <a:off x="0" y="0"/>
                      <a:ext cx="4386756" cy="2999160"/>
                    </a:xfrm>
                    <a:prstGeom prst="rect">
                      <a:avLst/>
                    </a:prstGeom>
                    <a:noFill/>
                    <a:ln>
                      <a:noFill/>
                    </a:ln>
                    <a:extLst>
                      <a:ext uri="{53640926-AAD7-44D8-BBD7-CCE9431645EC}">
                        <a14:shadowObscured xmlns:a14="http://schemas.microsoft.com/office/drawing/2010/main"/>
                      </a:ext>
                    </a:extLst>
                  </pic:spPr>
                </pic:pic>
              </a:graphicData>
            </a:graphic>
          </wp:inline>
        </w:drawing>
      </w:r>
    </w:p>
    <w:p w14:paraId="50A2CCD3" w14:textId="77777777" w:rsidR="007C3A65" w:rsidRDefault="007C3A65">
      <w:pPr>
        <w:rPr>
          <w:u w:val="single"/>
        </w:rPr>
      </w:pPr>
      <w:r>
        <w:rPr>
          <w:u w:val="single"/>
        </w:rPr>
        <w:br w:type="page"/>
      </w:r>
    </w:p>
    <w:p w14:paraId="094DC1E1" w14:textId="2049F759" w:rsidR="00832AD1" w:rsidRDefault="00832AD1" w:rsidP="007C3A65">
      <w:pPr>
        <w:spacing w:after="0" w:line="240" w:lineRule="auto"/>
        <w:rPr>
          <w:u w:val="single"/>
        </w:rPr>
      </w:pPr>
      <w:r w:rsidRPr="00832AD1">
        <w:rPr>
          <w:u w:val="single"/>
        </w:rPr>
        <w:lastRenderedPageBreak/>
        <w:t xml:space="preserve">Real Wind Turbines in </w:t>
      </w:r>
      <w:r>
        <w:rPr>
          <w:u w:val="single"/>
        </w:rPr>
        <w:t>South Korea</w:t>
      </w:r>
    </w:p>
    <w:p w14:paraId="60819B7B" w14:textId="02E68C60" w:rsidR="007C3A65" w:rsidRPr="007C3A65" w:rsidRDefault="007C3A65" w:rsidP="007C3A65">
      <w:pPr>
        <w:spacing w:after="0" w:line="240" w:lineRule="auto"/>
      </w:pPr>
      <w:r w:rsidRPr="007C3A65">
        <w:t xml:space="preserve">Source: </w:t>
      </w:r>
      <w:hyperlink r:id="rId12" w:history="1">
        <w:r w:rsidRPr="00B64ADD">
          <w:rPr>
            <w:rStyle w:val="Hyperlink"/>
          </w:rPr>
          <w:t>http://nationalatlas.ngii.go.kr/pages/page_2390.php</w:t>
        </w:r>
      </w:hyperlink>
      <w:r>
        <w:t xml:space="preserve"> </w:t>
      </w:r>
    </w:p>
    <w:p w14:paraId="4587E44A" w14:textId="08B97A35" w:rsidR="00832AD1" w:rsidRDefault="007C3A65" w:rsidP="00832AD1">
      <w:pPr>
        <w:rPr>
          <w:u w:val="single"/>
        </w:rPr>
      </w:pPr>
      <w:r>
        <w:rPr>
          <w:noProof/>
        </w:rPr>
        <w:drawing>
          <wp:inline distT="0" distB="0" distL="0" distR="0" wp14:anchorId="1C6EDC98" wp14:editId="777F993D">
            <wp:extent cx="5553075" cy="7792103"/>
            <wp:effectExtent l="0" t="0" r="0" b="0"/>
            <wp:docPr id="2074001754" name="Picture 1" descr="Wind Farm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ind Farm Statu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577939" cy="7826992"/>
                    </a:xfrm>
                    <a:prstGeom prst="rect">
                      <a:avLst/>
                    </a:prstGeom>
                    <a:noFill/>
                    <a:ln>
                      <a:noFill/>
                    </a:ln>
                  </pic:spPr>
                </pic:pic>
              </a:graphicData>
            </a:graphic>
          </wp:inline>
        </w:drawing>
      </w:r>
    </w:p>
    <w:p w14:paraId="321016E1" w14:textId="187B1957" w:rsidR="00832AD1" w:rsidRPr="00832AD1" w:rsidRDefault="00832AD1" w:rsidP="00832AD1">
      <w:pPr>
        <w:rPr>
          <w:u w:val="single"/>
        </w:rPr>
      </w:pPr>
      <w:r w:rsidRPr="00832AD1">
        <w:rPr>
          <w:u w:val="single"/>
        </w:rPr>
        <w:lastRenderedPageBreak/>
        <w:t xml:space="preserve">Representative Sites from </w:t>
      </w:r>
      <w:proofErr w:type="spellStart"/>
      <w:r w:rsidRPr="00832AD1">
        <w:rPr>
          <w:u w:val="single"/>
        </w:rPr>
        <w:t>Renewables.Ninja</w:t>
      </w:r>
      <w:proofErr w:type="spellEnd"/>
      <w:r>
        <w:rPr>
          <w:u w:val="single"/>
        </w:rPr>
        <w:t xml:space="preserve"> in South Korea</w:t>
      </w:r>
    </w:p>
    <w:p w14:paraId="6FDB80EC" w14:textId="77777777" w:rsidR="00832AD1" w:rsidRDefault="00832AD1"/>
    <w:p w14:paraId="050E5FF3" w14:textId="6AA24FC7" w:rsidR="00832AD1" w:rsidRDefault="00832AD1">
      <w:r>
        <w:rPr>
          <w:noProof/>
        </w:rPr>
        <w:drawing>
          <wp:inline distT="0" distB="0" distL="0" distR="0" wp14:anchorId="7A532284" wp14:editId="0700EC2A">
            <wp:extent cx="5943600" cy="6529705"/>
            <wp:effectExtent l="0" t="0" r="0" b="4445"/>
            <wp:docPr id="915607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607121" name=""/>
                    <pic:cNvPicPr/>
                  </pic:nvPicPr>
                  <pic:blipFill>
                    <a:blip r:embed="rId14"/>
                    <a:stretch>
                      <a:fillRect/>
                    </a:stretch>
                  </pic:blipFill>
                  <pic:spPr>
                    <a:xfrm>
                      <a:off x="0" y="0"/>
                      <a:ext cx="5943600" cy="6529705"/>
                    </a:xfrm>
                    <a:prstGeom prst="rect">
                      <a:avLst/>
                    </a:prstGeom>
                  </pic:spPr>
                </pic:pic>
              </a:graphicData>
            </a:graphic>
          </wp:inline>
        </w:drawing>
      </w:r>
    </w:p>
    <w:sectPr w:rsidR="00832AD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12E0F5" w14:textId="77777777" w:rsidR="00305B29" w:rsidRDefault="00305B29" w:rsidP="00832AD1">
      <w:pPr>
        <w:spacing w:after="0" w:line="240" w:lineRule="auto"/>
      </w:pPr>
      <w:r>
        <w:separator/>
      </w:r>
    </w:p>
  </w:endnote>
  <w:endnote w:type="continuationSeparator" w:id="0">
    <w:p w14:paraId="7192B93A" w14:textId="77777777" w:rsidR="00305B29" w:rsidRDefault="00305B29" w:rsidP="00832A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93AF2A" w14:textId="77777777" w:rsidR="00305B29" w:rsidRDefault="00305B29" w:rsidP="00832AD1">
      <w:pPr>
        <w:spacing w:after="0" w:line="240" w:lineRule="auto"/>
      </w:pPr>
      <w:r>
        <w:separator/>
      </w:r>
    </w:p>
  </w:footnote>
  <w:footnote w:type="continuationSeparator" w:id="0">
    <w:p w14:paraId="75630E84" w14:textId="77777777" w:rsidR="00305B29" w:rsidRDefault="00305B29" w:rsidP="00832AD1">
      <w:pPr>
        <w:spacing w:after="0" w:line="240" w:lineRule="auto"/>
      </w:pPr>
      <w:r>
        <w:continuationSeparator/>
      </w:r>
    </w:p>
  </w:footnote>
  <w:footnote w:id="1">
    <w:p w14:paraId="5594F414" w14:textId="3F057381" w:rsidR="007C3A65" w:rsidRDefault="007C3A65">
      <w:pPr>
        <w:pStyle w:val="FootnoteText"/>
      </w:pPr>
      <w:r>
        <w:rPr>
          <w:rStyle w:val="FootnoteReference"/>
        </w:rPr>
        <w:footnoteRef/>
      </w:r>
      <w:r>
        <w:t xml:space="preserve"> </w:t>
      </w:r>
      <w:hyperlink r:id="rId1" w:history="1">
        <w:r w:rsidRPr="00B64ADD">
          <w:rPr>
            <w:rStyle w:val="Hyperlink"/>
          </w:rPr>
          <w:t>https://www.sciencedirect.com/science/article/pii/S0360544216311811</w:t>
        </w:r>
      </w:hyperlink>
      <w:r>
        <w:t xml:space="preserve"> </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83E"/>
    <w:rsid w:val="0013411F"/>
    <w:rsid w:val="00305B29"/>
    <w:rsid w:val="004B267D"/>
    <w:rsid w:val="00636E1C"/>
    <w:rsid w:val="007C3A65"/>
    <w:rsid w:val="00832AD1"/>
    <w:rsid w:val="00BC4499"/>
    <w:rsid w:val="00DA78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161CC5"/>
  <w15:chartTrackingRefBased/>
  <w15:docId w15:val="{482F583B-3D44-4FDF-B677-14301842D9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2AD1"/>
  </w:style>
  <w:style w:type="paragraph" w:styleId="Heading1">
    <w:name w:val="heading 1"/>
    <w:basedOn w:val="Normal"/>
    <w:next w:val="Normal"/>
    <w:link w:val="Heading1Char"/>
    <w:uiPriority w:val="9"/>
    <w:qFormat/>
    <w:rsid w:val="00DA78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78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78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78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78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78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78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78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78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78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78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78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78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78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78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78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78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783E"/>
    <w:rPr>
      <w:rFonts w:eastAsiaTheme="majorEastAsia" w:cstheme="majorBidi"/>
      <w:color w:val="272727" w:themeColor="text1" w:themeTint="D8"/>
    </w:rPr>
  </w:style>
  <w:style w:type="paragraph" w:styleId="Title">
    <w:name w:val="Title"/>
    <w:basedOn w:val="Normal"/>
    <w:next w:val="Normal"/>
    <w:link w:val="TitleChar"/>
    <w:uiPriority w:val="10"/>
    <w:qFormat/>
    <w:rsid w:val="00DA78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78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78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78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783E"/>
    <w:pPr>
      <w:spacing w:before="160"/>
      <w:jc w:val="center"/>
    </w:pPr>
    <w:rPr>
      <w:i/>
      <w:iCs/>
      <w:color w:val="404040" w:themeColor="text1" w:themeTint="BF"/>
    </w:rPr>
  </w:style>
  <w:style w:type="character" w:customStyle="1" w:styleId="QuoteChar">
    <w:name w:val="Quote Char"/>
    <w:basedOn w:val="DefaultParagraphFont"/>
    <w:link w:val="Quote"/>
    <w:uiPriority w:val="29"/>
    <w:rsid w:val="00DA783E"/>
    <w:rPr>
      <w:i/>
      <w:iCs/>
      <w:color w:val="404040" w:themeColor="text1" w:themeTint="BF"/>
    </w:rPr>
  </w:style>
  <w:style w:type="paragraph" w:styleId="ListParagraph">
    <w:name w:val="List Paragraph"/>
    <w:basedOn w:val="Normal"/>
    <w:uiPriority w:val="34"/>
    <w:qFormat/>
    <w:rsid w:val="00DA783E"/>
    <w:pPr>
      <w:ind w:left="720"/>
      <w:contextualSpacing/>
    </w:pPr>
  </w:style>
  <w:style w:type="character" w:styleId="IntenseEmphasis">
    <w:name w:val="Intense Emphasis"/>
    <w:basedOn w:val="DefaultParagraphFont"/>
    <w:uiPriority w:val="21"/>
    <w:qFormat/>
    <w:rsid w:val="00DA783E"/>
    <w:rPr>
      <w:i/>
      <w:iCs/>
      <w:color w:val="0F4761" w:themeColor="accent1" w:themeShade="BF"/>
    </w:rPr>
  </w:style>
  <w:style w:type="paragraph" w:styleId="IntenseQuote">
    <w:name w:val="Intense Quote"/>
    <w:basedOn w:val="Normal"/>
    <w:next w:val="Normal"/>
    <w:link w:val="IntenseQuoteChar"/>
    <w:uiPriority w:val="30"/>
    <w:qFormat/>
    <w:rsid w:val="00DA78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783E"/>
    <w:rPr>
      <w:i/>
      <w:iCs/>
      <w:color w:val="0F4761" w:themeColor="accent1" w:themeShade="BF"/>
    </w:rPr>
  </w:style>
  <w:style w:type="character" w:styleId="IntenseReference">
    <w:name w:val="Intense Reference"/>
    <w:basedOn w:val="DefaultParagraphFont"/>
    <w:uiPriority w:val="32"/>
    <w:qFormat/>
    <w:rsid w:val="00DA783E"/>
    <w:rPr>
      <w:b/>
      <w:bCs/>
      <w:smallCaps/>
      <w:color w:val="0F4761" w:themeColor="accent1" w:themeShade="BF"/>
      <w:spacing w:val="5"/>
    </w:rPr>
  </w:style>
  <w:style w:type="character" w:styleId="Hyperlink">
    <w:name w:val="Hyperlink"/>
    <w:basedOn w:val="DefaultParagraphFont"/>
    <w:uiPriority w:val="99"/>
    <w:unhideWhenUsed/>
    <w:rsid w:val="00DA783E"/>
    <w:rPr>
      <w:color w:val="467886" w:themeColor="hyperlink"/>
      <w:u w:val="single"/>
    </w:rPr>
  </w:style>
  <w:style w:type="character" w:styleId="UnresolvedMention">
    <w:name w:val="Unresolved Mention"/>
    <w:basedOn w:val="DefaultParagraphFont"/>
    <w:uiPriority w:val="99"/>
    <w:semiHidden/>
    <w:unhideWhenUsed/>
    <w:rsid w:val="00DA783E"/>
    <w:rPr>
      <w:color w:val="605E5C"/>
      <w:shd w:val="clear" w:color="auto" w:fill="E1DFDD"/>
    </w:rPr>
  </w:style>
  <w:style w:type="paragraph" w:styleId="FootnoteText">
    <w:name w:val="footnote text"/>
    <w:basedOn w:val="Normal"/>
    <w:link w:val="FootnoteTextChar"/>
    <w:uiPriority w:val="99"/>
    <w:semiHidden/>
    <w:unhideWhenUsed/>
    <w:rsid w:val="00832AD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32AD1"/>
    <w:rPr>
      <w:sz w:val="20"/>
      <w:szCs w:val="20"/>
    </w:rPr>
  </w:style>
  <w:style w:type="character" w:styleId="FootnoteReference">
    <w:name w:val="footnote reference"/>
    <w:basedOn w:val="DefaultParagraphFont"/>
    <w:uiPriority w:val="99"/>
    <w:semiHidden/>
    <w:unhideWhenUsed/>
    <w:rsid w:val="00832AD1"/>
    <w:rPr>
      <w:vertAlign w:val="superscript"/>
    </w:rPr>
  </w:style>
  <w:style w:type="paragraph" w:styleId="Caption">
    <w:name w:val="caption"/>
    <w:basedOn w:val="Normal"/>
    <w:next w:val="Normal"/>
    <w:uiPriority w:val="35"/>
    <w:unhideWhenUsed/>
    <w:qFormat/>
    <w:rsid w:val="007C3A65"/>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nationalatlas.ngii.go.kr/pages/page_2390.php"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www.bakerinstitute.org/map-chinas-energy-infrastructure" TargetMode="External"/><Relationship Id="rId14" Type="http://schemas.openxmlformats.org/officeDocument/2006/relationships/image" Target="media/image6.png"/></Relationships>
</file>

<file path=word/_rels/footnotes.xml.rels><?xml version="1.0" encoding="UTF-8" standalone="yes"?>
<Relationships xmlns="http://schemas.openxmlformats.org/package/2006/relationships"><Relationship Id="rId1" Type="http://schemas.openxmlformats.org/officeDocument/2006/relationships/hyperlink" Target="https://www.sciencedirect.com/science/article/pii/S036054421631181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B16635-4B13-403B-960F-6DC7176E19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5</Pages>
  <Words>404</Words>
  <Characters>2309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Claire Trevisan</dc:creator>
  <cp:keywords/>
  <dc:description/>
  <cp:lastModifiedBy>Claire Trevisan</cp:lastModifiedBy>
  <cp:revision>3</cp:revision>
  <dcterms:created xsi:type="dcterms:W3CDTF">2026-07-10T17:24:00Z</dcterms:created>
  <dcterms:modified xsi:type="dcterms:W3CDTF">2026-07-10T22:27:00Z</dcterms:modified>
</cp:coreProperties>
</file>