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66151" w14:textId="77777777" w:rsidR="00654812" w:rsidRDefault="00824CDF">
      <w:pPr>
        <w:rPr>
          <w:b/>
          <w:sz w:val="32"/>
          <w:szCs w:val="32"/>
        </w:rPr>
      </w:pPr>
      <w:r>
        <w:rPr>
          <w:b/>
          <w:sz w:val="32"/>
          <w:szCs w:val="32"/>
        </w:rPr>
        <w:t>State Energy Policy Simulator (EPS) Documentation</w:t>
      </w:r>
    </w:p>
    <w:p w14:paraId="08B0072B" w14:textId="77777777" w:rsidR="00654812" w:rsidRDefault="00824CDF">
      <w:pPr>
        <w:pStyle w:val="Heading1"/>
      </w:pPr>
      <w:r>
        <w:t xml:space="preserve"> Estimating Economy-wide Emissions </w:t>
      </w:r>
      <w:r>
        <w:tab/>
      </w:r>
      <w:r>
        <w:tab/>
      </w:r>
      <w:r>
        <w:tab/>
      </w:r>
      <w:r>
        <w:tab/>
      </w:r>
      <w:r>
        <w:tab/>
      </w:r>
      <w:r>
        <w:tab/>
      </w:r>
      <w:r>
        <w:tab/>
      </w:r>
      <w:r>
        <w:tab/>
      </w:r>
      <w:r>
        <w:tab/>
      </w:r>
      <w:r>
        <w:tab/>
      </w:r>
    </w:p>
    <w:p w14:paraId="640FAC93" w14:textId="77777777" w:rsidR="00654812" w:rsidRDefault="00824CDF">
      <w:r>
        <w:t xml:space="preserve">The US State Energy Policy Simulators (EPS) account for emissions produced in the following sectors: electricity generation, building energy consumption, industrial energy consumption, industrial process emissions, agriculture process emissions, land use change, and transportation. </w:t>
      </w:r>
    </w:p>
    <w:p w14:paraId="485C66D5" w14:textId="2A348C6E" w:rsidR="00654812" w:rsidRDefault="00824CDF">
      <w:r>
        <w:t>Our primary sources are federal data sets from the Environmental Protection Agency (EPA), Energy Information Association (EIA),</w:t>
      </w:r>
      <w:r w:rsidR="00C13FC0">
        <w:t xml:space="preserve"> the California Air Resources Board (CARB), California Energy Commission (CEC),</w:t>
      </w:r>
      <w:r>
        <w:t xml:space="preserve"> and the National Renewable Energy Lab (NREL). The table below summarizes our data sources and methodology.</w:t>
      </w:r>
    </w:p>
    <w:p w14:paraId="1BE1D4A5" w14:textId="77777777" w:rsidR="00654812" w:rsidRDefault="00824CDF">
      <w:pPr>
        <w:pStyle w:val="Heading2"/>
      </w:pPr>
      <w:r>
        <w:t xml:space="preserve"> DATA SOURCES</w:t>
      </w:r>
      <w:r>
        <w:tab/>
      </w:r>
      <w:r>
        <w:tab/>
      </w:r>
      <w:r>
        <w:tab/>
      </w:r>
      <w:r>
        <w:tab/>
      </w:r>
      <w:r>
        <w:tab/>
      </w:r>
      <w:r>
        <w:tab/>
      </w:r>
      <w:r>
        <w:tab/>
      </w:r>
    </w:p>
    <w:tbl>
      <w:tblPr>
        <w:tblStyle w:val="a"/>
        <w:tblW w:w="5000" w:type="pct"/>
        <w:tblLook w:val="0400" w:firstRow="0" w:lastRow="0" w:firstColumn="0" w:lastColumn="0" w:noHBand="0" w:noVBand="1"/>
      </w:tblPr>
      <w:tblGrid>
        <w:gridCol w:w="1893"/>
        <w:gridCol w:w="4390"/>
        <w:gridCol w:w="5060"/>
        <w:gridCol w:w="3037"/>
      </w:tblGrid>
      <w:tr w:rsidR="009750BA" w14:paraId="5F206BA6"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1A77A8F"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SECTOR</w:t>
            </w:r>
          </w:p>
        </w:tc>
        <w:tc>
          <w:tcPr>
            <w:tcW w:w="1526"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46C0F8C"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SOURCE</w:t>
            </w:r>
          </w:p>
        </w:tc>
        <w:tc>
          <w:tcPr>
            <w:tcW w:w="1759"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9D436F"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METHODOLOGY</w:t>
            </w:r>
          </w:p>
        </w:tc>
        <w:tc>
          <w:tcPr>
            <w:tcW w:w="1056"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2C309713"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BENCHMARKING SOURCES FOR COMPARISONS</w:t>
            </w:r>
          </w:p>
        </w:tc>
      </w:tr>
      <w:tr w:rsidR="009750BA" w14:paraId="236DEB5A"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79CEAA09" w14:textId="77777777" w:rsidR="009750BA" w:rsidRDefault="009750BA">
            <w:pPr>
              <w:spacing w:after="0" w:line="240" w:lineRule="auto"/>
              <w:jc w:val="center"/>
              <w:rPr>
                <w:sz w:val="20"/>
                <w:szCs w:val="20"/>
              </w:rPr>
            </w:pPr>
            <w:r>
              <w:rPr>
                <w:sz w:val="20"/>
                <w:szCs w:val="20"/>
              </w:rPr>
              <w:t>Electricity</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E6976" w14:textId="77777777" w:rsidR="009750BA" w:rsidRDefault="009750BA">
            <w:pPr>
              <w:spacing w:after="0" w:line="240" w:lineRule="auto"/>
              <w:rPr>
                <w:color w:val="1155CC"/>
                <w:sz w:val="20"/>
                <w:szCs w:val="20"/>
                <w:u w:val="single"/>
              </w:rPr>
            </w:pPr>
            <w:r>
              <w:rPr>
                <w:sz w:val="20"/>
                <w:szCs w:val="20"/>
              </w:rPr>
              <w:t xml:space="preserve">For capacity and generation: EIA’s </w:t>
            </w:r>
            <w:hyperlink r:id="rId7">
              <w:r>
                <w:rPr>
                  <w:color w:val="1155CC"/>
                  <w:sz w:val="20"/>
                  <w:szCs w:val="20"/>
                  <w:u w:val="single"/>
                </w:rPr>
                <w:t>Form 923</w:t>
              </w:r>
            </w:hyperlink>
            <w:r>
              <w:rPr>
                <w:sz w:val="20"/>
                <w:szCs w:val="20"/>
              </w:rPr>
              <w:t xml:space="preserve"> and EIA’s </w:t>
            </w:r>
            <w:hyperlink r:id="rId8">
              <w:r>
                <w:rPr>
                  <w:color w:val="1155CC"/>
                  <w:sz w:val="20"/>
                  <w:szCs w:val="20"/>
                  <w:u w:val="single"/>
                </w:rPr>
                <w:t>Form 860</w:t>
              </w:r>
            </w:hyperlink>
          </w:p>
          <w:p w14:paraId="7FCF300A" w14:textId="77777777" w:rsidR="009750BA" w:rsidRDefault="009750BA">
            <w:pPr>
              <w:spacing w:after="0" w:line="240" w:lineRule="auto"/>
              <w:rPr>
                <w:sz w:val="20"/>
                <w:szCs w:val="20"/>
              </w:rPr>
            </w:pPr>
          </w:p>
          <w:p w14:paraId="664AF4C6" w14:textId="3E361E42" w:rsidR="009750BA" w:rsidRPr="009750BA" w:rsidRDefault="009750BA">
            <w:pPr>
              <w:spacing w:after="0" w:line="240" w:lineRule="auto"/>
              <w:rPr>
                <w:color w:val="1155CC"/>
                <w:sz w:val="20"/>
                <w:szCs w:val="20"/>
                <w:u w:val="single"/>
              </w:rPr>
            </w:pPr>
            <w:r w:rsidRPr="009750BA">
              <w:rPr>
                <w:sz w:val="20"/>
                <w:szCs w:val="20"/>
              </w:rPr>
              <w:t xml:space="preserve">E3, </w:t>
            </w:r>
            <w:hyperlink r:id="rId9" w:history="1">
              <w:r w:rsidRPr="009750BA">
                <w:rPr>
                  <w:rStyle w:val="Hyperlink"/>
                  <w:sz w:val="20"/>
                  <w:szCs w:val="20"/>
                </w:rPr>
                <w:t>RESOLVE</w:t>
              </w:r>
            </w:hyperlink>
            <w:r w:rsidRPr="009750BA">
              <w:rPr>
                <w:sz w:val="20"/>
                <w:szCs w:val="20"/>
              </w:rPr>
              <w:t xml:space="preserve"> modeling for California Public Utilities Commission’s 2022 long-term planning process</w:t>
            </w:r>
            <w:r>
              <w:rPr>
                <w:sz w:val="20"/>
                <w:szCs w:val="20"/>
              </w:rPr>
              <w:t>.</w:t>
            </w:r>
            <w:r w:rsidRPr="009750BA">
              <w:rPr>
                <w:sz w:val="20"/>
                <w:szCs w:val="20"/>
              </w:rPr>
              <w:t xml:space="preserve">  </w:t>
            </w:r>
          </w:p>
          <w:p w14:paraId="733BBBBB" w14:textId="77777777" w:rsidR="009750BA" w:rsidRDefault="009750BA">
            <w:pPr>
              <w:spacing w:after="0"/>
              <w:rPr>
                <w:sz w:val="20"/>
                <w:szCs w:val="20"/>
              </w:rPr>
            </w:pPr>
          </w:p>
          <w:p w14:paraId="559DEA7F" w14:textId="54478080" w:rsidR="009750BA" w:rsidRDefault="009750BA">
            <w:pPr>
              <w:spacing w:after="0" w:line="240" w:lineRule="auto"/>
              <w:rPr>
                <w:sz w:val="20"/>
                <w:szCs w:val="20"/>
              </w:rPr>
            </w:pPr>
            <w:r>
              <w:rPr>
                <w:sz w:val="20"/>
                <w:szCs w:val="20"/>
              </w:rPr>
              <w:t xml:space="preserve">For imports/exports: EIA’s State Electricity Profiles </w:t>
            </w:r>
            <w:hyperlink r:id="rId10">
              <w:r>
                <w:rPr>
                  <w:color w:val="1155CC"/>
                  <w:sz w:val="20"/>
                  <w:szCs w:val="20"/>
                  <w:u w:val="single"/>
                </w:rPr>
                <w:t>Table 10</w:t>
              </w:r>
            </w:hyperlink>
            <w:r>
              <w:rPr>
                <w:sz w:val="20"/>
                <w:szCs w:val="20"/>
              </w:rPr>
              <w:t>. </w:t>
            </w:r>
            <w:r w:rsidR="00BC6DBC">
              <w:rPr>
                <w:sz w:val="20"/>
                <w:szCs w:val="20"/>
              </w:rPr>
              <w:t xml:space="preserve">As well as the California Energy Commission’s annual data on </w:t>
            </w:r>
            <w:hyperlink r:id="rId11" w:history="1">
              <w:r w:rsidR="00BC6DBC" w:rsidRPr="00BC6DBC">
                <w:rPr>
                  <w:rStyle w:val="Hyperlink"/>
                  <w:sz w:val="20"/>
                  <w:szCs w:val="20"/>
                </w:rPr>
                <w:t>Total System Generation</w:t>
              </w:r>
            </w:hyperlink>
            <w:r w:rsidR="00BC6DBC">
              <w:rPr>
                <w:sz w:val="20"/>
                <w:szCs w:val="20"/>
              </w:rPr>
              <w:t>.</w:t>
            </w:r>
          </w:p>
          <w:p w14:paraId="56199EBE" w14:textId="2FEBBC9C" w:rsidR="00BC6DBC" w:rsidRPr="00BC6DBC" w:rsidRDefault="00BC6DBC">
            <w:pPr>
              <w:spacing w:after="0" w:line="240" w:lineRule="auto"/>
              <w:rPr>
                <w:sz w:val="18"/>
                <w:szCs w:val="18"/>
              </w:rPr>
            </w:pPr>
          </w:p>
          <w:p w14:paraId="01AF817F" w14:textId="18BC0B6D" w:rsidR="00BC6DBC" w:rsidRPr="00BC6DBC" w:rsidRDefault="00000000">
            <w:pPr>
              <w:spacing w:after="0" w:line="240" w:lineRule="auto"/>
              <w:rPr>
                <w:sz w:val="18"/>
                <w:szCs w:val="18"/>
              </w:rPr>
            </w:pPr>
            <w:hyperlink r:id="rId12" w:anchor="99INT" w:history="1">
              <w:r w:rsidR="00BC6DBC" w:rsidRPr="00BC6DBC">
                <w:rPr>
                  <w:rStyle w:val="Hyperlink"/>
                  <w:sz w:val="20"/>
                  <w:szCs w:val="20"/>
                </w:rPr>
                <w:t>Senate Bill 846</w:t>
              </w:r>
            </w:hyperlink>
            <w:r w:rsidR="00BC6DBC">
              <w:rPr>
                <w:rStyle w:val="Hyperlink"/>
                <w:sz w:val="20"/>
                <w:szCs w:val="20"/>
              </w:rPr>
              <w:t>:</w:t>
            </w:r>
            <w:r w:rsidR="00BC6DBC" w:rsidRPr="00BC6DBC">
              <w:rPr>
                <w:sz w:val="20"/>
                <w:szCs w:val="20"/>
              </w:rPr>
              <w:t xml:space="preserve"> dela</w:t>
            </w:r>
            <w:r w:rsidR="00BC6DBC">
              <w:rPr>
                <w:sz w:val="20"/>
                <w:szCs w:val="20"/>
              </w:rPr>
              <w:t>ys</w:t>
            </w:r>
            <w:r w:rsidR="00BC6DBC" w:rsidRPr="00BC6DBC">
              <w:rPr>
                <w:sz w:val="20"/>
                <w:szCs w:val="20"/>
              </w:rPr>
              <w:t xml:space="preserve"> retirement of California’s nuclear generation capacity for 2030 and 2031.</w:t>
            </w:r>
          </w:p>
          <w:p w14:paraId="2639E3D4" w14:textId="3036E4BE" w:rsidR="00BC6DBC" w:rsidRDefault="00BC6DBC">
            <w:pPr>
              <w:spacing w:after="0"/>
              <w:rPr>
                <w:sz w:val="20"/>
                <w:szCs w:val="20"/>
              </w:rPr>
            </w:pP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5FFC1" w14:textId="77777777" w:rsidR="009750BA" w:rsidRDefault="009750BA">
            <w:pPr>
              <w:spacing w:after="0" w:line="240" w:lineRule="auto"/>
              <w:rPr>
                <w:sz w:val="20"/>
                <w:szCs w:val="20"/>
              </w:rPr>
            </w:pPr>
            <w:r>
              <w:rPr>
                <w:sz w:val="20"/>
                <w:szCs w:val="20"/>
              </w:rPr>
              <w:t>Include all utility-owned generation and capacity in-state. No scaling needed.</w:t>
            </w:r>
          </w:p>
          <w:p w14:paraId="33914A62" w14:textId="77777777" w:rsidR="009750BA" w:rsidRDefault="009750BA">
            <w:pPr>
              <w:spacing w:after="0" w:line="240" w:lineRule="auto"/>
              <w:rPr>
                <w:sz w:val="20"/>
                <w:szCs w:val="20"/>
              </w:rPr>
            </w:pPr>
          </w:p>
          <w:p w14:paraId="67DF5F13" w14:textId="6BAA6151" w:rsidR="009750BA" w:rsidRDefault="009750BA">
            <w:pPr>
              <w:spacing w:after="0" w:line="240" w:lineRule="auto"/>
              <w:rPr>
                <w:sz w:val="20"/>
                <w:szCs w:val="20"/>
              </w:rPr>
            </w:pPr>
            <w:r>
              <w:rPr>
                <w:sz w:val="20"/>
                <w:szCs w:val="20"/>
              </w:rPr>
              <w:t>Imports and exports from start year are held constant</w:t>
            </w:r>
            <w:r w:rsidR="00BC6DBC">
              <w:rPr>
                <w:sz w:val="20"/>
                <w:szCs w:val="20"/>
              </w:rPr>
              <w:t>, apart from fossil combustion-based generation, which ramps down over time (2025 for coal, 2045 otherwise)</w:t>
            </w:r>
            <w:r>
              <w:rPr>
                <w:sz w:val="20"/>
                <w:szCs w:val="20"/>
              </w:rPr>
              <w:t xml:space="preserve">. </w:t>
            </w:r>
          </w:p>
        </w:tc>
        <w:tc>
          <w:tcPr>
            <w:tcW w:w="10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8228E" w14:textId="0DDCDB7B" w:rsidR="009750BA" w:rsidRDefault="009750BA">
            <w:pPr>
              <w:spacing w:after="0" w:line="240" w:lineRule="auto"/>
              <w:rPr>
                <w:sz w:val="20"/>
                <w:szCs w:val="20"/>
              </w:rPr>
            </w:pPr>
            <w:r>
              <w:rPr>
                <w:sz w:val="20"/>
                <w:szCs w:val="20"/>
              </w:rPr>
              <w:t xml:space="preserve">California Air Resources Board – </w:t>
            </w:r>
            <w:hyperlink r:id="rId13" w:history="1">
              <w:r w:rsidRPr="009750BA">
                <w:rPr>
                  <w:rStyle w:val="Hyperlink"/>
                  <w:sz w:val="20"/>
                  <w:szCs w:val="20"/>
                </w:rPr>
                <w:t>California 2019 GHG Inventory</w:t>
              </w:r>
            </w:hyperlink>
          </w:p>
          <w:p w14:paraId="3A0AF6BB" w14:textId="77777777" w:rsidR="009750BA" w:rsidRDefault="009750BA">
            <w:pPr>
              <w:spacing w:after="0" w:line="240" w:lineRule="auto"/>
              <w:rPr>
                <w:sz w:val="20"/>
                <w:szCs w:val="20"/>
              </w:rPr>
            </w:pPr>
          </w:p>
          <w:p w14:paraId="7F4F550F" w14:textId="3D338CAA" w:rsidR="009750BA" w:rsidRDefault="009750BA">
            <w:pPr>
              <w:spacing w:after="0" w:line="240" w:lineRule="auto"/>
              <w:rPr>
                <w:sz w:val="20"/>
                <w:szCs w:val="20"/>
              </w:rPr>
            </w:pPr>
            <w:r>
              <w:rPr>
                <w:sz w:val="20"/>
                <w:szCs w:val="20"/>
              </w:rPr>
              <w:t>Emissions - EPA “</w:t>
            </w:r>
            <w:hyperlink r:id="rId14">
              <w:r>
                <w:rPr>
                  <w:color w:val="1155CC"/>
                  <w:sz w:val="20"/>
                  <w:szCs w:val="20"/>
                  <w:u w:val="single"/>
                </w:rPr>
                <w:t>State CO2 Emissions from Fossil Fuel Combustion, 1990-2017</w:t>
              </w:r>
            </w:hyperlink>
            <w:r>
              <w:rPr>
                <w:sz w:val="20"/>
                <w:szCs w:val="20"/>
              </w:rPr>
              <w:t>” &amp;</w:t>
            </w:r>
          </w:p>
          <w:p w14:paraId="3B8AE6CE" w14:textId="77777777" w:rsidR="009750BA" w:rsidRDefault="009750BA">
            <w:pPr>
              <w:spacing w:after="0" w:line="240" w:lineRule="auto"/>
              <w:rPr>
                <w:sz w:val="20"/>
                <w:szCs w:val="20"/>
              </w:rPr>
            </w:pPr>
          </w:p>
          <w:p w14:paraId="217F15A4" w14:textId="51A82B1D" w:rsidR="009750BA" w:rsidRDefault="009750BA">
            <w:pPr>
              <w:spacing w:after="0" w:line="240" w:lineRule="auto"/>
              <w:rPr>
                <w:sz w:val="20"/>
                <w:szCs w:val="20"/>
              </w:rPr>
            </w:pPr>
            <w:r>
              <w:rPr>
                <w:sz w:val="20"/>
                <w:szCs w:val="20"/>
              </w:rPr>
              <w:t>AEO “</w:t>
            </w:r>
            <w:hyperlink r:id="rId15">
              <w:r>
                <w:rPr>
                  <w:color w:val="1155CC"/>
                  <w:sz w:val="20"/>
                  <w:szCs w:val="20"/>
                  <w:u w:val="single"/>
                </w:rPr>
                <w:t>State CO2 Emissions from Fossil Fuel Combustion</w:t>
              </w:r>
            </w:hyperlink>
            <w:r>
              <w:rPr>
                <w:sz w:val="20"/>
                <w:szCs w:val="20"/>
              </w:rPr>
              <w:t>”</w:t>
            </w:r>
          </w:p>
        </w:tc>
      </w:tr>
      <w:tr w:rsidR="009750BA" w14:paraId="0772186F"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4AEAAD11" w14:textId="77777777" w:rsidR="009750BA" w:rsidRDefault="009750BA">
            <w:pPr>
              <w:spacing w:after="0" w:line="240" w:lineRule="auto"/>
              <w:jc w:val="center"/>
              <w:rPr>
                <w:sz w:val="20"/>
                <w:szCs w:val="20"/>
              </w:rPr>
            </w:pPr>
            <w:r>
              <w:rPr>
                <w:sz w:val="20"/>
                <w:szCs w:val="20"/>
              </w:rPr>
              <w:t>Building Energy Use</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808EB" w14:textId="57F8FD06" w:rsidR="009750BA" w:rsidRPr="009750BA" w:rsidRDefault="009750BA" w:rsidP="009750BA">
            <w:pPr>
              <w:spacing w:after="0" w:line="240" w:lineRule="auto"/>
              <w:rPr>
                <w:sz w:val="20"/>
                <w:szCs w:val="20"/>
              </w:rPr>
            </w:pPr>
            <w:r w:rsidRPr="009750BA">
              <w:rPr>
                <w:sz w:val="20"/>
                <w:szCs w:val="20"/>
              </w:rPr>
              <w:t xml:space="preserve">National Renewable Energy Laboratory, Electrification Futures: </w:t>
            </w:r>
            <w:hyperlink r:id="rId16" w:history="1">
              <w:r w:rsidRPr="009750BA">
                <w:rPr>
                  <w:rStyle w:val="Hyperlink"/>
                  <w:sz w:val="20"/>
                  <w:szCs w:val="20"/>
                </w:rPr>
                <w:t>End-Use Electric Technology Cost and Performance Projections Through 2050</w:t>
              </w:r>
            </w:hyperlink>
            <w:r w:rsidRPr="009750BA">
              <w:rPr>
                <w:sz w:val="20"/>
                <w:szCs w:val="20"/>
              </w:rPr>
              <w:t xml:space="preserve"> </w:t>
            </w:r>
          </w:p>
          <w:p w14:paraId="682C21AC" w14:textId="77777777" w:rsidR="009750BA" w:rsidRDefault="009750BA" w:rsidP="009750BA">
            <w:pPr>
              <w:spacing w:after="0" w:line="240" w:lineRule="auto"/>
              <w:rPr>
                <w:sz w:val="20"/>
                <w:szCs w:val="20"/>
              </w:rPr>
            </w:pPr>
          </w:p>
          <w:p w14:paraId="400AE5F4" w14:textId="62BC2D8B" w:rsidR="009750BA" w:rsidRPr="009750BA" w:rsidRDefault="009750BA" w:rsidP="009750BA">
            <w:pPr>
              <w:spacing w:after="0" w:line="240" w:lineRule="auto"/>
              <w:rPr>
                <w:sz w:val="20"/>
                <w:szCs w:val="20"/>
              </w:rPr>
            </w:pPr>
            <w:r w:rsidRPr="009750BA">
              <w:rPr>
                <w:sz w:val="20"/>
                <w:szCs w:val="20"/>
              </w:rPr>
              <w:t xml:space="preserve">California Energy Commission, Integrated Energy Policy Report </w:t>
            </w:r>
          </w:p>
          <w:p w14:paraId="5711E47F" w14:textId="77777777" w:rsidR="009750BA" w:rsidRDefault="009750BA" w:rsidP="009750BA">
            <w:pPr>
              <w:spacing w:after="0" w:line="240" w:lineRule="auto"/>
              <w:rPr>
                <w:sz w:val="20"/>
                <w:szCs w:val="20"/>
              </w:rPr>
            </w:pPr>
          </w:p>
          <w:p w14:paraId="7D249F86" w14:textId="6E55B2CC" w:rsidR="009750BA" w:rsidRPr="009750BA" w:rsidRDefault="009750BA" w:rsidP="009750BA">
            <w:pPr>
              <w:spacing w:after="0" w:line="240" w:lineRule="auto"/>
              <w:rPr>
                <w:sz w:val="20"/>
                <w:szCs w:val="20"/>
              </w:rPr>
            </w:pPr>
            <w:r w:rsidRPr="009750BA">
              <w:rPr>
                <w:sz w:val="20"/>
                <w:szCs w:val="20"/>
              </w:rPr>
              <w:t xml:space="preserve">California Energy Commission, </w:t>
            </w:r>
            <w:hyperlink r:id="rId17" w:history="1">
              <w:r w:rsidRPr="00FC380F">
                <w:rPr>
                  <w:rStyle w:val="Hyperlink"/>
                  <w:sz w:val="20"/>
                  <w:szCs w:val="20"/>
                </w:rPr>
                <w:t>Building Decarbonization Assessment</w:t>
              </w:r>
            </w:hyperlink>
            <w:r w:rsidRPr="009750BA">
              <w:rPr>
                <w:sz w:val="20"/>
                <w:szCs w:val="20"/>
              </w:rPr>
              <w:t xml:space="preserve"> </w:t>
            </w:r>
          </w:p>
          <w:p w14:paraId="7F03DF7C" w14:textId="77777777" w:rsidR="009750BA" w:rsidRDefault="009750BA" w:rsidP="009750BA">
            <w:pPr>
              <w:spacing w:after="0" w:line="240" w:lineRule="auto"/>
              <w:rPr>
                <w:sz w:val="20"/>
                <w:szCs w:val="20"/>
              </w:rPr>
            </w:pPr>
          </w:p>
          <w:p w14:paraId="199D91DA" w14:textId="50733A94" w:rsidR="009750BA" w:rsidRDefault="009750BA" w:rsidP="009750BA">
            <w:pPr>
              <w:spacing w:after="0" w:line="240" w:lineRule="auto"/>
              <w:rPr>
                <w:sz w:val="20"/>
                <w:szCs w:val="20"/>
              </w:rPr>
            </w:pPr>
            <w:r w:rsidRPr="009750BA">
              <w:rPr>
                <w:sz w:val="20"/>
                <w:szCs w:val="20"/>
              </w:rPr>
              <w:t>California Pathways</w:t>
            </w:r>
            <w:r w:rsidR="00FC380F">
              <w:rPr>
                <w:sz w:val="20"/>
                <w:szCs w:val="20"/>
              </w:rPr>
              <w:t xml:space="preserve"> </w:t>
            </w:r>
            <w:hyperlink r:id="rId18" w:history="1">
              <w:r w:rsidR="00FC380F" w:rsidRPr="00FC380F">
                <w:rPr>
                  <w:rStyle w:val="Hyperlink"/>
                  <w:sz w:val="20"/>
                  <w:szCs w:val="20"/>
                </w:rPr>
                <w:t>Modeling</w:t>
              </w:r>
            </w:hyperlink>
            <w:r w:rsidR="00FC380F">
              <w:rPr>
                <w:sz w:val="20"/>
                <w:szCs w:val="20"/>
              </w:rPr>
              <w:t xml:space="preserve"> </w:t>
            </w: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11869" w14:textId="5793BF53" w:rsidR="009750BA" w:rsidRDefault="00FC380F">
            <w:pPr>
              <w:spacing w:after="0" w:line="240" w:lineRule="auto"/>
              <w:rPr>
                <w:sz w:val="20"/>
                <w:szCs w:val="20"/>
              </w:rPr>
            </w:pPr>
            <w:r>
              <w:rPr>
                <w:sz w:val="20"/>
                <w:szCs w:val="20"/>
              </w:rPr>
              <w:lastRenderedPageBreak/>
              <w:t xml:space="preserve">Use CEC IEPR data for building energy use for electricity and natural gas; use NREL data for other fuels. </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42412B" w14:textId="77777777" w:rsidR="009750BA" w:rsidRDefault="009750BA">
            <w:pPr>
              <w:spacing w:after="0" w:line="240" w:lineRule="auto"/>
              <w:rPr>
                <w:sz w:val="20"/>
                <w:szCs w:val="20"/>
              </w:rPr>
            </w:pPr>
            <w:r>
              <w:rPr>
                <w:sz w:val="20"/>
                <w:szCs w:val="20"/>
              </w:rPr>
              <w:t>Energy Use - EIA’s “</w:t>
            </w:r>
            <w:hyperlink r:id="rId19">
              <w:r>
                <w:rPr>
                  <w:color w:val="1155CC"/>
                  <w:sz w:val="20"/>
                  <w:szCs w:val="20"/>
                  <w:u w:val="single"/>
                </w:rPr>
                <w:t>State Energy Data Systems</w:t>
              </w:r>
            </w:hyperlink>
            <w:r>
              <w:rPr>
                <w:sz w:val="20"/>
                <w:szCs w:val="20"/>
              </w:rPr>
              <w:t>” 2019</w:t>
            </w:r>
          </w:p>
          <w:p w14:paraId="00CB0456" w14:textId="77777777" w:rsidR="009750BA" w:rsidRDefault="009750BA">
            <w:pPr>
              <w:spacing w:after="0" w:line="240" w:lineRule="auto"/>
              <w:rPr>
                <w:sz w:val="20"/>
                <w:szCs w:val="20"/>
              </w:rPr>
            </w:pPr>
            <w:r>
              <w:rPr>
                <w:sz w:val="20"/>
                <w:szCs w:val="20"/>
              </w:rPr>
              <w:lastRenderedPageBreak/>
              <w:t>CO2 Emissions - AEO “</w:t>
            </w:r>
            <w:hyperlink r:id="rId20">
              <w:r>
                <w:rPr>
                  <w:color w:val="1155CC"/>
                  <w:sz w:val="20"/>
                  <w:szCs w:val="20"/>
                  <w:u w:val="single"/>
                </w:rPr>
                <w:t>State CO2 Emissions from Fossil Fuel Combustion</w:t>
              </w:r>
            </w:hyperlink>
            <w:r>
              <w:rPr>
                <w:sz w:val="20"/>
                <w:szCs w:val="20"/>
              </w:rPr>
              <w:t>”</w:t>
            </w:r>
          </w:p>
        </w:tc>
      </w:tr>
      <w:tr w:rsidR="009750BA" w14:paraId="25938AE2"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3F200EDA" w14:textId="77777777" w:rsidR="009750BA" w:rsidRDefault="009750BA">
            <w:pPr>
              <w:spacing w:after="0" w:line="240" w:lineRule="auto"/>
              <w:jc w:val="center"/>
              <w:rPr>
                <w:sz w:val="20"/>
                <w:szCs w:val="20"/>
              </w:rPr>
            </w:pPr>
            <w:r>
              <w:rPr>
                <w:sz w:val="20"/>
                <w:szCs w:val="20"/>
              </w:rPr>
              <w:lastRenderedPageBreak/>
              <w:t>Industrial Energy Use</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D14B8" w14:textId="77777777" w:rsidR="00137753" w:rsidRDefault="00137753" w:rsidP="00137753">
            <w:pPr>
              <w:spacing w:after="0" w:line="240" w:lineRule="auto"/>
              <w:rPr>
                <w:sz w:val="20"/>
                <w:szCs w:val="20"/>
              </w:rPr>
            </w:pPr>
            <w:r w:rsidRPr="009750BA">
              <w:rPr>
                <w:sz w:val="20"/>
                <w:szCs w:val="20"/>
              </w:rPr>
              <w:t>California Pathways</w:t>
            </w:r>
            <w:r>
              <w:rPr>
                <w:sz w:val="20"/>
                <w:szCs w:val="20"/>
              </w:rPr>
              <w:t xml:space="preserve"> </w:t>
            </w:r>
            <w:hyperlink r:id="rId21" w:history="1">
              <w:r w:rsidRPr="00FC380F">
                <w:rPr>
                  <w:rStyle w:val="Hyperlink"/>
                  <w:sz w:val="20"/>
                  <w:szCs w:val="20"/>
                </w:rPr>
                <w:t>Modeling</w:t>
              </w:r>
            </w:hyperlink>
            <w:r>
              <w:rPr>
                <w:sz w:val="20"/>
                <w:szCs w:val="20"/>
              </w:rPr>
              <w:t xml:space="preserve"> </w:t>
            </w:r>
          </w:p>
          <w:p w14:paraId="079274BB" w14:textId="77777777" w:rsidR="00137753" w:rsidRDefault="00137753" w:rsidP="00137753">
            <w:pPr>
              <w:spacing w:after="0" w:line="240" w:lineRule="auto"/>
              <w:rPr>
                <w:sz w:val="20"/>
                <w:szCs w:val="20"/>
              </w:rPr>
            </w:pPr>
          </w:p>
          <w:p w14:paraId="246EBC58" w14:textId="3E70C716" w:rsidR="00137753" w:rsidRPr="00137753" w:rsidRDefault="00137753" w:rsidP="00137753">
            <w:pPr>
              <w:spacing w:after="0" w:line="240" w:lineRule="auto"/>
              <w:rPr>
                <w:sz w:val="20"/>
                <w:szCs w:val="20"/>
              </w:rPr>
            </w:pPr>
            <w:r w:rsidRPr="00137753">
              <w:rPr>
                <w:sz w:val="20"/>
                <w:szCs w:val="20"/>
              </w:rPr>
              <w:t xml:space="preserve">California Energy Commission, </w:t>
            </w:r>
            <w:hyperlink r:id="rId22" w:history="1">
              <w:r w:rsidRPr="00137753">
                <w:rPr>
                  <w:rStyle w:val="Hyperlink"/>
                  <w:sz w:val="20"/>
                  <w:szCs w:val="20"/>
                </w:rPr>
                <w:t>Integrated Energy Policy Report</w:t>
              </w:r>
            </w:hyperlink>
          </w:p>
          <w:p w14:paraId="6D2580DD" w14:textId="77777777" w:rsidR="00137753" w:rsidRPr="00137753" w:rsidRDefault="00137753" w:rsidP="00137753">
            <w:pPr>
              <w:spacing w:after="0" w:line="240" w:lineRule="auto"/>
              <w:rPr>
                <w:sz w:val="20"/>
                <w:szCs w:val="20"/>
              </w:rPr>
            </w:pPr>
          </w:p>
          <w:p w14:paraId="62095275" w14:textId="01E78C67" w:rsidR="00137753" w:rsidRPr="00137753" w:rsidRDefault="00137753" w:rsidP="00137753">
            <w:pPr>
              <w:spacing w:after="0" w:line="240" w:lineRule="auto"/>
              <w:rPr>
                <w:sz w:val="20"/>
                <w:szCs w:val="20"/>
              </w:rPr>
            </w:pPr>
            <w:r w:rsidRPr="00137753">
              <w:rPr>
                <w:sz w:val="20"/>
                <w:szCs w:val="20"/>
              </w:rPr>
              <w:t>Plant-level fuel combustion data in</w:t>
            </w:r>
            <w:hyperlink r:id="rId23" w:history="1">
              <w:r w:rsidRPr="00137753">
                <w:rPr>
                  <w:rStyle w:val="Hyperlink"/>
                  <w:sz w:val="20"/>
                  <w:szCs w:val="20"/>
                </w:rPr>
                <w:t xml:space="preserve"> CARB GHG Inventory</w:t>
              </w:r>
            </w:hyperlink>
          </w:p>
          <w:p w14:paraId="3582505E" w14:textId="77777777" w:rsidR="00137753" w:rsidRPr="00137753" w:rsidRDefault="00137753" w:rsidP="00137753">
            <w:pPr>
              <w:spacing w:after="0" w:line="240" w:lineRule="auto"/>
              <w:rPr>
                <w:sz w:val="20"/>
                <w:szCs w:val="20"/>
              </w:rPr>
            </w:pPr>
          </w:p>
          <w:p w14:paraId="65F019B9" w14:textId="0B272E6F" w:rsidR="009750BA" w:rsidRDefault="00137753" w:rsidP="00137753">
            <w:pPr>
              <w:spacing w:after="0" w:line="240" w:lineRule="auto"/>
              <w:rPr>
                <w:sz w:val="20"/>
                <w:szCs w:val="20"/>
              </w:rPr>
            </w:pPr>
            <w:r w:rsidRPr="00137753">
              <w:rPr>
                <w:sz w:val="20"/>
                <w:szCs w:val="20"/>
              </w:rPr>
              <w:t xml:space="preserve">EIA </w:t>
            </w:r>
            <w:hyperlink r:id="rId24" w:history="1">
              <w:r w:rsidRPr="00137753">
                <w:rPr>
                  <w:rStyle w:val="Hyperlink"/>
                  <w:sz w:val="20"/>
                  <w:szCs w:val="20"/>
                </w:rPr>
                <w:t>Form 860</w:t>
              </w:r>
            </w:hyperlink>
            <w:r w:rsidRPr="00137753">
              <w:rPr>
                <w:sz w:val="20"/>
                <w:szCs w:val="20"/>
              </w:rPr>
              <w:t xml:space="preserve"> - Schedule 2, Plant Data, or Combined Heat and Power</w:t>
            </w: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B768" w14:textId="1B06B1A4" w:rsidR="009750BA" w:rsidRDefault="00137753">
            <w:pPr>
              <w:spacing w:after="0" w:line="240" w:lineRule="auto"/>
              <w:rPr>
                <w:sz w:val="20"/>
                <w:szCs w:val="20"/>
              </w:rPr>
            </w:pPr>
            <w:r>
              <w:rPr>
                <w:sz w:val="20"/>
                <w:szCs w:val="20"/>
              </w:rPr>
              <w:t xml:space="preserve">CARB data by industrial sector and fuel used for start year (2019). Energy use forecasted using E3’s 2022 Pathways modeling. </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3EB84" w14:textId="77777777" w:rsidR="009750BA" w:rsidRDefault="009750BA">
            <w:pPr>
              <w:spacing w:after="0" w:line="240" w:lineRule="auto"/>
              <w:rPr>
                <w:sz w:val="20"/>
                <w:szCs w:val="20"/>
              </w:rPr>
            </w:pPr>
            <w:r>
              <w:rPr>
                <w:sz w:val="20"/>
                <w:szCs w:val="20"/>
              </w:rPr>
              <w:t>Energy Use - NREL Electrification Futures and EIA’s “</w:t>
            </w:r>
            <w:hyperlink r:id="rId25">
              <w:r>
                <w:rPr>
                  <w:color w:val="1155CC"/>
                  <w:sz w:val="20"/>
                  <w:szCs w:val="20"/>
                  <w:u w:val="single"/>
                </w:rPr>
                <w:t>State Energy Data Systems</w:t>
              </w:r>
            </w:hyperlink>
            <w:r>
              <w:rPr>
                <w:sz w:val="20"/>
                <w:szCs w:val="20"/>
              </w:rPr>
              <w:t>”</w:t>
            </w:r>
          </w:p>
          <w:p w14:paraId="09CF25E3" w14:textId="77777777" w:rsidR="009750BA" w:rsidRDefault="009750BA">
            <w:pPr>
              <w:spacing w:after="0" w:line="240" w:lineRule="auto"/>
              <w:rPr>
                <w:sz w:val="20"/>
                <w:szCs w:val="20"/>
              </w:rPr>
            </w:pPr>
            <w:r>
              <w:rPr>
                <w:sz w:val="20"/>
                <w:szCs w:val="20"/>
              </w:rPr>
              <w:t>Emissions - EPA “</w:t>
            </w:r>
            <w:hyperlink r:id="rId26">
              <w:r>
                <w:rPr>
                  <w:color w:val="1155CC"/>
                  <w:sz w:val="20"/>
                  <w:szCs w:val="20"/>
                  <w:u w:val="single"/>
                </w:rPr>
                <w:t>State CO2 Emissions from Fossil Fuel Combustion, 1990-2017</w:t>
              </w:r>
            </w:hyperlink>
            <w:r>
              <w:rPr>
                <w:sz w:val="20"/>
                <w:szCs w:val="20"/>
              </w:rPr>
              <w:t>” &amp;</w:t>
            </w:r>
          </w:p>
          <w:p w14:paraId="6AED1D8D" w14:textId="77777777" w:rsidR="009750BA" w:rsidRDefault="009750BA">
            <w:pPr>
              <w:spacing w:after="0" w:line="240" w:lineRule="auto"/>
              <w:rPr>
                <w:sz w:val="20"/>
                <w:szCs w:val="20"/>
              </w:rPr>
            </w:pPr>
            <w:r>
              <w:rPr>
                <w:sz w:val="20"/>
                <w:szCs w:val="20"/>
              </w:rPr>
              <w:t>AEO “</w:t>
            </w:r>
            <w:hyperlink r:id="rId27">
              <w:r>
                <w:rPr>
                  <w:color w:val="1155CC"/>
                  <w:sz w:val="20"/>
                  <w:szCs w:val="20"/>
                  <w:u w:val="single"/>
                </w:rPr>
                <w:t>State CO2 Emissions from Fossil Fuel Combustion</w:t>
              </w:r>
            </w:hyperlink>
            <w:r>
              <w:rPr>
                <w:sz w:val="20"/>
                <w:szCs w:val="20"/>
              </w:rPr>
              <w:t>”</w:t>
            </w:r>
          </w:p>
        </w:tc>
      </w:tr>
      <w:tr w:rsidR="009750BA" w14:paraId="3186EB08"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2843BFDE" w14:textId="77777777" w:rsidR="009750BA" w:rsidRDefault="009750BA">
            <w:pPr>
              <w:spacing w:after="0" w:line="240" w:lineRule="auto"/>
              <w:jc w:val="center"/>
              <w:rPr>
                <w:sz w:val="20"/>
                <w:szCs w:val="20"/>
              </w:rPr>
            </w:pPr>
            <w:r>
              <w:rPr>
                <w:sz w:val="20"/>
                <w:szCs w:val="20"/>
              </w:rPr>
              <w:t>Industrial Process Emissions</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8A625" w14:textId="35D80D58" w:rsidR="009750BA" w:rsidRDefault="007B6B7C">
            <w:pPr>
              <w:spacing w:after="0" w:line="240" w:lineRule="auto"/>
              <w:rPr>
                <w:sz w:val="20"/>
                <w:szCs w:val="20"/>
              </w:rPr>
            </w:pPr>
            <w:r w:rsidRPr="009750BA">
              <w:rPr>
                <w:sz w:val="20"/>
                <w:szCs w:val="20"/>
              </w:rPr>
              <w:t>California Pathways</w:t>
            </w:r>
            <w:r>
              <w:rPr>
                <w:sz w:val="20"/>
                <w:szCs w:val="20"/>
              </w:rPr>
              <w:t xml:space="preserve"> </w:t>
            </w:r>
            <w:hyperlink r:id="rId28" w:history="1">
              <w:r w:rsidRPr="00FC380F">
                <w:rPr>
                  <w:rStyle w:val="Hyperlink"/>
                  <w:sz w:val="20"/>
                  <w:szCs w:val="20"/>
                </w:rPr>
                <w:t>Modeling</w:t>
              </w:r>
            </w:hyperlink>
            <w:r>
              <w:rPr>
                <w:sz w:val="20"/>
                <w:szCs w:val="20"/>
              </w:rPr>
              <w:t xml:space="preserve"> </w:t>
            </w: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ABEBF" w14:textId="7B896CA7" w:rsidR="009750BA" w:rsidRDefault="007B6B7C">
            <w:pPr>
              <w:spacing w:after="0" w:line="240" w:lineRule="auto"/>
              <w:rPr>
                <w:sz w:val="20"/>
                <w:szCs w:val="20"/>
              </w:rPr>
            </w:pPr>
            <w:r>
              <w:rPr>
                <w:sz w:val="20"/>
                <w:szCs w:val="20"/>
              </w:rPr>
              <w:t>Emissions from E3’s 2022 Pathways modeling.</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46F0B" w14:textId="77777777" w:rsidR="009750BA" w:rsidRDefault="009750BA">
            <w:pPr>
              <w:spacing w:after="0" w:line="240" w:lineRule="auto"/>
              <w:rPr>
                <w:sz w:val="20"/>
                <w:szCs w:val="20"/>
              </w:rPr>
            </w:pPr>
            <w:r>
              <w:rPr>
                <w:sz w:val="20"/>
                <w:szCs w:val="20"/>
              </w:rPr>
              <w:t>EPA “</w:t>
            </w:r>
            <w:hyperlink r:id="rId29">
              <w:r>
                <w:rPr>
                  <w:color w:val="1155CC"/>
                  <w:sz w:val="20"/>
                  <w:szCs w:val="20"/>
                  <w:u w:val="single"/>
                </w:rPr>
                <w:t>State Inventory and Projection Tool</w:t>
              </w:r>
            </w:hyperlink>
            <w:r>
              <w:rPr>
                <w:sz w:val="20"/>
                <w:szCs w:val="20"/>
              </w:rPr>
              <w:t>”</w:t>
            </w:r>
          </w:p>
          <w:p w14:paraId="6004C1AD" w14:textId="77777777" w:rsidR="009750BA" w:rsidRDefault="009750BA">
            <w:pPr>
              <w:spacing w:after="0" w:line="240" w:lineRule="auto"/>
              <w:rPr>
                <w:sz w:val="20"/>
                <w:szCs w:val="20"/>
              </w:rPr>
            </w:pPr>
          </w:p>
        </w:tc>
      </w:tr>
      <w:tr w:rsidR="009750BA" w14:paraId="5926B218"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1FF35BF0" w14:textId="77777777" w:rsidR="009750BA" w:rsidRDefault="009750BA">
            <w:pPr>
              <w:spacing w:after="0" w:line="240" w:lineRule="auto"/>
              <w:jc w:val="center"/>
              <w:rPr>
                <w:sz w:val="20"/>
                <w:szCs w:val="20"/>
              </w:rPr>
            </w:pPr>
            <w:r>
              <w:rPr>
                <w:sz w:val="20"/>
                <w:szCs w:val="20"/>
              </w:rPr>
              <w:t>Agriculture, Land Use And Forestry</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820F8" w14:textId="77777777" w:rsidR="001D2E38" w:rsidRDefault="001D2E38">
            <w:pPr>
              <w:spacing w:after="0" w:line="240" w:lineRule="auto"/>
              <w:rPr>
                <w:sz w:val="20"/>
                <w:szCs w:val="20"/>
              </w:rPr>
            </w:pPr>
            <w:r>
              <w:rPr>
                <w:sz w:val="20"/>
                <w:szCs w:val="20"/>
              </w:rPr>
              <w:t xml:space="preserve">CARB Wildfire Emission </w:t>
            </w:r>
            <w:hyperlink r:id="rId30" w:history="1">
              <w:r w:rsidRPr="001D2E38">
                <w:rPr>
                  <w:rStyle w:val="Hyperlink"/>
                  <w:sz w:val="20"/>
                  <w:szCs w:val="20"/>
                </w:rPr>
                <w:t>Estimates for 2020</w:t>
              </w:r>
            </w:hyperlink>
            <w:r>
              <w:rPr>
                <w:sz w:val="20"/>
                <w:szCs w:val="20"/>
              </w:rPr>
              <w:t xml:space="preserve"> &amp; </w:t>
            </w:r>
            <w:hyperlink r:id="rId31" w:history="1">
              <w:r w:rsidRPr="001D2E38">
                <w:rPr>
                  <w:rStyle w:val="Hyperlink"/>
                  <w:sz w:val="20"/>
                  <w:szCs w:val="20"/>
                </w:rPr>
                <w:t>other studies</w:t>
              </w:r>
            </w:hyperlink>
          </w:p>
          <w:p w14:paraId="280EADFD" w14:textId="77777777" w:rsidR="001D2E38" w:rsidRDefault="001D2E38">
            <w:pPr>
              <w:spacing w:after="0" w:line="240" w:lineRule="auto"/>
              <w:rPr>
                <w:sz w:val="20"/>
                <w:szCs w:val="20"/>
              </w:rPr>
            </w:pPr>
          </w:p>
          <w:p w14:paraId="67CD0FC6" w14:textId="48C0BCE2" w:rsidR="001D2E38" w:rsidRDefault="001D2E38">
            <w:pPr>
              <w:spacing w:after="0" w:line="240" w:lineRule="auto"/>
              <w:rPr>
                <w:sz w:val="20"/>
                <w:szCs w:val="20"/>
              </w:rPr>
            </w:pPr>
            <w:r>
              <w:rPr>
                <w:sz w:val="20"/>
                <w:szCs w:val="20"/>
              </w:rPr>
              <w:t xml:space="preserve">The Nature Conservancy report, </w:t>
            </w:r>
            <w:hyperlink r:id="rId32" w:history="1">
              <w:r w:rsidRPr="00B67B8B">
                <w:rPr>
                  <w:rStyle w:val="Hyperlink"/>
                  <w:sz w:val="20"/>
                  <w:szCs w:val="20"/>
                </w:rPr>
                <w:t>Natural Climate Solutions for the U.S.</w:t>
              </w:r>
            </w:hyperlink>
            <w:r>
              <w:rPr>
                <w:sz w:val="20"/>
                <w:szCs w:val="20"/>
              </w:rPr>
              <w:t xml:space="preserve"> </w:t>
            </w:r>
          </w:p>
          <w:p w14:paraId="6F379BC5" w14:textId="77777777" w:rsidR="009750BA" w:rsidRDefault="009750BA">
            <w:pPr>
              <w:spacing w:after="0" w:line="240" w:lineRule="auto"/>
              <w:rPr>
                <w:sz w:val="20"/>
                <w:szCs w:val="20"/>
              </w:rPr>
            </w:pP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FD392" w14:textId="122FCD32" w:rsidR="009750BA" w:rsidRDefault="009750BA">
            <w:pPr>
              <w:spacing w:after="0" w:line="240" w:lineRule="auto"/>
              <w:rPr>
                <w:sz w:val="20"/>
                <w:szCs w:val="20"/>
              </w:rPr>
            </w:pPr>
            <w:r>
              <w:rPr>
                <w:sz w:val="20"/>
                <w:szCs w:val="20"/>
              </w:rPr>
              <w:t xml:space="preserve">No scaling needed. </w:t>
            </w:r>
            <w:r w:rsidR="00B67B8B">
              <w:rPr>
                <w:sz w:val="20"/>
                <w:szCs w:val="20"/>
              </w:rPr>
              <w:t>Use emissions data from sources.</w:t>
            </w:r>
            <w:r>
              <w:rPr>
                <w:sz w:val="20"/>
                <w:szCs w:val="20"/>
              </w:rPr>
              <w:t xml:space="preserve"> </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445D62" w14:textId="77777777" w:rsidR="009750BA" w:rsidRDefault="009750BA">
            <w:pPr>
              <w:spacing w:after="0" w:line="240" w:lineRule="auto"/>
              <w:rPr>
                <w:sz w:val="20"/>
                <w:szCs w:val="20"/>
              </w:rPr>
            </w:pPr>
            <w:r>
              <w:rPr>
                <w:sz w:val="20"/>
                <w:szCs w:val="20"/>
              </w:rPr>
              <w:t>Emissions - EPA “</w:t>
            </w:r>
            <w:hyperlink r:id="rId33">
              <w:r>
                <w:rPr>
                  <w:color w:val="1155CC"/>
                  <w:sz w:val="20"/>
                  <w:szCs w:val="20"/>
                  <w:u w:val="single"/>
                </w:rPr>
                <w:t>State CO2 Emissions from Fossil Fuel Combustion, 1990-2017</w:t>
              </w:r>
            </w:hyperlink>
            <w:r>
              <w:rPr>
                <w:sz w:val="20"/>
                <w:szCs w:val="20"/>
              </w:rPr>
              <w:t>” &amp;</w:t>
            </w:r>
          </w:p>
          <w:p w14:paraId="2FBF4E2C" w14:textId="77777777" w:rsidR="009750BA" w:rsidRDefault="009750BA">
            <w:pPr>
              <w:spacing w:after="0" w:line="240" w:lineRule="auto"/>
              <w:rPr>
                <w:sz w:val="20"/>
                <w:szCs w:val="20"/>
              </w:rPr>
            </w:pPr>
            <w:r>
              <w:rPr>
                <w:sz w:val="20"/>
                <w:szCs w:val="20"/>
              </w:rPr>
              <w:t>AEO “</w:t>
            </w:r>
            <w:hyperlink r:id="rId34">
              <w:r>
                <w:rPr>
                  <w:color w:val="1155CC"/>
                  <w:sz w:val="20"/>
                  <w:szCs w:val="20"/>
                  <w:u w:val="single"/>
                </w:rPr>
                <w:t>State CO2 Emissions from Fossil Fuel Combustion</w:t>
              </w:r>
            </w:hyperlink>
            <w:r>
              <w:rPr>
                <w:sz w:val="20"/>
                <w:szCs w:val="20"/>
              </w:rPr>
              <w:t>”</w:t>
            </w:r>
          </w:p>
        </w:tc>
      </w:tr>
      <w:tr w:rsidR="009750BA" w14:paraId="4E86CB04"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3C8B20D4" w14:textId="77777777" w:rsidR="009750BA" w:rsidRDefault="009750BA">
            <w:pPr>
              <w:spacing w:after="0" w:line="240" w:lineRule="auto"/>
              <w:jc w:val="center"/>
              <w:rPr>
                <w:sz w:val="20"/>
                <w:szCs w:val="20"/>
              </w:rPr>
            </w:pPr>
            <w:r>
              <w:rPr>
                <w:sz w:val="20"/>
                <w:szCs w:val="20"/>
              </w:rPr>
              <w:t>Transportation</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6ED60" w14:textId="77777777" w:rsidR="009750BA" w:rsidRDefault="00B67B8B">
            <w:pPr>
              <w:spacing w:after="0" w:line="240" w:lineRule="auto"/>
              <w:rPr>
                <w:rStyle w:val="Hyperlink"/>
                <w:sz w:val="20"/>
                <w:szCs w:val="20"/>
              </w:rPr>
            </w:pPr>
            <w:r w:rsidRPr="00B67B8B">
              <w:rPr>
                <w:sz w:val="20"/>
                <w:szCs w:val="20"/>
              </w:rPr>
              <w:t xml:space="preserve">CARB, EMFAC emissions and fleet </w:t>
            </w:r>
            <w:hyperlink r:id="rId35" w:history="1">
              <w:r w:rsidRPr="00B67B8B">
                <w:rPr>
                  <w:rStyle w:val="Hyperlink"/>
                  <w:sz w:val="20"/>
                  <w:szCs w:val="20"/>
                </w:rPr>
                <w:t>database</w:t>
              </w:r>
            </w:hyperlink>
          </w:p>
          <w:p w14:paraId="47C6CB11" w14:textId="77777777" w:rsidR="00BC6DBC" w:rsidRDefault="00BC6DBC">
            <w:pPr>
              <w:spacing w:after="0" w:line="240" w:lineRule="auto"/>
              <w:rPr>
                <w:rStyle w:val="Hyperlink"/>
              </w:rPr>
            </w:pPr>
          </w:p>
          <w:p w14:paraId="3A821FEB" w14:textId="0D5F5435" w:rsidR="00BC6DBC" w:rsidRDefault="00BC6DBC">
            <w:pPr>
              <w:spacing w:after="0" w:line="240" w:lineRule="auto"/>
              <w:rPr>
                <w:sz w:val="20"/>
                <w:szCs w:val="20"/>
              </w:rPr>
            </w:pPr>
            <w:r>
              <w:rPr>
                <w:sz w:val="20"/>
                <w:szCs w:val="20"/>
              </w:rPr>
              <w:t xml:space="preserve">Advanced Clean Cars policy update included in BAU per August 2022 CARB approval. </w:t>
            </w: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45EE2" w14:textId="77777777" w:rsidR="009750BA" w:rsidRDefault="00295F2B">
            <w:pPr>
              <w:spacing w:after="0" w:line="240" w:lineRule="auto"/>
              <w:rPr>
                <w:sz w:val="20"/>
                <w:szCs w:val="20"/>
              </w:rPr>
            </w:pPr>
            <w:r>
              <w:rPr>
                <w:sz w:val="20"/>
                <w:szCs w:val="20"/>
              </w:rPr>
              <w:t>No scaling needed, EMFAC reports vehicles by type, emissions, and miles traveled.</w:t>
            </w:r>
          </w:p>
          <w:p w14:paraId="2D4A49C2" w14:textId="77777777" w:rsidR="00BC6DBC" w:rsidRDefault="00BC6DBC">
            <w:pPr>
              <w:spacing w:after="0" w:line="240" w:lineRule="auto"/>
              <w:rPr>
                <w:sz w:val="20"/>
                <w:szCs w:val="20"/>
              </w:rPr>
            </w:pPr>
          </w:p>
          <w:p w14:paraId="2D0F5DF4" w14:textId="2448A700" w:rsidR="00BC6DBC" w:rsidRDefault="00BC6DBC">
            <w:pPr>
              <w:spacing w:after="0" w:line="240" w:lineRule="auto"/>
              <w:rPr>
                <w:sz w:val="20"/>
                <w:szCs w:val="20"/>
              </w:rPr>
            </w:pPr>
            <w:r>
              <w:rPr>
                <w:sz w:val="20"/>
                <w:szCs w:val="20"/>
              </w:rPr>
              <w:t xml:space="preserve">BAU representation of EV adoption due to Advanced Clean Cars draws on announced policy schedule, see </w:t>
            </w:r>
            <w:hyperlink r:id="rId36" w:history="1">
              <w:r w:rsidRPr="00BC6DBC">
                <w:rPr>
                  <w:rStyle w:val="Hyperlink"/>
                  <w:sz w:val="20"/>
                  <w:szCs w:val="20"/>
                </w:rPr>
                <w:t>ES-Figure 1</w:t>
              </w:r>
            </w:hyperlink>
            <w:r>
              <w:rPr>
                <w:sz w:val="20"/>
                <w:szCs w:val="20"/>
              </w:rPr>
              <w:t xml:space="preserve">. </w:t>
            </w:r>
          </w:p>
        </w:tc>
        <w:tc>
          <w:tcPr>
            <w:tcW w:w="10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41C7A" w14:textId="77777777" w:rsidR="009750BA" w:rsidRDefault="009750BA">
            <w:pPr>
              <w:spacing w:after="0" w:line="240" w:lineRule="auto"/>
              <w:rPr>
                <w:sz w:val="20"/>
                <w:szCs w:val="20"/>
              </w:rPr>
            </w:pPr>
            <w:r>
              <w:rPr>
                <w:sz w:val="20"/>
                <w:szCs w:val="20"/>
              </w:rPr>
              <w:t>Emissions - EPA “</w:t>
            </w:r>
            <w:hyperlink r:id="rId37">
              <w:r>
                <w:rPr>
                  <w:color w:val="1155CC"/>
                  <w:sz w:val="20"/>
                  <w:szCs w:val="20"/>
                  <w:u w:val="single"/>
                </w:rPr>
                <w:t>State CO2 Emissions from Fossil Fuel Combustion, 1990-2017</w:t>
              </w:r>
            </w:hyperlink>
            <w:r>
              <w:rPr>
                <w:sz w:val="20"/>
                <w:szCs w:val="20"/>
              </w:rPr>
              <w:t>” &amp;</w:t>
            </w:r>
          </w:p>
          <w:p w14:paraId="6A154F0E" w14:textId="77777777" w:rsidR="009750BA" w:rsidRDefault="009750BA">
            <w:pPr>
              <w:spacing w:after="0" w:line="240" w:lineRule="auto"/>
              <w:rPr>
                <w:sz w:val="20"/>
                <w:szCs w:val="20"/>
              </w:rPr>
            </w:pPr>
            <w:r>
              <w:rPr>
                <w:sz w:val="20"/>
                <w:szCs w:val="20"/>
              </w:rPr>
              <w:t>AEO “</w:t>
            </w:r>
            <w:hyperlink r:id="rId38">
              <w:r>
                <w:rPr>
                  <w:color w:val="1155CC"/>
                  <w:sz w:val="20"/>
                  <w:szCs w:val="20"/>
                  <w:u w:val="single"/>
                </w:rPr>
                <w:t>State CO2 Emissions from Fossil Fuel Combustion</w:t>
              </w:r>
            </w:hyperlink>
            <w:r>
              <w:rPr>
                <w:sz w:val="20"/>
                <w:szCs w:val="20"/>
              </w:rPr>
              <w:t>”</w:t>
            </w:r>
          </w:p>
        </w:tc>
      </w:tr>
    </w:tbl>
    <w:p w14:paraId="242726C1" w14:textId="77777777" w:rsidR="00654812" w:rsidRDefault="00654812">
      <w:pPr>
        <w:rPr>
          <w:sz w:val="20"/>
          <w:szCs w:val="20"/>
        </w:rPr>
      </w:pPr>
    </w:p>
    <w:p w14:paraId="0D068CD6" w14:textId="77777777" w:rsidR="00654812" w:rsidRDefault="00824CDF">
      <w:r>
        <w:t xml:space="preserve"> </w:t>
      </w:r>
      <w:r>
        <w:br w:type="page"/>
      </w:r>
    </w:p>
    <w:p w14:paraId="4F55B599" w14:textId="3D6D03F3" w:rsidR="00654812" w:rsidRDefault="00824CDF">
      <w:pPr>
        <w:pStyle w:val="Heading1"/>
      </w:pPr>
      <w:r>
        <w:lastRenderedPageBreak/>
        <w:t xml:space="preserve">Understanding the </w:t>
      </w:r>
      <w:r w:rsidR="00C13FC0">
        <w:t>Scenarios</w:t>
      </w:r>
    </w:p>
    <w:p w14:paraId="26248FD7" w14:textId="039811ED" w:rsidR="00654812" w:rsidRDefault="00824CDF">
      <w:r>
        <w:rPr>
          <w:b/>
        </w:rPr>
        <w:t>Business-as-Usual</w:t>
      </w:r>
      <w:r w:rsidR="00A315A9">
        <w:rPr>
          <w:b/>
        </w:rPr>
        <w:t xml:space="preserve"> Scenario</w:t>
      </w:r>
      <w:r>
        <w:rPr>
          <w:b/>
        </w:rPr>
        <w:t>:</w:t>
      </w:r>
      <w:r>
        <w:t xml:space="preserve"> Energy Innovation </w:t>
      </w:r>
      <w:r w:rsidR="00A315A9">
        <w:t>forecasted</w:t>
      </w:r>
      <w:r>
        <w:t xml:space="preserve"> economy-wide greenhouse gas emissions through 2050 using publicly available, national models of energy consumption (EIA’s Annual Energy Outlook, NREL’s Electrification Future Study). The BAU Scenario is the model’s foundation, capturing projected changes based on economic growth, technology and cost changes, and existing policy commitments.  </w:t>
      </w:r>
    </w:p>
    <w:p w14:paraId="3CB57867" w14:textId="6C6C6E6C" w:rsidR="00C13FC0" w:rsidRDefault="00C13FC0">
      <w:r w:rsidRPr="00A315A9">
        <w:rPr>
          <w:b/>
          <w:bCs/>
        </w:rPr>
        <w:t>Committed Policy Scenario</w:t>
      </w:r>
      <w:r w:rsidR="00A315A9">
        <w:rPr>
          <w:b/>
          <w:bCs/>
        </w:rPr>
        <w:t>:</w:t>
      </w:r>
      <w:r w:rsidRPr="00A315A9">
        <w:t xml:space="preserve"> includes a broader array of policies beyond the policies with clear statutory authority and enforceability included in the BAU Scenario. This Committed Policy Scenario evaluates the combined emissions effects of what policymakers have indicated they want to do, even if the policy approach is not yet clear or backed by law. This includes CARB’s current proposal for changes to its Advanced Clean Cars program, electrification of </w:t>
      </w:r>
      <w:r w:rsidR="00A315A9" w:rsidRPr="00A315A9">
        <w:t>heavy-duty</w:t>
      </w:r>
      <w:r w:rsidRPr="00A315A9">
        <w:t xml:space="preserve"> trucks, improved mode shifting and fuel efficiency, and a higher carbon price that extends beyond 2030.</w:t>
      </w:r>
    </w:p>
    <w:p w14:paraId="48CE1325" w14:textId="1E4D3DC6" w:rsidR="00A315A9" w:rsidRPr="00A315A9" w:rsidRDefault="00A315A9">
      <w:r w:rsidRPr="00A315A9">
        <w:rPr>
          <w:b/>
          <w:bCs/>
        </w:rPr>
        <w:t>Deeper Decarbonization Scenario</w:t>
      </w:r>
      <w:r>
        <w:rPr>
          <w:b/>
          <w:bCs/>
        </w:rPr>
        <w:t xml:space="preserve">: </w:t>
      </w:r>
      <w:r w:rsidRPr="00A315A9">
        <w:t xml:space="preserve">shows a holistic, cost-effective policy pathway that reduces emissions in the buildings, industry, transportation, and electricity sectors. This scenario highlights a set of policies that achieve substantial near term GHG reductions by 2030 and result in an 86 percent reduction in 2020 emissions by 2045. </w:t>
      </w:r>
    </w:p>
    <w:p w14:paraId="4B0A58D9" w14:textId="563C44C6" w:rsidR="00654812" w:rsidRDefault="00824CDF">
      <w:pPr>
        <w:pStyle w:val="Heading2"/>
      </w:pPr>
      <w:r>
        <w:lastRenderedPageBreak/>
        <w:t xml:space="preserve">SUMMARY OF </w:t>
      </w:r>
      <w:r w:rsidR="00A315A9">
        <w:t xml:space="preserve">BAU SCENARIO </w:t>
      </w:r>
      <w:r>
        <w:t>POLICY ASSUMPTIONS</w:t>
      </w:r>
    </w:p>
    <w:tbl>
      <w:tblPr>
        <w:tblW w:w="5000" w:type="pct"/>
        <w:tblCellMar>
          <w:top w:w="86" w:type="dxa"/>
          <w:left w:w="0" w:type="dxa"/>
          <w:bottom w:w="58" w:type="dxa"/>
          <w:right w:w="0" w:type="dxa"/>
        </w:tblCellMar>
        <w:tblLook w:val="04A0" w:firstRow="1" w:lastRow="0" w:firstColumn="1" w:lastColumn="0" w:noHBand="0" w:noVBand="1"/>
      </w:tblPr>
      <w:tblGrid>
        <w:gridCol w:w="2333"/>
        <w:gridCol w:w="12067"/>
      </w:tblGrid>
      <w:tr w:rsidR="00C13FC0" w:rsidRPr="00C13FC0" w14:paraId="295F2972" w14:textId="77777777" w:rsidTr="00C13FC0">
        <w:trPr>
          <w:trHeight w:val="121"/>
        </w:trPr>
        <w:tc>
          <w:tcPr>
            <w:tcW w:w="810" w:type="pct"/>
            <w:tcBorders>
              <w:top w:val="nil"/>
              <w:left w:val="nil"/>
              <w:bottom w:val="single" w:sz="12" w:space="0" w:color="9BBB59" w:themeColor="accent3"/>
              <w:right w:val="nil"/>
            </w:tcBorders>
            <w:vAlign w:val="bottom"/>
            <w:hideMark/>
          </w:tcPr>
          <w:p w14:paraId="5292D18D" w14:textId="77777777" w:rsidR="00C13FC0" w:rsidRPr="00A315A9" w:rsidRDefault="00C13FC0" w:rsidP="00BA2FC1">
            <w:pPr>
              <w:keepNext/>
              <w:keepLines/>
              <w:spacing w:after="0" w:line="240" w:lineRule="auto"/>
              <w:jc w:val="center"/>
              <w:rPr>
                <w:sz w:val="20"/>
                <w:szCs w:val="20"/>
              </w:rPr>
            </w:pPr>
            <w:r w:rsidRPr="00A315A9">
              <w:rPr>
                <w:b/>
                <w:bCs/>
                <w:sz w:val="20"/>
                <w:szCs w:val="20"/>
              </w:rPr>
              <w:t>Sector</w:t>
            </w:r>
          </w:p>
        </w:tc>
        <w:tc>
          <w:tcPr>
            <w:tcW w:w="4190" w:type="pct"/>
            <w:tcBorders>
              <w:top w:val="nil"/>
              <w:left w:val="nil"/>
              <w:bottom w:val="single" w:sz="12" w:space="0" w:color="9BBB59" w:themeColor="accent3"/>
              <w:right w:val="nil"/>
            </w:tcBorders>
            <w:vAlign w:val="bottom"/>
            <w:hideMark/>
          </w:tcPr>
          <w:p w14:paraId="657DE24A" w14:textId="77777777" w:rsidR="00C13FC0" w:rsidRPr="00A315A9" w:rsidRDefault="00C13FC0" w:rsidP="00BA2FC1">
            <w:pPr>
              <w:keepNext/>
              <w:keepLines/>
              <w:spacing w:after="0" w:line="240" w:lineRule="auto"/>
              <w:jc w:val="center"/>
              <w:rPr>
                <w:b/>
                <w:bCs/>
                <w:sz w:val="20"/>
                <w:szCs w:val="20"/>
              </w:rPr>
            </w:pPr>
            <w:r w:rsidRPr="00A315A9">
              <w:rPr>
                <w:b/>
                <w:bCs/>
                <w:sz w:val="20"/>
                <w:szCs w:val="20"/>
              </w:rPr>
              <w:t>Assumptions</w:t>
            </w:r>
          </w:p>
        </w:tc>
      </w:tr>
      <w:tr w:rsidR="00C13FC0" w:rsidRPr="00C13FC0" w14:paraId="301C6C59" w14:textId="77777777" w:rsidTr="00C13FC0">
        <w:trPr>
          <w:trHeight w:val="347"/>
        </w:trPr>
        <w:tc>
          <w:tcPr>
            <w:tcW w:w="810" w:type="pct"/>
            <w:tcBorders>
              <w:top w:val="single" w:sz="12" w:space="0" w:color="9BBB59" w:themeColor="accent3"/>
              <w:left w:val="nil"/>
              <w:bottom w:val="single" w:sz="4" w:space="0" w:color="9BBB59" w:themeColor="accent3"/>
              <w:right w:val="nil"/>
            </w:tcBorders>
          </w:tcPr>
          <w:p w14:paraId="42C5B7DB" w14:textId="77777777" w:rsidR="00C13FC0" w:rsidRPr="00A315A9" w:rsidRDefault="00C13FC0" w:rsidP="00BA2FC1">
            <w:pPr>
              <w:keepNext/>
              <w:keepLines/>
              <w:spacing w:after="0" w:line="240" w:lineRule="auto"/>
              <w:jc w:val="center"/>
              <w:rPr>
                <w:sz w:val="20"/>
                <w:szCs w:val="20"/>
              </w:rPr>
            </w:pPr>
            <w:r w:rsidRPr="00A315A9">
              <w:rPr>
                <w:sz w:val="20"/>
                <w:szCs w:val="20"/>
              </w:rPr>
              <w:t>Cross-cutting</w:t>
            </w:r>
          </w:p>
        </w:tc>
        <w:tc>
          <w:tcPr>
            <w:tcW w:w="4190" w:type="pct"/>
            <w:tcBorders>
              <w:top w:val="single" w:sz="12" w:space="0" w:color="9BBB59" w:themeColor="accent3"/>
              <w:left w:val="nil"/>
              <w:bottom w:val="single" w:sz="4" w:space="0" w:color="9BBB59" w:themeColor="accent3"/>
              <w:right w:val="nil"/>
            </w:tcBorders>
          </w:tcPr>
          <w:p w14:paraId="362B244D" w14:textId="77777777" w:rsidR="00C13FC0" w:rsidRPr="00A315A9" w:rsidRDefault="00C13FC0" w:rsidP="00BA2FC1">
            <w:pPr>
              <w:keepNext/>
              <w:keepLines/>
              <w:spacing w:after="0" w:line="240" w:lineRule="auto"/>
              <w:rPr>
                <w:sz w:val="20"/>
                <w:szCs w:val="20"/>
              </w:rPr>
            </w:pPr>
            <w:r w:rsidRPr="00A315A9">
              <w:rPr>
                <w:sz w:val="20"/>
                <w:szCs w:val="20"/>
              </w:rPr>
              <w:t>The BAU Scenario includes a carbon price created by the state’s cap-and-trade program based on a projection forward of recent price trends, reaching $54/ton in 2030. In 2031 and later years, the carbon price stays constant in this scenario, reflecting the 2030 sunset of explicit legislative authority under Senate Bill 398.</w:t>
            </w:r>
          </w:p>
        </w:tc>
      </w:tr>
      <w:tr w:rsidR="009B0F83" w:rsidRPr="00C13FC0" w14:paraId="49F5A3E2" w14:textId="77777777" w:rsidTr="00C13FC0">
        <w:trPr>
          <w:trHeight w:val="114"/>
        </w:trPr>
        <w:tc>
          <w:tcPr>
            <w:tcW w:w="810" w:type="pct"/>
            <w:tcBorders>
              <w:top w:val="single" w:sz="4" w:space="0" w:color="9BBB59" w:themeColor="accent3"/>
              <w:left w:val="nil"/>
              <w:bottom w:val="single" w:sz="4" w:space="0" w:color="9BBB59" w:themeColor="accent3"/>
              <w:right w:val="nil"/>
            </w:tcBorders>
          </w:tcPr>
          <w:p w14:paraId="4D756C05" w14:textId="77777777" w:rsidR="00C13FC0" w:rsidRPr="00A315A9" w:rsidRDefault="00C13FC0" w:rsidP="00BA2FC1">
            <w:pPr>
              <w:pStyle w:val="ListParagraph"/>
              <w:keepNext/>
              <w:keepLines/>
              <w:spacing w:line="240" w:lineRule="auto"/>
              <w:ind w:left="268"/>
              <w:jc w:val="center"/>
              <w:rPr>
                <w:sz w:val="20"/>
                <w:szCs w:val="20"/>
              </w:rPr>
            </w:pPr>
            <w:r w:rsidRPr="00A315A9">
              <w:rPr>
                <w:sz w:val="20"/>
                <w:szCs w:val="20"/>
              </w:rPr>
              <w:t>Electricity</w:t>
            </w:r>
          </w:p>
        </w:tc>
        <w:tc>
          <w:tcPr>
            <w:tcW w:w="4190" w:type="pct"/>
            <w:tcBorders>
              <w:top w:val="single" w:sz="4" w:space="0" w:color="9BBB59" w:themeColor="accent3"/>
              <w:left w:val="nil"/>
              <w:bottom w:val="single" w:sz="4" w:space="0" w:color="9BBB59" w:themeColor="accent3"/>
              <w:right w:val="nil"/>
            </w:tcBorders>
          </w:tcPr>
          <w:p w14:paraId="2CBDE5EB" w14:textId="72FFCB0D" w:rsidR="009B0F83" w:rsidRPr="00A315A9" w:rsidRDefault="00C13FC0" w:rsidP="00C13FC0">
            <w:pPr>
              <w:pStyle w:val="ListParagraph"/>
              <w:keepNext/>
              <w:keepLines/>
              <w:numPr>
                <w:ilvl w:val="0"/>
                <w:numId w:val="4"/>
              </w:numPr>
              <w:autoSpaceDE w:val="0"/>
              <w:autoSpaceDN w:val="0"/>
              <w:adjustRightInd w:val="0"/>
              <w:spacing w:after="90" w:line="240" w:lineRule="auto"/>
              <w:ind w:left="268" w:hanging="180"/>
              <w:textAlignment w:val="center"/>
              <w:rPr>
                <w:sz w:val="20"/>
                <w:szCs w:val="20"/>
              </w:rPr>
            </w:pPr>
            <w:r w:rsidRPr="00A315A9">
              <w:rPr>
                <w:sz w:val="20"/>
                <w:szCs w:val="20"/>
              </w:rPr>
              <w:t>Consistent with the CPUC’s 2022 decision setting a GHG emissions planning target of 38 million metric tons (MMT) in 2030 for the electric sector, dropping to 35 MMT by 2032. The CPUC’s modeling found this results in the use of about 73% Renewables Portfolio Standard resources and 86% GHG-free resources by 2032.</w:t>
            </w:r>
            <w:r w:rsidR="009B0F83" w:rsidRPr="00A315A9">
              <w:rPr>
                <w:rStyle w:val="FootnoteReference"/>
                <w:sz w:val="20"/>
                <w:szCs w:val="20"/>
              </w:rPr>
              <w:footnoteReference w:id="1"/>
            </w:r>
            <w:r w:rsidR="009B0F83" w:rsidRPr="00A315A9">
              <w:rPr>
                <w:sz w:val="20"/>
                <w:szCs w:val="20"/>
              </w:rPr>
              <w:t xml:space="preserve">  </w:t>
            </w:r>
          </w:p>
          <w:p w14:paraId="0C2A23A5" w14:textId="302E5EC3" w:rsidR="009B0F83" w:rsidRPr="00A315A9" w:rsidRDefault="009B0F83" w:rsidP="00C13FC0">
            <w:pPr>
              <w:pStyle w:val="ListParagraph"/>
              <w:keepNext/>
              <w:keepLines/>
              <w:numPr>
                <w:ilvl w:val="0"/>
                <w:numId w:val="4"/>
              </w:numPr>
              <w:autoSpaceDE w:val="0"/>
              <w:autoSpaceDN w:val="0"/>
              <w:adjustRightInd w:val="0"/>
              <w:spacing w:after="90" w:line="240" w:lineRule="auto"/>
              <w:ind w:left="268" w:hanging="180"/>
              <w:textAlignment w:val="center"/>
              <w:rPr>
                <w:sz w:val="20"/>
                <w:szCs w:val="20"/>
              </w:rPr>
            </w:pPr>
            <w:r w:rsidRPr="00A315A9">
              <w:rPr>
                <w:sz w:val="20"/>
                <w:szCs w:val="20"/>
              </w:rPr>
              <w:t>Reflecting the current focus on adding resources contributing to system reliability, BAU electricity system development adds off-shore wind, long-duration storage, and geothermal power.</w:t>
            </w:r>
            <w:r w:rsidRPr="00A315A9">
              <w:rPr>
                <w:rStyle w:val="FootnoteReference"/>
                <w:sz w:val="20"/>
                <w:szCs w:val="20"/>
              </w:rPr>
              <w:footnoteReference w:id="2"/>
            </w:r>
          </w:p>
          <w:p w14:paraId="47A6180E" w14:textId="77777777" w:rsidR="009B0F83" w:rsidRPr="00A315A9" w:rsidRDefault="009B0F83" w:rsidP="00C13FC0">
            <w:pPr>
              <w:pStyle w:val="ListParagraph"/>
              <w:keepNext/>
              <w:keepLines/>
              <w:numPr>
                <w:ilvl w:val="0"/>
                <w:numId w:val="4"/>
              </w:numPr>
              <w:autoSpaceDE w:val="0"/>
              <w:autoSpaceDN w:val="0"/>
              <w:adjustRightInd w:val="0"/>
              <w:spacing w:after="90" w:line="240" w:lineRule="auto"/>
              <w:ind w:left="268" w:hanging="180"/>
              <w:textAlignment w:val="center"/>
              <w:rPr>
                <w:sz w:val="20"/>
                <w:szCs w:val="20"/>
              </w:rPr>
            </w:pPr>
            <w:r w:rsidRPr="00A315A9">
              <w:rPr>
                <w:sz w:val="20"/>
                <w:szCs w:val="20"/>
              </w:rPr>
              <w:t>After 2032, policy requirements approximate Senate Bill 100’s 2045 carbon-neutrality requirement.</w:t>
            </w:r>
          </w:p>
        </w:tc>
      </w:tr>
      <w:tr w:rsidR="009B0F83" w:rsidRPr="00C13FC0" w14:paraId="0ECB487D" w14:textId="77777777" w:rsidTr="00C13FC0">
        <w:trPr>
          <w:trHeight w:val="114"/>
        </w:trPr>
        <w:tc>
          <w:tcPr>
            <w:tcW w:w="810" w:type="pct"/>
            <w:tcBorders>
              <w:top w:val="single" w:sz="4" w:space="0" w:color="9BBB59" w:themeColor="accent3"/>
              <w:left w:val="nil"/>
              <w:bottom w:val="single" w:sz="4" w:space="0" w:color="9BBB59" w:themeColor="accent3"/>
              <w:right w:val="nil"/>
            </w:tcBorders>
          </w:tcPr>
          <w:p w14:paraId="6F9CE3EC" w14:textId="77777777" w:rsidR="009B0F83" w:rsidRPr="00A315A9" w:rsidRDefault="009B0F83" w:rsidP="00BA2FC1">
            <w:pPr>
              <w:keepNext/>
              <w:keepLines/>
              <w:spacing w:after="0" w:line="240" w:lineRule="auto"/>
              <w:jc w:val="center"/>
              <w:rPr>
                <w:sz w:val="20"/>
                <w:szCs w:val="20"/>
              </w:rPr>
            </w:pPr>
            <w:r w:rsidRPr="00A315A9">
              <w:rPr>
                <w:sz w:val="20"/>
                <w:szCs w:val="20"/>
              </w:rPr>
              <w:t>Transportation</w:t>
            </w:r>
          </w:p>
        </w:tc>
        <w:tc>
          <w:tcPr>
            <w:tcW w:w="4190" w:type="pct"/>
            <w:tcBorders>
              <w:top w:val="single" w:sz="4" w:space="0" w:color="9BBB59" w:themeColor="accent3"/>
              <w:left w:val="nil"/>
              <w:bottom w:val="single" w:sz="4" w:space="0" w:color="9BBB59" w:themeColor="accent3"/>
              <w:right w:val="nil"/>
            </w:tcBorders>
            <w:vAlign w:val="center"/>
          </w:tcPr>
          <w:p w14:paraId="70E0D83B"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 xml:space="preserve">Current Advanced Clear Cars standards through 2025. These are equivalent to average light-duty vehicle tailpipe emissions required under the 2012 federal Corporate Average Fuel Economy standards. </w:t>
            </w:r>
          </w:p>
          <w:p w14:paraId="7CD4473E"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ZEV adoption reaches approximately 5 million in 2030 as in BAU modeling by the Institute for Transportation Studies, University of California, Davis.</w:t>
            </w:r>
            <w:r w:rsidRPr="00A315A9">
              <w:rPr>
                <w:rStyle w:val="FootnoteReference"/>
                <w:sz w:val="20"/>
                <w:szCs w:val="20"/>
              </w:rPr>
              <w:footnoteReference w:id="3"/>
            </w:r>
            <w:r w:rsidRPr="00A315A9">
              <w:rPr>
                <w:sz w:val="20"/>
                <w:szCs w:val="20"/>
              </w:rPr>
              <w:t xml:space="preserve"> </w:t>
            </w:r>
          </w:p>
          <w:p w14:paraId="76BE0071"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The state’s Advanced Clean Trucks policy, which sets a ZEV sales standard for medium- and heavy-duty vehicles, reaching about 60% of EVs in new truck sales in 2035.</w:t>
            </w:r>
          </w:p>
          <w:p w14:paraId="7223F70B"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State and federal EV subsidies.</w:t>
            </w:r>
          </w:p>
          <w:p w14:paraId="68C954E8" w14:textId="77777777" w:rsidR="009B0F83" w:rsidRPr="00A315A9" w:rsidRDefault="009B0F83" w:rsidP="00C13FC0">
            <w:pPr>
              <w:pStyle w:val="ListParagraph"/>
              <w:keepNext/>
              <w:keepLines/>
              <w:numPr>
                <w:ilvl w:val="0"/>
                <w:numId w:val="2"/>
              </w:numPr>
              <w:autoSpaceDE w:val="0"/>
              <w:autoSpaceDN w:val="0"/>
              <w:adjustRightInd w:val="0"/>
              <w:spacing w:after="90" w:line="240" w:lineRule="auto"/>
              <w:ind w:left="268" w:hanging="182"/>
              <w:textAlignment w:val="center"/>
              <w:rPr>
                <w:sz w:val="20"/>
                <w:szCs w:val="20"/>
              </w:rPr>
            </w:pPr>
            <w:r w:rsidRPr="00A315A9">
              <w:rPr>
                <w:sz w:val="20"/>
                <w:szCs w:val="20"/>
              </w:rPr>
              <w:t>The state’s long-standing Low Carbon Fuel Standard, requiring an overall 20% reduction in carbon intensity in 2030.</w:t>
            </w:r>
          </w:p>
        </w:tc>
      </w:tr>
      <w:tr w:rsidR="009B0F83" w:rsidRPr="00C13FC0" w14:paraId="6BF45FEE" w14:textId="77777777" w:rsidTr="00C13FC0">
        <w:trPr>
          <w:trHeight w:val="249"/>
        </w:trPr>
        <w:tc>
          <w:tcPr>
            <w:tcW w:w="810" w:type="pct"/>
            <w:tcBorders>
              <w:top w:val="single" w:sz="4" w:space="0" w:color="9BBB59" w:themeColor="accent3"/>
              <w:left w:val="nil"/>
              <w:bottom w:val="single" w:sz="4" w:space="0" w:color="9BBB59" w:themeColor="accent3"/>
              <w:right w:val="nil"/>
            </w:tcBorders>
            <w:hideMark/>
          </w:tcPr>
          <w:p w14:paraId="27A88EB8" w14:textId="77777777" w:rsidR="009B0F83" w:rsidRPr="00A315A9" w:rsidRDefault="009B0F83" w:rsidP="00BA2FC1">
            <w:pPr>
              <w:keepNext/>
              <w:keepLines/>
              <w:spacing w:after="0" w:line="240" w:lineRule="auto"/>
              <w:jc w:val="center"/>
              <w:rPr>
                <w:sz w:val="20"/>
                <w:szCs w:val="20"/>
              </w:rPr>
            </w:pPr>
            <w:r w:rsidRPr="00A315A9">
              <w:rPr>
                <w:sz w:val="20"/>
                <w:szCs w:val="20"/>
              </w:rPr>
              <w:t>Industry</w:t>
            </w:r>
          </w:p>
        </w:tc>
        <w:tc>
          <w:tcPr>
            <w:tcW w:w="4190" w:type="pct"/>
            <w:tcBorders>
              <w:top w:val="single" w:sz="4" w:space="0" w:color="9BBB59" w:themeColor="accent3"/>
              <w:left w:val="nil"/>
              <w:bottom w:val="single" w:sz="4" w:space="0" w:color="9BBB59" w:themeColor="accent3"/>
              <w:right w:val="nil"/>
            </w:tcBorders>
          </w:tcPr>
          <w:p w14:paraId="0878023D"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Process and fugitive emissions fall as required by Senate Bills 617 and 1383, which set statewide emissions targets of 40% below 2013 levels by 2030 for methane and F-gases, and 50% below 2013 levels by 2030 for anthropogenic black carbon.</w:t>
            </w:r>
          </w:p>
          <w:p w14:paraId="7EFA8605"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Cement and concrete sector-related GHG emissions fall 40% below 2019 levels by 2035, induced by Senate Bill 596.</w:t>
            </w:r>
            <w:r w:rsidRPr="00A315A9">
              <w:rPr>
                <w:sz w:val="20"/>
                <w:szCs w:val="20"/>
                <w:vertAlign w:val="superscript"/>
              </w:rPr>
              <w:footnoteReference w:id="4"/>
            </w:r>
          </w:p>
        </w:tc>
      </w:tr>
      <w:tr w:rsidR="00C13FC0" w:rsidRPr="00C13FC0" w14:paraId="69BAB480" w14:textId="77777777" w:rsidTr="00C13FC0">
        <w:trPr>
          <w:trHeight w:val="249"/>
        </w:trPr>
        <w:tc>
          <w:tcPr>
            <w:tcW w:w="810" w:type="pct"/>
            <w:tcBorders>
              <w:top w:val="single" w:sz="4" w:space="0" w:color="9BBB59" w:themeColor="accent3"/>
              <w:left w:val="nil"/>
              <w:bottom w:val="nil"/>
              <w:right w:val="nil"/>
            </w:tcBorders>
            <w:hideMark/>
          </w:tcPr>
          <w:p w14:paraId="19111FE1" w14:textId="77777777" w:rsidR="009B0F83" w:rsidRPr="00A315A9" w:rsidRDefault="009B0F83" w:rsidP="00BA2FC1">
            <w:pPr>
              <w:keepNext/>
              <w:keepLines/>
              <w:spacing w:after="0" w:line="240" w:lineRule="auto"/>
              <w:jc w:val="center"/>
              <w:rPr>
                <w:sz w:val="20"/>
                <w:szCs w:val="20"/>
              </w:rPr>
            </w:pPr>
            <w:r w:rsidRPr="00A315A9">
              <w:rPr>
                <w:sz w:val="20"/>
                <w:szCs w:val="20"/>
              </w:rPr>
              <w:t>Buildings</w:t>
            </w:r>
          </w:p>
        </w:tc>
        <w:tc>
          <w:tcPr>
            <w:tcW w:w="4190" w:type="pct"/>
            <w:tcBorders>
              <w:top w:val="single" w:sz="4" w:space="0" w:color="9BBB59" w:themeColor="accent3"/>
              <w:left w:val="nil"/>
              <w:bottom w:val="nil"/>
              <w:right w:val="nil"/>
            </w:tcBorders>
          </w:tcPr>
          <w:p w14:paraId="4100BC4D" w14:textId="77777777" w:rsidR="00C13FC0"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 xml:space="preserve">Building energy efficiency calibrated to 2021 Integrated Energy Policy Report’s Mid Demand Case for </w:t>
            </w:r>
            <w:hyperlink r:id="rId39" w:history="1">
              <w:r w:rsidRPr="00A315A9">
                <w:rPr>
                  <w:sz w:val="20"/>
                  <w:szCs w:val="20"/>
                </w:rPr>
                <w:t>Natural Gas</w:t>
              </w:r>
            </w:hyperlink>
            <w:r w:rsidRPr="00A315A9">
              <w:rPr>
                <w:sz w:val="20"/>
                <w:szCs w:val="20"/>
              </w:rPr>
              <w:t xml:space="preserve"> and High Demand Case for </w:t>
            </w:r>
            <w:hyperlink r:id="rId40" w:history="1">
              <w:r w:rsidRPr="00A315A9">
                <w:rPr>
                  <w:sz w:val="20"/>
                  <w:szCs w:val="20"/>
                </w:rPr>
                <w:t>Electricity</w:t>
              </w:r>
            </w:hyperlink>
            <w:r w:rsidRPr="00A315A9">
              <w:rPr>
                <w:sz w:val="20"/>
                <w:szCs w:val="20"/>
              </w:rPr>
              <w:t>.</w:t>
            </w:r>
            <w:r w:rsidRPr="00A315A9">
              <w:rPr>
                <w:rStyle w:val="FootnoteReference"/>
                <w:sz w:val="20"/>
                <w:szCs w:val="20"/>
              </w:rPr>
              <w:footnoteReference w:id="5"/>
            </w:r>
            <w:r w:rsidRPr="00A315A9">
              <w:rPr>
                <w:sz w:val="20"/>
                <w:szCs w:val="20"/>
              </w:rPr>
              <w:t xml:space="preserve"> </w:t>
            </w:r>
          </w:p>
          <w:p w14:paraId="5444AD57" w14:textId="77777777" w:rsidR="00C13FC0" w:rsidRPr="00A315A9" w:rsidRDefault="00C13FC0" w:rsidP="00C13FC0">
            <w:pPr>
              <w:keepNext/>
              <w:keepLines/>
              <w:numPr>
                <w:ilvl w:val="0"/>
                <w:numId w:val="3"/>
              </w:numPr>
              <w:spacing w:before="60" w:after="60" w:line="240" w:lineRule="auto"/>
              <w:ind w:left="250" w:hanging="180"/>
              <w:rPr>
                <w:sz w:val="20"/>
                <w:szCs w:val="20"/>
              </w:rPr>
            </w:pPr>
            <w:r w:rsidRPr="00A315A9">
              <w:rPr>
                <w:sz w:val="20"/>
                <w:szCs w:val="20"/>
              </w:rPr>
              <w:t>Building electrification assumptions reflect the 2022 Scoping Plan Reference Scenario. By 2030, high-efficiency heat pumps comprise at least 15% of building appliance new sales, including replacements in existing buildings. Starting in 2026, 25% of new construction is all-electric.</w:t>
            </w:r>
          </w:p>
        </w:tc>
      </w:tr>
    </w:tbl>
    <w:p w14:paraId="6D30CAFB" w14:textId="77777777" w:rsidR="00654812" w:rsidRDefault="00654812">
      <w:pPr>
        <w:pStyle w:val="Heading3"/>
      </w:pPr>
    </w:p>
    <w:p w14:paraId="228CE07D" w14:textId="77777777" w:rsidR="00654812" w:rsidRDefault="00654812">
      <w:pPr>
        <w:pStyle w:val="Heading3"/>
        <w:rPr>
          <w:sz w:val="16"/>
          <w:szCs w:val="16"/>
        </w:rPr>
      </w:pPr>
      <w:bookmarkStart w:id="0" w:name="_d51as6ti6uqs" w:colFirst="0" w:colLast="0"/>
      <w:bookmarkStart w:id="1" w:name="_hxhivpo00bc2" w:colFirst="0" w:colLast="0"/>
      <w:bookmarkEnd w:id="0"/>
      <w:bookmarkEnd w:id="1"/>
    </w:p>
    <w:p w14:paraId="17EB1AF8" w14:textId="32C590B1" w:rsidR="00A315A9" w:rsidRDefault="00A315A9" w:rsidP="00A315A9">
      <w:pPr>
        <w:pStyle w:val="Heading2"/>
      </w:pPr>
      <w:bookmarkStart w:id="2" w:name="_lxvutg9i82dq" w:colFirst="0" w:colLast="0"/>
      <w:bookmarkEnd w:id="2"/>
      <w:r>
        <w:t>SUMMARY OF COMMITTED POLICIES SCENARIO ASSUMPTIONS</w:t>
      </w:r>
    </w:p>
    <w:tbl>
      <w:tblPr>
        <w:tblW w:w="5000" w:type="pct"/>
        <w:tblCellMar>
          <w:top w:w="86" w:type="dxa"/>
          <w:left w:w="0" w:type="dxa"/>
          <w:bottom w:w="58" w:type="dxa"/>
          <w:right w:w="0" w:type="dxa"/>
        </w:tblCellMar>
        <w:tblLook w:val="04A0" w:firstRow="1" w:lastRow="0" w:firstColumn="1" w:lastColumn="0" w:noHBand="0" w:noVBand="1"/>
      </w:tblPr>
      <w:tblGrid>
        <w:gridCol w:w="2333"/>
        <w:gridCol w:w="12067"/>
      </w:tblGrid>
      <w:tr w:rsidR="00A315A9" w:rsidRPr="00C13FC0" w14:paraId="72FD0278" w14:textId="77777777" w:rsidTr="00D35DC2">
        <w:trPr>
          <w:trHeight w:val="121"/>
        </w:trPr>
        <w:tc>
          <w:tcPr>
            <w:tcW w:w="810" w:type="pct"/>
            <w:tcBorders>
              <w:top w:val="nil"/>
              <w:left w:val="nil"/>
              <w:bottom w:val="single" w:sz="12" w:space="0" w:color="9BBB59" w:themeColor="accent3"/>
              <w:right w:val="nil"/>
            </w:tcBorders>
            <w:vAlign w:val="center"/>
            <w:hideMark/>
          </w:tcPr>
          <w:p w14:paraId="31766586" w14:textId="01F6B7EA" w:rsidR="00A315A9" w:rsidRPr="00A021B9" w:rsidRDefault="00A315A9" w:rsidP="00A315A9">
            <w:pPr>
              <w:keepNext/>
              <w:keepLines/>
              <w:spacing w:after="0" w:line="240" w:lineRule="auto"/>
              <w:jc w:val="center"/>
            </w:pPr>
            <w:r w:rsidRPr="00A021B9">
              <w:rPr>
                <w:b/>
                <w:bCs/>
              </w:rPr>
              <w:t>Sector</w:t>
            </w:r>
          </w:p>
        </w:tc>
        <w:tc>
          <w:tcPr>
            <w:tcW w:w="4190" w:type="pct"/>
            <w:tcBorders>
              <w:top w:val="nil"/>
              <w:left w:val="nil"/>
              <w:bottom w:val="single" w:sz="12" w:space="0" w:color="9BBB59" w:themeColor="accent3"/>
              <w:right w:val="nil"/>
            </w:tcBorders>
            <w:vAlign w:val="center"/>
            <w:hideMark/>
          </w:tcPr>
          <w:p w14:paraId="26219FD2" w14:textId="4B6DC934" w:rsidR="00A315A9" w:rsidRPr="00A021B9" w:rsidRDefault="00A315A9" w:rsidP="00A315A9">
            <w:pPr>
              <w:keepNext/>
              <w:keepLines/>
              <w:spacing w:after="0" w:line="240" w:lineRule="auto"/>
              <w:jc w:val="center"/>
              <w:rPr>
                <w:b/>
                <w:bCs/>
              </w:rPr>
            </w:pPr>
            <w:r w:rsidRPr="00A021B9">
              <w:rPr>
                <w:b/>
                <w:bCs/>
              </w:rPr>
              <w:t>Assumptions</w:t>
            </w:r>
          </w:p>
        </w:tc>
      </w:tr>
      <w:tr w:rsidR="00A315A9" w:rsidRPr="00C13FC0" w14:paraId="0E9C4AB4" w14:textId="77777777" w:rsidTr="00D35DC2">
        <w:trPr>
          <w:trHeight w:val="347"/>
        </w:trPr>
        <w:tc>
          <w:tcPr>
            <w:tcW w:w="810" w:type="pct"/>
            <w:tcBorders>
              <w:top w:val="single" w:sz="12" w:space="0" w:color="9BBB59" w:themeColor="accent3"/>
              <w:left w:val="nil"/>
              <w:bottom w:val="single" w:sz="4" w:space="0" w:color="9BBB59" w:themeColor="accent3"/>
              <w:right w:val="nil"/>
            </w:tcBorders>
            <w:vAlign w:val="center"/>
          </w:tcPr>
          <w:p w14:paraId="6F54A4DC" w14:textId="4083F200" w:rsidR="00A315A9" w:rsidRPr="00A021B9" w:rsidRDefault="00A315A9" w:rsidP="00A315A9">
            <w:pPr>
              <w:keepNext/>
              <w:keepLines/>
              <w:spacing w:after="0" w:line="240" w:lineRule="auto"/>
              <w:jc w:val="center"/>
            </w:pPr>
            <w:r w:rsidRPr="00A021B9">
              <w:t>Cross-cutting</w:t>
            </w:r>
          </w:p>
        </w:tc>
        <w:tc>
          <w:tcPr>
            <w:tcW w:w="4190" w:type="pct"/>
            <w:tcBorders>
              <w:top w:val="single" w:sz="12" w:space="0" w:color="9BBB59" w:themeColor="accent3"/>
              <w:left w:val="nil"/>
              <w:bottom w:val="single" w:sz="4" w:space="0" w:color="9BBB59" w:themeColor="accent3"/>
              <w:right w:val="nil"/>
            </w:tcBorders>
            <w:vAlign w:val="center"/>
          </w:tcPr>
          <w:p w14:paraId="1D458216" w14:textId="775954E0" w:rsidR="00A315A9" w:rsidRPr="00A021B9" w:rsidRDefault="00A315A9" w:rsidP="00A315A9">
            <w:pPr>
              <w:keepNext/>
              <w:keepLines/>
              <w:spacing w:after="0" w:line="240" w:lineRule="auto"/>
            </w:pPr>
            <w:r w:rsidRPr="00A021B9">
              <w:t xml:space="preserve">Instead of plateauing at $54/ton in 2030, as in the BAU Scenario, the carbon allowance price created by the state’s cap-and-trade program continues increasing in 2031 and later years, reaching $258/ton in 2050. </w:t>
            </w:r>
          </w:p>
        </w:tc>
      </w:tr>
      <w:tr w:rsidR="00A315A9" w:rsidRPr="00C13FC0" w14:paraId="31A72553" w14:textId="77777777" w:rsidTr="00D35DC2">
        <w:trPr>
          <w:trHeight w:val="114"/>
        </w:trPr>
        <w:tc>
          <w:tcPr>
            <w:tcW w:w="810" w:type="pct"/>
            <w:tcBorders>
              <w:top w:val="single" w:sz="4" w:space="0" w:color="9BBB59" w:themeColor="accent3"/>
              <w:left w:val="nil"/>
              <w:bottom w:val="single" w:sz="4" w:space="0" w:color="9BBB59" w:themeColor="accent3"/>
              <w:right w:val="nil"/>
            </w:tcBorders>
            <w:vAlign w:val="center"/>
          </w:tcPr>
          <w:p w14:paraId="1CEAA486" w14:textId="3955D988" w:rsidR="00A315A9" w:rsidRPr="00A021B9" w:rsidRDefault="00A315A9" w:rsidP="00A315A9">
            <w:pPr>
              <w:pStyle w:val="ListParagraph"/>
              <w:keepNext/>
              <w:keepLines/>
              <w:spacing w:line="240" w:lineRule="auto"/>
              <w:ind w:left="268"/>
              <w:jc w:val="center"/>
            </w:pPr>
            <w:r w:rsidRPr="00A021B9">
              <w:t>Electricity</w:t>
            </w:r>
          </w:p>
        </w:tc>
        <w:tc>
          <w:tcPr>
            <w:tcW w:w="4190" w:type="pct"/>
            <w:tcBorders>
              <w:top w:val="single" w:sz="4" w:space="0" w:color="9BBB59" w:themeColor="accent3"/>
              <w:left w:val="nil"/>
              <w:bottom w:val="single" w:sz="4" w:space="0" w:color="9BBB59" w:themeColor="accent3"/>
              <w:right w:val="nil"/>
            </w:tcBorders>
            <w:vAlign w:val="center"/>
          </w:tcPr>
          <w:p w14:paraId="088000B0" w14:textId="2DE69C55" w:rsidR="00A315A9" w:rsidRPr="00A021B9" w:rsidRDefault="00A315A9" w:rsidP="00A315A9">
            <w:pPr>
              <w:pStyle w:val="ListParagraph"/>
              <w:keepNext/>
              <w:keepLines/>
              <w:numPr>
                <w:ilvl w:val="0"/>
                <w:numId w:val="4"/>
              </w:numPr>
              <w:autoSpaceDE w:val="0"/>
              <w:autoSpaceDN w:val="0"/>
              <w:adjustRightInd w:val="0"/>
              <w:spacing w:after="90" w:line="240" w:lineRule="auto"/>
              <w:ind w:left="268" w:hanging="180"/>
              <w:textAlignment w:val="center"/>
            </w:pPr>
            <w:r w:rsidRPr="00A021B9">
              <w:t>Same as BAU Scenario</w:t>
            </w:r>
          </w:p>
        </w:tc>
      </w:tr>
      <w:tr w:rsidR="00A315A9" w:rsidRPr="00C13FC0" w14:paraId="3E44EBB9" w14:textId="77777777" w:rsidTr="00D35DC2">
        <w:trPr>
          <w:trHeight w:val="114"/>
        </w:trPr>
        <w:tc>
          <w:tcPr>
            <w:tcW w:w="810" w:type="pct"/>
            <w:tcBorders>
              <w:top w:val="single" w:sz="4" w:space="0" w:color="9BBB59" w:themeColor="accent3"/>
              <w:left w:val="nil"/>
              <w:bottom w:val="single" w:sz="4" w:space="0" w:color="9BBB59" w:themeColor="accent3"/>
              <w:right w:val="nil"/>
            </w:tcBorders>
            <w:vAlign w:val="center"/>
          </w:tcPr>
          <w:p w14:paraId="744F9C45" w14:textId="6D259356" w:rsidR="00A315A9" w:rsidRPr="00A021B9" w:rsidRDefault="00A315A9" w:rsidP="00A315A9">
            <w:pPr>
              <w:keepNext/>
              <w:keepLines/>
              <w:spacing w:after="0" w:line="240" w:lineRule="auto"/>
              <w:jc w:val="center"/>
            </w:pPr>
            <w:r w:rsidRPr="00A021B9">
              <w:t>Transportation</w:t>
            </w:r>
          </w:p>
        </w:tc>
        <w:tc>
          <w:tcPr>
            <w:tcW w:w="4190" w:type="pct"/>
            <w:tcBorders>
              <w:top w:val="single" w:sz="4" w:space="0" w:color="9BBB59" w:themeColor="accent3"/>
              <w:left w:val="nil"/>
              <w:bottom w:val="single" w:sz="4" w:space="0" w:color="9BBB59" w:themeColor="accent3"/>
              <w:right w:val="nil"/>
            </w:tcBorders>
            <w:vAlign w:val="center"/>
          </w:tcPr>
          <w:p w14:paraId="641FEFA0" w14:textId="77777777" w:rsidR="00A315A9" w:rsidRPr="00A021B9" w:rsidRDefault="00A315A9" w:rsidP="00A315A9">
            <w:pPr>
              <w:keepNext/>
              <w:keepLines/>
              <w:numPr>
                <w:ilvl w:val="0"/>
                <w:numId w:val="3"/>
              </w:numPr>
              <w:spacing w:before="60" w:after="60" w:line="240" w:lineRule="auto"/>
              <w:ind w:left="250" w:hanging="180"/>
            </w:pPr>
            <w:r w:rsidRPr="00A021B9">
              <w:t>Electrification of cars and light trucks: ZEVs grow to 68% of new vehicle sales in 2030, reaching 100% in 2035. This reflects CARB’s current proposal for changes to its Advanced Clear Cars program.</w:t>
            </w:r>
          </w:p>
          <w:p w14:paraId="3838B4AD" w14:textId="77777777" w:rsidR="00A315A9" w:rsidRPr="00A021B9" w:rsidRDefault="00A315A9" w:rsidP="00A315A9">
            <w:pPr>
              <w:keepNext/>
              <w:keepLines/>
              <w:numPr>
                <w:ilvl w:val="0"/>
                <w:numId w:val="3"/>
              </w:numPr>
              <w:spacing w:before="60" w:after="60" w:line="240" w:lineRule="auto"/>
              <w:ind w:left="250" w:hanging="180"/>
            </w:pPr>
            <w:r w:rsidRPr="00A021B9">
              <w:t>Electrification of trucks: electric-drive medium- and heavy-duty trucks and buses reach 100% of new vehicle sales in 2040.</w:t>
            </w:r>
          </w:p>
          <w:p w14:paraId="72782BBC" w14:textId="77777777" w:rsidR="00A315A9" w:rsidRPr="00A021B9" w:rsidRDefault="00A315A9" w:rsidP="00A315A9">
            <w:pPr>
              <w:keepNext/>
              <w:keepLines/>
              <w:numPr>
                <w:ilvl w:val="0"/>
                <w:numId w:val="3"/>
              </w:numPr>
              <w:spacing w:before="60" w:after="60" w:line="240" w:lineRule="auto"/>
              <w:ind w:left="250" w:hanging="180"/>
            </w:pPr>
            <w:r w:rsidRPr="00A021B9">
              <w:t xml:space="preserve">Internal combustion new car and light-truck vehicle efficiency: fuel economy improves 2% annually from 2026 to 2035. </w:t>
            </w:r>
          </w:p>
          <w:p w14:paraId="0732B1CD" w14:textId="77777777" w:rsidR="00A315A9" w:rsidRPr="00A021B9" w:rsidRDefault="00A315A9" w:rsidP="00A315A9">
            <w:pPr>
              <w:keepNext/>
              <w:keepLines/>
              <w:numPr>
                <w:ilvl w:val="0"/>
                <w:numId w:val="3"/>
              </w:numPr>
              <w:spacing w:before="60" w:after="60" w:line="240" w:lineRule="auto"/>
              <w:ind w:left="250" w:hanging="180"/>
            </w:pPr>
            <w:r w:rsidRPr="00A021B9">
              <w:t xml:space="preserve">Internal combustion new truck vehicle efficiency: fuel economy grows 2% annually from 2028 to 2035. </w:t>
            </w:r>
          </w:p>
          <w:p w14:paraId="3B5B7283" w14:textId="3EDBCB88" w:rsidR="00A315A9" w:rsidRPr="00A021B9" w:rsidRDefault="00A315A9" w:rsidP="00A315A9">
            <w:pPr>
              <w:pStyle w:val="ListParagraph"/>
              <w:keepNext/>
              <w:keepLines/>
              <w:numPr>
                <w:ilvl w:val="0"/>
                <w:numId w:val="2"/>
              </w:numPr>
              <w:autoSpaceDE w:val="0"/>
              <w:autoSpaceDN w:val="0"/>
              <w:adjustRightInd w:val="0"/>
              <w:spacing w:after="90" w:line="240" w:lineRule="auto"/>
              <w:ind w:left="268" w:hanging="182"/>
              <w:textAlignment w:val="center"/>
            </w:pPr>
            <w:r w:rsidRPr="00A021B9">
              <w:t>Sustainable Communities Strategies, comparable to the EPS’s mode-shifting policy level, reduce average vehicle miles traveled per person as in the proposed Scoping Plan scenario. Motor vehicle travel demand per person falls by 19% in 2035 and by 22% in 2045 compared to 2019 levels.</w:t>
            </w:r>
          </w:p>
        </w:tc>
      </w:tr>
      <w:tr w:rsidR="00A315A9" w:rsidRPr="00C13FC0" w14:paraId="106C6A5F" w14:textId="77777777" w:rsidTr="00D35DC2">
        <w:trPr>
          <w:trHeight w:val="249"/>
        </w:trPr>
        <w:tc>
          <w:tcPr>
            <w:tcW w:w="810" w:type="pct"/>
            <w:tcBorders>
              <w:top w:val="single" w:sz="4" w:space="0" w:color="9BBB59" w:themeColor="accent3"/>
              <w:left w:val="nil"/>
              <w:bottom w:val="single" w:sz="4" w:space="0" w:color="9BBB59" w:themeColor="accent3"/>
              <w:right w:val="nil"/>
            </w:tcBorders>
            <w:vAlign w:val="center"/>
            <w:hideMark/>
          </w:tcPr>
          <w:p w14:paraId="7513F3C4" w14:textId="7867BF8C" w:rsidR="00A315A9" w:rsidRPr="00A021B9" w:rsidRDefault="00A315A9" w:rsidP="00A315A9">
            <w:pPr>
              <w:keepNext/>
              <w:keepLines/>
              <w:spacing w:after="0" w:line="240" w:lineRule="auto"/>
              <w:jc w:val="center"/>
            </w:pPr>
            <w:r w:rsidRPr="00A021B9">
              <w:t>Industry</w:t>
            </w:r>
          </w:p>
        </w:tc>
        <w:tc>
          <w:tcPr>
            <w:tcW w:w="4190" w:type="pct"/>
            <w:tcBorders>
              <w:top w:val="single" w:sz="4" w:space="0" w:color="9BBB59" w:themeColor="accent3"/>
              <w:left w:val="nil"/>
              <w:bottom w:val="single" w:sz="4" w:space="0" w:color="9BBB59" w:themeColor="accent3"/>
              <w:right w:val="nil"/>
            </w:tcBorders>
            <w:vAlign w:val="center"/>
          </w:tcPr>
          <w:p w14:paraId="3777F7DB" w14:textId="24D0B599" w:rsidR="00A315A9" w:rsidRPr="00A021B9" w:rsidRDefault="00A315A9" w:rsidP="00A315A9">
            <w:pPr>
              <w:keepNext/>
              <w:keepLines/>
              <w:numPr>
                <w:ilvl w:val="0"/>
                <w:numId w:val="3"/>
              </w:numPr>
              <w:spacing w:before="60" w:after="60" w:line="240" w:lineRule="auto"/>
              <w:ind w:left="250" w:hanging="180"/>
            </w:pPr>
            <w:r w:rsidRPr="00A021B9">
              <w:t xml:space="preserve">Same as BAU Scenario </w:t>
            </w:r>
          </w:p>
        </w:tc>
      </w:tr>
      <w:tr w:rsidR="00A315A9" w:rsidRPr="00C13FC0" w14:paraId="1513889B" w14:textId="77777777" w:rsidTr="00D35DC2">
        <w:trPr>
          <w:trHeight w:val="249"/>
        </w:trPr>
        <w:tc>
          <w:tcPr>
            <w:tcW w:w="810" w:type="pct"/>
            <w:tcBorders>
              <w:top w:val="single" w:sz="4" w:space="0" w:color="9BBB59" w:themeColor="accent3"/>
              <w:left w:val="nil"/>
              <w:bottom w:val="nil"/>
              <w:right w:val="nil"/>
            </w:tcBorders>
            <w:vAlign w:val="center"/>
            <w:hideMark/>
          </w:tcPr>
          <w:p w14:paraId="2A3981E0" w14:textId="4BE6AE48" w:rsidR="00A315A9" w:rsidRPr="00A021B9" w:rsidRDefault="00A315A9" w:rsidP="00A315A9">
            <w:pPr>
              <w:keepNext/>
              <w:keepLines/>
              <w:spacing w:after="0" w:line="240" w:lineRule="auto"/>
              <w:jc w:val="center"/>
            </w:pPr>
            <w:r w:rsidRPr="00A021B9">
              <w:t>Buildings</w:t>
            </w:r>
          </w:p>
        </w:tc>
        <w:tc>
          <w:tcPr>
            <w:tcW w:w="4190" w:type="pct"/>
            <w:tcBorders>
              <w:top w:val="single" w:sz="4" w:space="0" w:color="9BBB59" w:themeColor="accent3"/>
              <w:left w:val="nil"/>
              <w:bottom w:val="nil"/>
              <w:right w:val="nil"/>
            </w:tcBorders>
            <w:vAlign w:val="center"/>
          </w:tcPr>
          <w:p w14:paraId="35298657" w14:textId="2DC39AFB" w:rsidR="00A315A9" w:rsidRPr="00A021B9" w:rsidRDefault="00A315A9" w:rsidP="00A315A9">
            <w:pPr>
              <w:keepNext/>
              <w:keepLines/>
              <w:numPr>
                <w:ilvl w:val="0"/>
                <w:numId w:val="3"/>
              </w:numPr>
              <w:spacing w:before="60" w:after="60" w:line="240" w:lineRule="auto"/>
              <w:ind w:left="250" w:hanging="180"/>
            </w:pPr>
            <w:r w:rsidRPr="00A021B9">
              <w:t>Same as BAU Scenario</w:t>
            </w:r>
          </w:p>
        </w:tc>
      </w:tr>
    </w:tbl>
    <w:p w14:paraId="33E94AE6" w14:textId="77777777" w:rsidR="00A315A9" w:rsidRDefault="00A315A9" w:rsidP="00A315A9"/>
    <w:p w14:paraId="0733AF40" w14:textId="212B016E" w:rsidR="00A315A9" w:rsidRDefault="00A315A9" w:rsidP="00A315A9">
      <w:pPr>
        <w:pStyle w:val="Heading2"/>
      </w:pPr>
      <w:r>
        <w:t xml:space="preserve">SUMMARY OF </w:t>
      </w:r>
      <w:r w:rsidR="00B17CD9">
        <w:t>DEEPER DECARBONIZATION</w:t>
      </w:r>
      <w:r>
        <w:t xml:space="preserve"> SCENARIO ASSUMPTIONS</w:t>
      </w:r>
    </w:p>
    <w:tbl>
      <w:tblPr>
        <w:tblW w:w="5000" w:type="pct"/>
        <w:tblCellMar>
          <w:top w:w="86" w:type="dxa"/>
          <w:left w:w="0" w:type="dxa"/>
          <w:bottom w:w="58" w:type="dxa"/>
          <w:right w:w="0" w:type="dxa"/>
        </w:tblCellMar>
        <w:tblLook w:val="04A0" w:firstRow="1" w:lastRow="0" w:firstColumn="1" w:lastColumn="0" w:noHBand="0" w:noVBand="1"/>
      </w:tblPr>
      <w:tblGrid>
        <w:gridCol w:w="2333"/>
        <w:gridCol w:w="12067"/>
      </w:tblGrid>
      <w:tr w:rsidR="00A315A9" w:rsidRPr="00C13FC0" w14:paraId="70C9487E" w14:textId="77777777" w:rsidTr="00BA2FC1">
        <w:trPr>
          <w:trHeight w:val="121"/>
        </w:trPr>
        <w:tc>
          <w:tcPr>
            <w:tcW w:w="810" w:type="pct"/>
            <w:tcBorders>
              <w:top w:val="nil"/>
              <w:left w:val="nil"/>
              <w:bottom w:val="single" w:sz="12" w:space="0" w:color="9BBB59" w:themeColor="accent3"/>
              <w:right w:val="nil"/>
            </w:tcBorders>
            <w:vAlign w:val="center"/>
            <w:hideMark/>
          </w:tcPr>
          <w:p w14:paraId="64D6E84A" w14:textId="3A31F6F3" w:rsidR="00A315A9" w:rsidRPr="00C1784F" w:rsidRDefault="00A315A9" w:rsidP="00A315A9">
            <w:pPr>
              <w:keepNext/>
              <w:keepLines/>
              <w:spacing w:after="0" w:line="240" w:lineRule="auto"/>
              <w:jc w:val="center"/>
            </w:pPr>
            <w:r w:rsidRPr="00C1784F">
              <w:rPr>
                <w:b/>
                <w:bCs/>
              </w:rPr>
              <w:t>Sector</w:t>
            </w:r>
          </w:p>
        </w:tc>
        <w:tc>
          <w:tcPr>
            <w:tcW w:w="4190" w:type="pct"/>
            <w:tcBorders>
              <w:top w:val="nil"/>
              <w:left w:val="nil"/>
              <w:bottom w:val="single" w:sz="12" w:space="0" w:color="9BBB59" w:themeColor="accent3"/>
              <w:right w:val="nil"/>
            </w:tcBorders>
            <w:vAlign w:val="center"/>
            <w:hideMark/>
          </w:tcPr>
          <w:p w14:paraId="239A4802" w14:textId="672F89DD" w:rsidR="00A315A9" w:rsidRPr="00C1784F" w:rsidRDefault="00A315A9" w:rsidP="00A315A9">
            <w:pPr>
              <w:keepNext/>
              <w:keepLines/>
              <w:spacing w:after="0" w:line="240" w:lineRule="auto"/>
              <w:jc w:val="center"/>
              <w:rPr>
                <w:b/>
                <w:bCs/>
              </w:rPr>
            </w:pPr>
            <w:r w:rsidRPr="00C1784F">
              <w:rPr>
                <w:b/>
                <w:bCs/>
              </w:rPr>
              <w:t>Assumptions</w:t>
            </w:r>
          </w:p>
        </w:tc>
      </w:tr>
      <w:tr w:rsidR="00C1784F" w:rsidRPr="00C13FC0" w14:paraId="51DD8BF4" w14:textId="77777777" w:rsidTr="00BA2FC1">
        <w:trPr>
          <w:trHeight w:val="347"/>
        </w:trPr>
        <w:tc>
          <w:tcPr>
            <w:tcW w:w="810" w:type="pct"/>
            <w:tcBorders>
              <w:top w:val="single" w:sz="12" w:space="0" w:color="9BBB59" w:themeColor="accent3"/>
              <w:left w:val="nil"/>
              <w:bottom w:val="single" w:sz="4" w:space="0" w:color="9BBB59" w:themeColor="accent3"/>
              <w:right w:val="nil"/>
            </w:tcBorders>
            <w:vAlign w:val="center"/>
          </w:tcPr>
          <w:p w14:paraId="74EF0CD2" w14:textId="58BC6229" w:rsidR="00C1784F" w:rsidRPr="00C1784F" w:rsidRDefault="00C1784F" w:rsidP="00C1784F">
            <w:pPr>
              <w:keepNext/>
              <w:keepLines/>
              <w:spacing w:after="0" w:line="240" w:lineRule="auto"/>
              <w:jc w:val="center"/>
            </w:pPr>
            <w:r w:rsidRPr="00C1784F">
              <w:rPr>
                <w:color w:val="595959" w:themeColor="text1" w:themeTint="A6"/>
              </w:rPr>
              <w:t>Cross-cutting</w:t>
            </w:r>
          </w:p>
        </w:tc>
        <w:tc>
          <w:tcPr>
            <w:tcW w:w="4190" w:type="pct"/>
            <w:tcBorders>
              <w:top w:val="single" w:sz="12" w:space="0" w:color="9BBB59" w:themeColor="accent3"/>
              <w:left w:val="nil"/>
              <w:bottom w:val="single" w:sz="4" w:space="0" w:color="9BBB59" w:themeColor="accent3"/>
              <w:right w:val="nil"/>
            </w:tcBorders>
            <w:vAlign w:val="center"/>
          </w:tcPr>
          <w:p w14:paraId="11CBC8A8" w14:textId="20795C4F" w:rsidR="00C1784F" w:rsidRPr="00C1784F" w:rsidRDefault="00C1784F" w:rsidP="00C1784F">
            <w:pPr>
              <w:keepNext/>
              <w:keepLines/>
              <w:spacing w:after="0" w:line="240" w:lineRule="auto"/>
            </w:pPr>
            <w:r w:rsidRPr="00C1784F">
              <w:rPr>
                <w:color w:val="595959" w:themeColor="text1" w:themeTint="A6"/>
              </w:rPr>
              <w:t>Same as Committed Policies Scenario</w:t>
            </w:r>
          </w:p>
        </w:tc>
      </w:tr>
      <w:tr w:rsidR="00C1784F" w:rsidRPr="00C13FC0" w14:paraId="3502DF78" w14:textId="77777777" w:rsidTr="00BA2FC1">
        <w:trPr>
          <w:trHeight w:val="114"/>
        </w:trPr>
        <w:tc>
          <w:tcPr>
            <w:tcW w:w="810" w:type="pct"/>
            <w:tcBorders>
              <w:top w:val="single" w:sz="4" w:space="0" w:color="9BBB59" w:themeColor="accent3"/>
              <w:left w:val="nil"/>
              <w:bottom w:val="single" w:sz="4" w:space="0" w:color="9BBB59" w:themeColor="accent3"/>
              <w:right w:val="nil"/>
            </w:tcBorders>
            <w:vAlign w:val="center"/>
          </w:tcPr>
          <w:p w14:paraId="3B4EEEF3" w14:textId="5521BD56" w:rsidR="00C1784F" w:rsidRPr="00C1784F" w:rsidRDefault="00C1784F" w:rsidP="00C1784F">
            <w:pPr>
              <w:pStyle w:val="ListParagraph"/>
              <w:keepNext/>
              <w:keepLines/>
              <w:spacing w:line="240" w:lineRule="auto"/>
              <w:ind w:left="268"/>
              <w:jc w:val="center"/>
            </w:pPr>
            <w:r w:rsidRPr="00C1784F">
              <w:rPr>
                <w:color w:val="595959" w:themeColor="text1" w:themeTint="A6"/>
              </w:rPr>
              <w:t>Electricity</w:t>
            </w:r>
          </w:p>
        </w:tc>
        <w:tc>
          <w:tcPr>
            <w:tcW w:w="4190" w:type="pct"/>
            <w:tcBorders>
              <w:top w:val="single" w:sz="4" w:space="0" w:color="9BBB59" w:themeColor="accent3"/>
              <w:left w:val="nil"/>
              <w:bottom w:val="single" w:sz="4" w:space="0" w:color="9BBB59" w:themeColor="accent3"/>
              <w:right w:val="nil"/>
            </w:tcBorders>
            <w:vAlign w:val="center"/>
          </w:tcPr>
          <w:p w14:paraId="09417C83"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Ratcheting up the clean energy standard in tandem with electricity grid reliability investments causes sector emissions to fall to 30 MMT CO</w:t>
            </w:r>
            <w:r w:rsidRPr="00C1784F">
              <w:rPr>
                <w:color w:val="595959" w:themeColor="text1" w:themeTint="A6"/>
                <w:vertAlign w:val="subscript"/>
              </w:rPr>
              <w:t>2</w:t>
            </w:r>
            <w:r w:rsidRPr="00C1784F">
              <w:rPr>
                <w:color w:val="595959" w:themeColor="text1" w:themeTint="A6"/>
              </w:rPr>
              <w:t>e compared to 38 MMT in the BAU Scenario. By 2035, the electricity sector’s emissions fall to around 4 MMT CO</w:t>
            </w:r>
            <w:r w:rsidRPr="00C1784F">
              <w:rPr>
                <w:color w:val="595959" w:themeColor="text1" w:themeTint="A6"/>
                <w:vertAlign w:val="subscript"/>
              </w:rPr>
              <w:t>2</w:t>
            </w:r>
            <w:r w:rsidRPr="00C1784F">
              <w:rPr>
                <w:color w:val="595959" w:themeColor="text1" w:themeTint="A6"/>
              </w:rPr>
              <w:t xml:space="preserve">e. </w:t>
            </w:r>
          </w:p>
          <w:p w14:paraId="5E31BBEA" w14:textId="305254EE" w:rsidR="00C1784F" w:rsidRPr="00C1784F" w:rsidRDefault="00C1784F" w:rsidP="00C1784F">
            <w:pPr>
              <w:pStyle w:val="ListParagraph"/>
              <w:keepNext/>
              <w:keepLines/>
              <w:numPr>
                <w:ilvl w:val="0"/>
                <w:numId w:val="4"/>
              </w:numPr>
              <w:autoSpaceDE w:val="0"/>
              <w:autoSpaceDN w:val="0"/>
              <w:adjustRightInd w:val="0"/>
              <w:spacing w:after="90" w:line="240" w:lineRule="auto"/>
              <w:ind w:left="268" w:hanging="180"/>
              <w:textAlignment w:val="center"/>
            </w:pPr>
            <w:r w:rsidRPr="00C1784F">
              <w:rPr>
                <w:color w:val="595959" w:themeColor="text1" w:themeTint="A6"/>
              </w:rPr>
              <w:t>Electricity grid reliability investments in this scenario include doubling battery storage capacity, doubling transmission capacity, and adding 5,900 megawatts (MW) of demand response capacity. Associated reliability resource costs are included in clean energy standard policy costs.</w:t>
            </w:r>
          </w:p>
        </w:tc>
      </w:tr>
      <w:tr w:rsidR="00C1784F" w:rsidRPr="00C13FC0" w14:paraId="3F808C4F" w14:textId="77777777" w:rsidTr="00BA2FC1">
        <w:trPr>
          <w:trHeight w:val="114"/>
        </w:trPr>
        <w:tc>
          <w:tcPr>
            <w:tcW w:w="810" w:type="pct"/>
            <w:tcBorders>
              <w:top w:val="single" w:sz="4" w:space="0" w:color="9BBB59" w:themeColor="accent3"/>
              <w:left w:val="nil"/>
              <w:bottom w:val="single" w:sz="4" w:space="0" w:color="9BBB59" w:themeColor="accent3"/>
              <w:right w:val="nil"/>
            </w:tcBorders>
            <w:vAlign w:val="center"/>
          </w:tcPr>
          <w:p w14:paraId="4A43C1CE" w14:textId="104C4DF0" w:rsidR="00C1784F" w:rsidRPr="00C1784F" w:rsidRDefault="00C1784F" w:rsidP="00C1784F">
            <w:pPr>
              <w:keepNext/>
              <w:keepLines/>
              <w:spacing w:after="0" w:line="240" w:lineRule="auto"/>
              <w:jc w:val="center"/>
            </w:pPr>
            <w:r w:rsidRPr="00C1784F">
              <w:rPr>
                <w:color w:val="595959" w:themeColor="text1" w:themeTint="A6"/>
              </w:rPr>
              <w:t>Transportation</w:t>
            </w:r>
          </w:p>
        </w:tc>
        <w:tc>
          <w:tcPr>
            <w:tcW w:w="4190" w:type="pct"/>
            <w:tcBorders>
              <w:top w:val="single" w:sz="4" w:space="0" w:color="9BBB59" w:themeColor="accent3"/>
              <w:left w:val="nil"/>
              <w:bottom w:val="single" w:sz="4" w:space="0" w:color="9BBB59" w:themeColor="accent3"/>
              <w:right w:val="nil"/>
            </w:tcBorders>
            <w:vAlign w:val="center"/>
          </w:tcPr>
          <w:p w14:paraId="497B1ACD"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 xml:space="preserve">Electrification of cars, light trucks, and buses: ZEVs reach 100% of new vehicle sales in 2030. </w:t>
            </w:r>
          </w:p>
          <w:p w14:paraId="12BFF6E7"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 xml:space="preserve">Electrification of medium- and heavy-duty trucks: ZEVs reach 100% of new vehicle sales in 2032. </w:t>
            </w:r>
          </w:p>
          <w:p w14:paraId="52EBEA18" w14:textId="696FB9E2" w:rsidR="00C1784F" w:rsidRPr="00C1784F" w:rsidRDefault="00C1784F" w:rsidP="00C1784F">
            <w:pPr>
              <w:pStyle w:val="ListParagraph"/>
              <w:keepNext/>
              <w:keepLines/>
              <w:numPr>
                <w:ilvl w:val="0"/>
                <w:numId w:val="2"/>
              </w:numPr>
              <w:autoSpaceDE w:val="0"/>
              <w:autoSpaceDN w:val="0"/>
              <w:adjustRightInd w:val="0"/>
              <w:spacing w:after="90" w:line="240" w:lineRule="auto"/>
              <w:ind w:left="268" w:hanging="182"/>
              <w:textAlignment w:val="center"/>
            </w:pPr>
            <w:r w:rsidRPr="00C1784F">
              <w:rPr>
                <w:color w:val="595959" w:themeColor="text1" w:themeTint="A6"/>
              </w:rPr>
              <w:t>Electrification of tractor trailer-type freight trucks (colloquially known as “semis”): ZEVs reach 100% of new vehicle sales in 2035.</w:t>
            </w:r>
          </w:p>
        </w:tc>
      </w:tr>
      <w:tr w:rsidR="00C1784F" w:rsidRPr="00C13FC0" w14:paraId="4A1B8AAB" w14:textId="77777777" w:rsidTr="00BA2FC1">
        <w:trPr>
          <w:trHeight w:val="249"/>
        </w:trPr>
        <w:tc>
          <w:tcPr>
            <w:tcW w:w="810" w:type="pct"/>
            <w:tcBorders>
              <w:top w:val="single" w:sz="4" w:space="0" w:color="9BBB59" w:themeColor="accent3"/>
              <w:left w:val="nil"/>
              <w:bottom w:val="single" w:sz="4" w:space="0" w:color="9BBB59" w:themeColor="accent3"/>
              <w:right w:val="nil"/>
            </w:tcBorders>
            <w:vAlign w:val="center"/>
            <w:hideMark/>
          </w:tcPr>
          <w:p w14:paraId="41939AA0" w14:textId="36DFBCDE" w:rsidR="00C1784F" w:rsidRPr="00C1784F" w:rsidRDefault="00C1784F" w:rsidP="00C1784F">
            <w:pPr>
              <w:keepNext/>
              <w:keepLines/>
              <w:spacing w:after="0" w:line="240" w:lineRule="auto"/>
              <w:jc w:val="center"/>
            </w:pPr>
            <w:r w:rsidRPr="00C1784F">
              <w:rPr>
                <w:color w:val="595959" w:themeColor="text1" w:themeTint="A6"/>
              </w:rPr>
              <w:t>Industry</w:t>
            </w:r>
          </w:p>
        </w:tc>
        <w:tc>
          <w:tcPr>
            <w:tcW w:w="4190" w:type="pct"/>
            <w:tcBorders>
              <w:top w:val="single" w:sz="4" w:space="0" w:color="9BBB59" w:themeColor="accent3"/>
              <w:left w:val="nil"/>
              <w:bottom w:val="single" w:sz="4" w:space="0" w:color="9BBB59" w:themeColor="accent3"/>
              <w:right w:val="nil"/>
            </w:tcBorders>
            <w:vAlign w:val="center"/>
          </w:tcPr>
          <w:p w14:paraId="5B2CCAAF"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Switching to lower carbon fuels, prioritizing electrification, switching to electricity from fossil fuel combustion. When electrification is technically infeasible or cost prohibitive, industry energy demand switches to hydrogen produced by electrolysis (i.e., using electricity).</w:t>
            </w:r>
          </w:p>
          <w:p w14:paraId="6068824D"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Grid-connected electricity supplies hydrogen production in this scenario, in contrast to the 2022 Draft Scoping Plan analysis, which assumes electricity for hydrogen production is from dedicated solar PV facilities, disconnected from the electricity grid.</w:t>
            </w:r>
          </w:p>
          <w:p w14:paraId="245B9EF0"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 xml:space="preserve">Emissions reductions even beyond SB 617 requirements for short-lived climate pollutants. Faster phase switch to low global warming potential refrigerants consistent with the Kigali Amendment to the Montreal Protocol. Additional reduction in methane leakage associated with natural gas use. </w:t>
            </w:r>
          </w:p>
          <w:p w14:paraId="569FC37E" w14:textId="69ED244B" w:rsidR="00C1784F" w:rsidRPr="00C1784F" w:rsidRDefault="00C1784F" w:rsidP="00C1784F">
            <w:pPr>
              <w:keepNext/>
              <w:keepLines/>
              <w:numPr>
                <w:ilvl w:val="0"/>
                <w:numId w:val="3"/>
              </w:numPr>
              <w:spacing w:before="60" w:after="60" w:line="240" w:lineRule="auto"/>
              <w:ind w:left="250" w:hanging="180"/>
            </w:pPr>
            <w:r w:rsidRPr="00C1784F">
              <w:rPr>
                <w:color w:val="595959" w:themeColor="text1" w:themeTint="A6"/>
              </w:rPr>
              <w:t>CCS to capture industrial process emissions otherwise difficult to mitigate in three industries, cement, chemicals, and ferrous metals production. .</w:t>
            </w:r>
          </w:p>
        </w:tc>
      </w:tr>
      <w:tr w:rsidR="00C1784F" w:rsidRPr="00C13FC0" w14:paraId="290F8B2D" w14:textId="77777777" w:rsidTr="00BA2FC1">
        <w:trPr>
          <w:trHeight w:val="249"/>
        </w:trPr>
        <w:tc>
          <w:tcPr>
            <w:tcW w:w="810" w:type="pct"/>
            <w:tcBorders>
              <w:top w:val="single" w:sz="4" w:space="0" w:color="9BBB59" w:themeColor="accent3"/>
              <w:left w:val="nil"/>
              <w:bottom w:val="nil"/>
              <w:right w:val="nil"/>
            </w:tcBorders>
            <w:vAlign w:val="center"/>
            <w:hideMark/>
          </w:tcPr>
          <w:p w14:paraId="1DA3B06B" w14:textId="232A83B5" w:rsidR="00C1784F" w:rsidRPr="00C1784F" w:rsidRDefault="00C1784F" w:rsidP="00C1784F">
            <w:pPr>
              <w:keepNext/>
              <w:keepLines/>
              <w:spacing w:after="0" w:line="240" w:lineRule="auto"/>
              <w:jc w:val="center"/>
            </w:pPr>
            <w:r w:rsidRPr="00C1784F">
              <w:rPr>
                <w:color w:val="595959" w:themeColor="text1" w:themeTint="A6"/>
              </w:rPr>
              <w:t>Buildings</w:t>
            </w:r>
          </w:p>
        </w:tc>
        <w:tc>
          <w:tcPr>
            <w:tcW w:w="4190" w:type="pct"/>
            <w:tcBorders>
              <w:top w:val="single" w:sz="4" w:space="0" w:color="9BBB59" w:themeColor="accent3"/>
              <w:left w:val="nil"/>
              <w:bottom w:val="nil"/>
              <w:right w:val="nil"/>
            </w:tcBorders>
            <w:vAlign w:val="center"/>
          </w:tcPr>
          <w:p w14:paraId="2BB3BABC" w14:textId="1F6FBA2B" w:rsidR="00C1784F" w:rsidRPr="00C1784F" w:rsidRDefault="00C1784F" w:rsidP="00C1784F">
            <w:pPr>
              <w:keepNext/>
              <w:keepLines/>
              <w:numPr>
                <w:ilvl w:val="0"/>
                <w:numId w:val="3"/>
              </w:numPr>
              <w:spacing w:before="60" w:after="60" w:line="240" w:lineRule="auto"/>
              <w:ind w:left="250" w:hanging="180"/>
            </w:pPr>
            <w:r w:rsidRPr="00C1784F">
              <w:rPr>
                <w:color w:val="595959" w:themeColor="text1" w:themeTint="A6"/>
              </w:rPr>
              <w:t xml:space="preserve">Electric building components reach 100% in 2030, covering new buildings and appliance replacements in existing buildings. </w:t>
            </w:r>
          </w:p>
        </w:tc>
      </w:tr>
    </w:tbl>
    <w:p w14:paraId="26C24DE9" w14:textId="77777777" w:rsidR="00A315A9" w:rsidRDefault="00A315A9" w:rsidP="00A315A9"/>
    <w:p w14:paraId="118CDAA7" w14:textId="703E72AD" w:rsidR="00654812" w:rsidRDefault="00824CDF">
      <w:pPr>
        <w:pStyle w:val="Heading1"/>
      </w:pPr>
      <w:r>
        <w:t>About Us</w:t>
      </w:r>
    </w:p>
    <w:p w14:paraId="63ACF7D5" w14:textId="77777777" w:rsidR="00654812" w:rsidRDefault="00824CDF">
      <w:pPr>
        <w:pStyle w:val="Heading3"/>
        <w:rPr>
          <w:b w:val="0"/>
        </w:rPr>
      </w:pPr>
      <w:r>
        <w:rPr>
          <w:b w:val="0"/>
        </w:rPr>
        <w:t>The Energy Policy Simulator is a non-partisan, open-source, and peer-reviewed model. The EPS was developed to evaluate the impacts of climate and energy policies on emissions, costs and savings, and fuel consumption. The EPS model is used by policymakers to select and refine climate legislation. For example, the EPS model was used to assess the impact of climate policies for the U.S. House Select Committee on the Climate Crisis.</w:t>
      </w:r>
      <w:r>
        <w:rPr>
          <w:b w:val="0"/>
          <w:vertAlign w:val="superscript"/>
        </w:rPr>
        <w:footnoteReference w:id="6"/>
      </w:r>
      <w:r>
        <w:rPr>
          <w:b w:val="0"/>
        </w:rPr>
        <w:t xml:space="preserve"> EPS users input climate policies and the model then analyzes interacting policy impacts to forecast environmental and economic outcomes. The model generates a variety of data outputs including greenhouse gas emissions, criteria pollutant emissions, capital and operating cash flow changes, and macroeconomic changes to GDP and jobs. RMI and Energy Innovation are currently developing “beta” EPS models for all 48 continental U.S. states. </w:t>
      </w:r>
    </w:p>
    <w:p w14:paraId="7DAC84EF" w14:textId="77777777" w:rsidR="00654812" w:rsidRDefault="00824CDF">
      <w:pPr>
        <w:pStyle w:val="Heading3"/>
      </w:pPr>
      <w:r>
        <w:t xml:space="preserve">The EPS model is available for download online </w:t>
      </w:r>
      <w:hyperlink r:id="rId41">
        <w:r>
          <w:rPr>
            <w:color w:val="0563C1"/>
            <w:u w:val="single"/>
          </w:rPr>
          <w:t>here</w:t>
        </w:r>
      </w:hyperlink>
      <w:r>
        <w:t>.</w:t>
      </w:r>
      <w:r>
        <w:rPr>
          <w:vertAlign w:val="superscript"/>
        </w:rPr>
        <w:footnoteReference w:id="7"/>
      </w:r>
      <w:r>
        <w:t xml:space="preserve"> And full documentation on methodology and assumptions are available online </w:t>
      </w:r>
      <w:hyperlink r:id="rId42">
        <w:r>
          <w:rPr>
            <w:color w:val="0563C1"/>
            <w:u w:val="single"/>
          </w:rPr>
          <w:t>here</w:t>
        </w:r>
      </w:hyperlink>
      <w:r>
        <w:t>.</w:t>
      </w:r>
      <w:r>
        <w:rPr>
          <w:vertAlign w:val="superscript"/>
        </w:rPr>
        <w:footnoteReference w:id="8"/>
      </w:r>
      <w:r>
        <w:t xml:space="preserve"> </w:t>
      </w:r>
    </w:p>
    <w:p w14:paraId="5E74CDDE" w14:textId="77777777" w:rsidR="00654812" w:rsidRDefault="00824CDF">
      <w:pPr>
        <w:pStyle w:val="Heading1"/>
      </w:pPr>
      <w:r>
        <w:t>Contact</w:t>
      </w:r>
      <w:r>
        <w:tab/>
      </w:r>
      <w:r>
        <w:tab/>
      </w:r>
      <w:r>
        <w:tab/>
      </w:r>
      <w:r>
        <w:tab/>
      </w:r>
      <w:r>
        <w:tab/>
      </w:r>
      <w:r>
        <w:tab/>
      </w:r>
      <w:r>
        <w:tab/>
      </w:r>
      <w:r>
        <w:tab/>
      </w:r>
      <w:r>
        <w:tab/>
      </w:r>
      <w:r>
        <w:tab/>
      </w:r>
      <w:r>
        <w:tab/>
      </w:r>
      <w:r>
        <w:tab/>
      </w:r>
      <w:r>
        <w:tab/>
      </w:r>
      <w:r>
        <w:tab/>
      </w:r>
      <w:r>
        <w:tab/>
      </w:r>
      <w:r>
        <w:tab/>
      </w:r>
      <w:r>
        <w:tab/>
      </w:r>
      <w:r>
        <w:tab/>
      </w:r>
      <w:r>
        <w:tab/>
      </w:r>
    </w:p>
    <w:p w14:paraId="420AA008" w14:textId="77777777" w:rsidR="00654812" w:rsidRDefault="00824CDF">
      <w:r>
        <w:t xml:space="preserve">If you have questions about using the EPS, we recommend first watching our video series, available </w:t>
      </w:r>
      <w:hyperlink r:id="rId43">
        <w:r>
          <w:rPr>
            <w:color w:val="0563C1"/>
            <w:u w:val="single"/>
          </w:rPr>
          <w:t>here</w:t>
        </w:r>
      </w:hyperlink>
      <w:r>
        <w:t>.</w:t>
      </w:r>
      <w:r>
        <w:rPr>
          <w:vertAlign w:val="superscript"/>
        </w:rPr>
        <w:footnoteReference w:id="9"/>
      </w:r>
      <w:r>
        <w:t xml:space="preserve"> For further information on the EPS, contact us at </w:t>
      </w:r>
      <w:hyperlink r:id="rId44">
        <w:r>
          <w:rPr>
            <w:color w:val="0563C1"/>
            <w:u w:val="single"/>
          </w:rPr>
          <w:t>policy@energyinnovation.org</w:t>
        </w:r>
      </w:hyperlink>
      <w:r>
        <w:t xml:space="preserve">. For more information on RMI analysis and our state advocacy support network contact us at </w:t>
      </w:r>
      <w:hyperlink r:id="rId45">
        <w:r>
          <w:rPr>
            <w:color w:val="1155CC"/>
            <w:u w:val="single"/>
          </w:rPr>
          <w:t>USAnalysis@rmi.org</w:t>
        </w:r>
      </w:hyperlink>
      <w:r>
        <w:t>.</w:t>
      </w:r>
    </w:p>
    <w:p w14:paraId="2CAA1957" w14:textId="77777777" w:rsidR="00654812" w:rsidRDefault="00824CDF">
      <w:pPr>
        <w:rPr>
          <w:sz w:val="20"/>
          <w:szCs w:val="20"/>
        </w:rPr>
      </w:pPr>
      <w:r>
        <w:t>The US state EPS models were developed as a partnership between Energy Innovation and Rocky Mountain Institute (RMI), with RMI work supported by Bloomberg Philanthropies.</w:t>
      </w:r>
    </w:p>
    <w:sectPr w:rsidR="00654812">
      <w:headerReference w:type="default" r:id="rId46"/>
      <w:footerReference w:type="default" r:id="rId4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236D5" w14:textId="77777777" w:rsidR="00527230" w:rsidRDefault="00527230">
      <w:pPr>
        <w:spacing w:after="0" w:line="240" w:lineRule="auto"/>
      </w:pPr>
      <w:r>
        <w:separator/>
      </w:r>
    </w:p>
  </w:endnote>
  <w:endnote w:type="continuationSeparator" w:id="0">
    <w:p w14:paraId="03AC6C30" w14:textId="77777777" w:rsidR="00527230" w:rsidRDefault="0052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50E55" w14:textId="77777777" w:rsidR="00654812" w:rsidRDefault="00654812">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BE2B1" w14:textId="77777777" w:rsidR="00527230" w:rsidRDefault="00527230">
      <w:pPr>
        <w:spacing w:after="0" w:line="240" w:lineRule="auto"/>
      </w:pPr>
      <w:r>
        <w:separator/>
      </w:r>
    </w:p>
  </w:footnote>
  <w:footnote w:type="continuationSeparator" w:id="0">
    <w:p w14:paraId="6EE3AB14" w14:textId="77777777" w:rsidR="00527230" w:rsidRDefault="00527230">
      <w:pPr>
        <w:spacing w:after="0" w:line="240" w:lineRule="auto"/>
      </w:pPr>
      <w:r>
        <w:continuationSeparator/>
      </w:r>
    </w:p>
  </w:footnote>
  <w:footnote w:id="1">
    <w:p w14:paraId="6078D3F8" w14:textId="77777777" w:rsidR="009B0F83" w:rsidRPr="00E81B16" w:rsidRDefault="009B0F83" w:rsidP="00C13FC0">
      <w:pPr>
        <w:pStyle w:val="FootnoteText"/>
        <w:ind w:left="180" w:hanging="180"/>
        <w:jc w:val="left"/>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Pr>
          <w:rFonts w:cs="Calibri Light"/>
        </w:rPr>
        <w:instrText xml:space="preserve"> ADDIN ZOTERO_ITEM CSL_CITATION {"citationID":"qEIUyFfb","properties":{"formattedCitation":"California Public Utilities Commission, \\uc0\\u8220{}Attachment A Modeling Assumptions 2022-23 TPP, Decision Adopting 2021 Preferred System Plan,\\uc0\\u8221{} February 15, 2022, https://docs.cpuc.ca.gov/PublishedDocs/Published/G000/M451/K485/451485713.PDF.","plainCitation":"California Public Utilities Commission, “Attachment A Modeling Assumptions 2022-23 TPP, Decision Adopting 2021 Preferred System Plan,” February 15, 2022, https://docs.cpuc.ca.gov/PublishedDocs/Published/G000/M451/K485/451485713.PDF.","noteIndex":24},"citationItems":[{"id":689,"uris":["http://zotero.org/users/6966607/items/GL88MECC"],"itemData":{"id":689,"type":"report","abstract":"Long Term Plans To Meet Electricity Reliability and Climate Goals","number":"Decision 22-02-004","title":"Attachment A Modeling Assumptions 2022-23 TPP, Decision Adopting 2021 Preferred System Plan","title-short":"2021 Preferred System Plan modeling","URL":"https://docs.cpuc.ca.gov/PublishedDocs/Published/G000/M451/K485/451485713.PDF","author":[{"family":"California Public Utilities Commission","given":""}],"accessed":{"date-parts":[["2022",5,23]]},"issued":{"date-parts":[["2022",2,15]]}}}],"schema":"https://github.com/citation-style-language/schema/raw/master/csl-citation.json"} </w:instrText>
      </w:r>
      <w:r w:rsidRPr="00E81B16">
        <w:rPr>
          <w:rFonts w:cs="Calibri Light"/>
        </w:rPr>
        <w:fldChar w:fldCharType="separate"/>
      </w:r>
      <w:r w:rsidRPr="00E81B16">
        <w:rPr>
          <w:rFonts w:cs="Calibri Light"/>
          <w:szCs w:val="24"/>
        </w:rPr>
        <w:t xml:space="preserve">California Public Utilities Commission, “Attachment A Modeling Assumptions 2022-23 TPP, Decision Adopting 2021 Preferred System Plan,” February 15, 2022, </w:t>
      </w:r>
      <w:hyperlink r:id="rId1" w:history="1">
        <w:r w:rsidRPr="00E81B16">
          <w:rPr>
            <w:rStyle w:val="Hyperlink"/>
            <w:rFonts w:cs="Calibri Light"/>
            <w:szCs w:val="24"/>
          </w:rPr>
          <w:t>https://docs.cpuc.ca.gov/PublishedDocs/Published/G000/M451/K485/451485713.PDF</w:t>
        </w:r>
      </w:hyperlink>
      <w:r w:rsidRPr="00E81B16">
        <w:rPr>
          <w:rFonts w:cs="Calibri Light"/>
          <w:szCs w:val="24"/>
        </w:rPr>
        <w:t>.</w:t>
      </w:r>
      <w:r w:rsidRPr="00E81B16">
        <w:rPr>
          <w:rFonts w:cs="Calibri Light"/>
        </w:rPr>
        <w:fldChar w:fldCharType="end"/>
      </w:r>
    </w:p>
  </w:footnote>
  <w:footnote w:id="2">
    <w:p w14:paraId="1668C456" w14:textId="77777777" w:rsidR="009B0F83" w:rsidRPr="00E81B16" w:rsidRDefault="009B0F83" w:rsidP="00C13FC0">
      <w:pPr>
        <w:pStyle w:val="FootnoteText"/>
        <w:ind w:left="180" w:hanging="180"/>
        <w:jc w:val="left"/>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Pr>
          <w:rFonts w:cs="Calibri Light"/>
        </w:rPr>
        <w:instrText xml:space="preserve"> ADDIN ZOTERO_ITEM CSL_CITATION {"citationID":"4IVf8Uq7","properties":{"formattedCitation":"California Public Utilities Commission.","plainCitation":"California Public Utilities Commission.","dontUpdate":true,"noteIndex":25},"citationItems":[{"id":689,"uris":["http://zotero.org/users/6966607/items/GL88MECC"],"itemData":{"id":689,"type":"report","abstract":"Long Term Plans To Meet Electricity Reliability and Climate Goals","number":"Decision 22-02-004","title":"Attachment A Modeling Assumptions 2022-23 TPP, Decision Adopting 2021 Preferred System Plan","title-short":"2021 Preferred System Plan modeling","URL":"https://docs.cpuc.ca.gov/PublishedDocs/Published/G000/M451/K485/451485713.PDF","author":[{"family":"California Public Utilities Commission","given":""}],"accessed":{"date-parts":[["2022",5,23]]},"issued":{"date-parts":[["2022",2,15]]}}}],"schema":"https://github.com/citation-style-language/schema/raw/master/csl-citation.json"} </w:instrText>
      </w:r>
      <w:r w:rsidRPr="00E81B16">
        <w:rPr>
          <w:rFonts w:cs="Calibri Light"/>
        </w:rPr>
        <w:fldChar w:fldCharType="separate"/>
      </w:r>
      <w:r w:rsidRPr="00E81B16">
        <w:rPr>
          <w:rFonts w:cs="Calibri Light"/>
        </w:rPr>
        <w:t xml:space="preserve">California Public Utilities Commission, </w:t>
      </w:r>
      <w:r w:rsidRPr="00E81B16">
        <w:rPr>
          <w:rFonts w:cs="Calibri Light"/>
          <w:szCs w:val="24"/>
        </w:rPr>
        <w:t>“Attachment A Modeling Assumptions 2022-23 TPP</w:t>
      </w:r>
      <w:r w:rsidRPr="00E81B16">
        <w:rPr>
          <w:rFonts w:cs="Calibri Light"/>
        </w:rPr>
        <w:t>.</w:t>
      </w:r>
      <w:r w:rsidRPr="00E81B16">
        <w:rPr>
          <w:rFonts w:cs="Calibri Light"/>
        </w:rPr>
        <w:fldChar w:fldCharType="end"/>
      </w:r>
      <w:r w:rsidRPr="00E81B16">
        <w:rPr>
          <w:rFonts w:cs="Calibri Light"/>
        </w:rPr>
        <w:t>”</w:t>
      </w:r>
    </w:p>
  </w:footnote>
  <w:footnote w:id="3">
    <w:p w14:paraId="4C40D8A7" w14:textId="77777777" w:rsidR="009B0F83" w:rsidRPr="00E81B16" w:rsidRDefault="009B0F83" w:rsidP="00C13FC0">
      <w:pPr>
        <w:pStyle w:val="FootnoteText"/>
        <w:ind w:left="180" w:hanging="180"/>
        <w:jc w:val="left"/>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sidRPr="00E81B16">
        <w:rPr>
          <w:rFonts w:cs="Calibri Light"/>
        </w:rPr>
        <w:instrText xml:space="preserve"> ADDIN ZOTERO_ITEM CSL_CITATION {"citationID":"LORiiv8g","properties":{"formattedCitation":"Kelly L. Fleming Austin L. Brown, \\uc0\\u8220{}Carbon Neutrality Study 1: Driving Transportation Emissions to Zero in California,\\uc0\\u8221{} 2020, https://doi.org/10.7922/G2222S1B.","plainCitation":"Kelly L. Fleming Austin L. Brown, “Carbon Neutrality Study 1: Driving Transportation Emissions to Zero in California,” 2020, https://doi.org/10.7922/G2222S1B.","dontUpdate":true,"noteIndex":23},"citationItems":[{"id":693,"uris":["http://zotero.org/users/6966607/items/X7JTD6TR"],"itemData":{"id":693,"type":"article-journal","DOI":"10.7922/G2222S1B","note":"publisher: University of California, Institute of Transportation Studies","source":"DOI.org (Datacite)","title":"Carbon Neutrality Study 1: Driving Transportation Emissions to Zero in California","title-short":"Carbon Neutrality Study 1","URL":"https://escholarship.org/uc/item/5zb1238j","author":[{"family":"Austin L. Brown","given":"Kelly L. Fleming"}],"accessed":{"date-parts":[["2022",5,23]]},"issued":{"date-parts":[["2020"]]}}}],"schema":"https://github.com/citation-style-language/schema/raw/master/csl-citation.json"} </w:instrText>
      </w:r>
      <w:r w:rsidRPr="00E81B16">
        <w:rPr>
          <w:rFonts w:cs="Calibri Light"/>
        </w:rPr>
        <w:fldChar w:fldCharType="separate"/>
      </w:r>
      <w:r w:rsidRPr="00E81B16">
        <w:rPr>
          <w:rFonts w:cs="Calibri Light"/>
          <w:szCs w:val="24"/>
        </w:rPr>
        <w:t xml:space="preserve">Kelly L. Fleming and Austin L. Brown, “Carbon Neutrality Study 1: Driving Transportation Emissions to Zero in California,” 2020, </w:t>
      </w:r>
      <w:hyperlink r:id="rId2" w:history="1">
        <w:r w:rsidRPr="00E81B16">
          <w:rPr>
            <w:rStyle w:val="Hyperlink"/>
            <w:rFonts w:cs="Calibri Light"/>
            <w:szCs w:val="24"/>
          </w:rPr>
          <w:t>https://doi.org/10.7922/G2222S1B</w:t>
        </w:r>
      </w:hyperlink>
      <w:r w:rsidRPr="00E81B16">
        <w:rPr>
          <w:rFonts w:cs="Calibri Light"/>
          <w:szCs w:val="24"/>
        </w:rPr>
        <w:t>.</w:t>
      </w:r>
      <w:r w:rsidRPr="00E81B16">
        <w:rPr>
          <w:rFonts w:cs="Calibri Light"/>
        </w:rPr>
        <w:fldChar w:fldCharType="end"/>
      </w:r>
    </w:p>
  </w:footnote>
  <w:footnote w:id="4">
    <w:p w14:paraId="3AAB80CC" w14:textId="77777777" w:rsidR="009B0F83" w:rsidRDefault="009B0F83" w:rsidP="00C13FC0">
      <w:pPr>
        <w:pStyle w:val="FootnoteText"/>
      </w:pPr>
      <w:r w:rsidRPr="00D0328B">
        <w:rPr>
          <w:rStyle w:val="FootnoteReference"/>
          <w:sz w:val="18"/>
          <w:szCs w:val="18"/>
        </w:rPr>
        <w:footnoteRef/>
      </w:r>
      <w:r w:rsidRPr="00D0328B">
        <w:rPr>
          <w:sz w:val="18"/>
          <w:szCs w:val="18"/>
        </w:rPr>
        <w:t xml:space="preserve"> SB 596 requires </w:t>
      </w:r>
      <w:r>
        <w:rPr>
          <w:sz w:val="18"/>
          <w:szCs w:val="18"/>
        </w:rPr>
        <w:t>CARB</w:t>
      </w:r>
      <w:r w:rsidRPr="00D0328B">
        <w:rPr>
          <w:sz w:val="18"/>
          <w:szCs w:val="18"/>
        </w:rPr>
        <w:t>, by July 1, 2023, to develop a comprehensive strategy for the state’s cement sector to achieve net-zero</w:t>
      </w:r>
      <w:r>
        <w:rPr>
          <w:sz w:val="18"/>
          <w:szCs w:val="18"/>
        </w:rPr>
        <w:t xml:space="preserve"> </w:t>
      </w:r>
      <w:r w:rsidRPr="00D0328B">
        <w:rPr>
          <w:sz w:val="18"/>
          <w:szCs w:val="18"/>
        </w:rPr>
        <w:t>emissions of GHGs associated with cement used within the state no later than December 31, 2045. The bill establishes an interim target of 40 percent below the 2019 average GHG intensity of cement by December 31, 2035.</w:t>
      </w:r>
    </w:p>
  </w:footnote>
  <w:footnote w:id="5">
    <w:p w14:paraId="6EC46E75" w14:textId="77777777" w:rsidR="009B0F83" w:rsidRPr="00E81B16" w:rsidRDefault="009B0F83" w:rsidP="00C13FC0">
      <w:pPr>
        <w:pStyle w:val="FootnoteText"/>
        <w:ind w:left="180" w:hanging="180"/>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Pr>
          <w:rFonts w:cs="Calibri Light"/>
        </w:rPr>
        <w:instrText xml:space="preserve"> ADDIN ZOTERO_ITEM CSL_CITATION {"citationID":"y7ZdKbhh","properties":{"formattedCitation":"California Energy Commission, \\uc0\\u8220{}IPER 2021.\\uc0\\u8221{}","plainCitation":"California Energy Commission, “IPER 2021.”","noteIndex":27},"citationItems":[{"id":696,"uris":["http://zotero.org/users/6966607/items/JZCCKNP6"],"itemData":{"id":696,"type":"report","genre":"Adopted - Final Report, Volume I-IV and Appendix, CEC Docket 21-IEPR-01","language":"en","title":"Integrated Energy Policy Report (IPER) 2021","title-short":"IPER 2021","URL":"https://www.energy.ca.gov/data-reports/reports/integrated-energy-policy-report/2021-integrated-energy-policy-report/2021-iepr","author":[{"family":"California Energy Commission","given":""}],"accessed":{"date-parts":[["2022",5,24]]},"issued":{"date-parts":[["2022",2,22]]}}}],"schema":"https://github.com/citation-style-language/schema/raw/master/csl-citation.json"} </w:instrText>
      </w:r>
      <w:r w:rsidRPr="00E81B16">
        <w:rPr>
          <w:rFonts w:cs="Calibri Light"/>
        </w:rPr>
        <w:fldChar w:fldCharType="separate"/>
      </w:r>
      <w:r w:rsidRPr="00E81B16">
        <w:rPr>
          <w:rFonts w:cs="Calibri Light"/>
          <w:szCs w:val="24"/>
        </w:rPr>
        <w:t>California Energy Commission, “IPER 2021.”</w:t>
      </w:r>
      <w:r w:rsidRPr="00E81B16">
        <w:rPr>
          <w:rFonts w:cs="Calibri Light"/>
        </w:rPr>
        <w:fldChar w:fldCharType="end"/>
      </w:r>
    </w:p>
  </w:footnote>
  <w:footnote w:id="6">
    <w:p w14:paraId="2DAAC2BD" w14:textId="77777777" w:rsidR="00654812" w:rsidRDefault="00824CD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https://energyinnovation.org/2020/07/28/hal-harveys-insights-and-updates-congressional-climate-plan-is-a-bet-your-country-moment/</w:t>
      </w:r>
    </w:p>
  </w:footnote>
  <w:footnote w:id="7">
    <w:p w14:paraId="0AFD8529" w14:textId="77777777" w:rsidR="00654812" w:rsidRDefault="00824CDF">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https://us.energypolicy.solutions/docs/download.html</w:t>
      </w:r>
    </w:p>
  </w:footnote>
  <w:footnote w:id="8">
    <w:p w14:paraId="3AEA27B9" w14:textId="77777777" w:rsidR="00654812" w:rsidRDefault="00824CD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https://us.energypolicy.solutions/docs/index.html</w:t>
      </w:r>
    </w:p>
  </w:footnote>
  <w:footnote w:id="9">
    <w:p w14:paraId="4402B607" w14:textId="77777777" w:rsidR="00654812" w:rsidRDefault="00824CDF">
      <w:pPr>
        <w:spacing w:after="0" w:line="240" w:lineRule="auto"/>
        <w:rPr>
          <w:sz w:val="20"/>
          <w:szCs w:val="20"/>
        </w:rPr>
      </w:pPr>
      <w:r>
        <w:rPr>
          <w:vertAlign w:val="superscript"/>
        </w:rPr>
        <w:footnoteRef/>
      </w:r>
      <w:r>
        <w:rPr>
          <w:sz w:val="20"/>
          <w:szCs w:val="20"/>
        </w:rPr>
        <w:t xml:space="preserve"> 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080BE" w14:textId="77777777" w:rsidR="00654812" w:rsidRDefault="00654812">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C23"/>
    <w:multiLevelType w:val="hybridMultilevel"/>
    <w:tmpl w:val="8196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50769"/>
    <w:multiLevelType w:val="multilevel"/>
    <w:tmpl w:val="EF5E7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110201"/>
    <w:multiLevelType w:val="multilevel"/>
    <w:tmpl w:val="2A405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D125C36"/>
    <w:multiLevelType w:val="hybridMultilevel"/>
    <w:tmpl w:val="746A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153030">
    <w:abstractNumId w:val="1"/>
  </w:num>
  <w:num w:numId="2" w16cid:durableId="1100950266">
    <w:abstractNumId w:val="3"/>
  </w:num>
  <w:num w:numId="3" w16cid:durableId="2054042493">
    <w:abstractNumId w:val="2"/>
  </w:num>
  <w:num w:numId="4" w16cid:durableId="157158328">
    <w:abstractNumId w:val="0"/>
  </w:num>
  <w:num w:numId="5" w16cid:durableId="1993869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812"/>
    <w:rsid w:val="000C584F"/>
    <w:rsid w:val="000F547F"/>
    <w:rsid w:val="00137753"/>
    <w:rsid w:val="001D2E38"/>
    <w:rsid w:val="00295F2B"/>
    <w:rsid w:val="00527230"/>
    <w:rsid w:val="00654812"/>
    <w:rsid w:val="00715E07"/>
    <w:rsid w:val="007B6B7C"/>
    <w:rsid w:val="00824CDF"/>
    <w:rsid w:val="009750BA"/>
    <w:rsid w:val="009B0F83"/>
    <w:rsid w:val="00A021B9"/>
    <w:rsid w:val="00A315A9"/>
    <w:rsid w:val="00B17CD9"/>
    <w:rsid w:val="00B67B8B"/>
    <w:rsid w:val="00BC6DBC"/>
    <w:rsid w:val="00C13FC0"/>
    <w:rsid w:val="00C1784F"/>
    <w:rsid w:val="00CB0C3B"/>
    <w:rsid w:val="00D133A9"/>
    <w:rsid w:val="00FC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CC24"/>
  <w15:docId w15:val="{9A6FD466-44F1-4EAC-8DFC-4B7E5AE5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A9"/>
  </w:style>
  <w:style w:type="paragraph" w:styleId="Heading1">
    <w:name w:val="heading 1"/>
    <w:basedOn w:val="Normal"/>
    <w:next w:val="Normal"/>
    <w:uiPriority w:val="9"/>
    <w:qFormat/>
    <w:pPr>
      <w:keepNext/>
      <w:keepLines/>
      <w:shd w:val="clear" w:color="auto" w:fill="010E8D"/>
      <w:spacing w:before="240" w:after="0"/>
      <w:outlineLvl w:val="0"/>
    </w:pPr>
    <w:rPr>
      <w:b/>
      <w:color w:val="FFFFFF"/>
      <w:sz w:val="28"/>
      <w:szCs w:val="28"/>
    </w:rPr>
  </w:style>
  <w:style w:type="paragraph" w:styleId="Heading2">
    <w:name w:val="heading 2"/>
    <w:basedOn w:val="Normal"/>
    <w:next w:val="Normal"/>
    <w:link w:val="Heading2Char"/>
    <w:uiPriority w:val="9"/>
    <w:unhideWhenUsed/>
    <w:qFormat/>
    <w:pPr>
      <w:keepNext/>
      <w:keepLines/>
      <w:shd w:val="clear" w:color="auto" w:fill="B5BCFF"/>
      <w:spacing w:before="40" w:after="120"/>
      <w:outlineLvl w:val="1"/>
    </w:pPr>
    <w:rPr>
      <w:b/>
      <w:smallCaps/>
      <w:sz w:val="24"/>
      <w:szCs w:val="24"/>
    </w:rPr>
  </w:style>
  <w:style w:type="paragraph" w:styleId="Heading3">
    <w:name w:val="heading 3"/>
    <w:basedOn w:val="Normal"/>
    <w:next w:val="Normal"/>
    <w:uiPriority w:val="9"/>
    <w:unhideWhenUsed/>
    <w:qFormat/>
    <w:pPr>
      <w:spacing w:after="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9750BA"/>
    <w:rPr>
      <w:color w:val="0000FF" w:themeColor="hyperlink"/>
      <w:u w:val="single"/>
    </w:rPr>
  </w:style>
  <w:style w:type="character" w:styleId="UnresolvedMention">
    <w:name w:val="Unresolved Mention"/>
    <w:basedOn w:val="DefaultParagraphFont"/>
    <w:uiPriority w:val="99"/>
    <w:semiHidden/>
    <w:unhideWhenUsed/>
    <w:rsid w:val="009750BA"/>
    <w:rPr>
      <w:color w:val="605E5C"/>
      <w:shd w:val="clear" w:color="auto" w:fill="E1DFDD"/>
    </w:rPr>
  </w:style>
  <w:style w:type="character" w:styleId="FollowedHyperlink">
    <w:name w:val="FollowedHyperlink"/>
    <w:basedOn w:val="DefaultParagraphFont"/>
    <w:uiPriority w:val="99"/>
    <w:semiHidden/>
    <w:unhideWhenUsed/>
    <w:rsid w:val="009750BA"/>
    <w:rPr>
      <w:color w:val="800080" w:themeColor="followedHyperlink"/>
      <w:u w:val="single"/>
    </w:rPr>
  </w:style>
  <w:style w:type="paragraph" w:styleId="ListParagraph">
    <w:name w:val="List Paragraph"/>
    <w:basedOn w:val="Normal"/>
    <w:uiPriority w:val="34"/>
    <w:qFormat/>
    <w:rsid w:val="009750BA"/>
    <w:pPr>
      <w:ind w:left="720"/>
      <w:contextualSpacing/>
    </w:pPr>
  </w:style>
  <w:style w:type="paragraph" w:styleId="EndnoteText">
    <w:name w:val="endnote text"/>
    <w:basedOn w:val="Normal"/>
    <w:link w:val="EndnoteTextChar"/>
    <w:uiPriority w:val="99"/>
    <w:semiHidden/>
    <w:unhideWhenUsed/>
    <w:rsid w:val="00137753"/>
    <w:pPr>
      <w:autoSpaceDE w:val="0"/>
      <w:autoSpaceDN w:val="0"/>
      <w:adjustRightInd w:val="0"/>
      <w:spacing w:after="0" w:line="240" w:lineRule="auto"/>
      <w:jc w:val="both"/>
      <w:textAlignment w:val="center"/>
    </w:pPr>
    <w:rPr>
      <w:rFonts w:ascii="Calibri Light" w:eastAsiaTheme="minorHAnsi" w:hAnsi="Calibri Light"/>
      <w:color w:val="000000"/>
      <w:sz w:val="20"/>
      <w:szCs w:val="20"/>
    </w:rPr>
  </w:style>
  <w:style w:type="character" w:customStyle="1" w:styleId="EndnoteTextChar">
    <w:name w:val="Endnote Text Char"/>
    <w:basedOn w:val="DefaultParagraphFont"/>
    <w:link w:val="EndnoteText"/>
    <w:uiPriority w:val="99"/>
    <w:semiHidden/>
    <w:rsid w:val="00137753"/>
    <w:rPr>
      <w:rFonts w:ascii="Calibri Light" w:eastAsiaTheme="minorHAnsi" w:hAnsi="Calibri Light"/>
      <w:color w:val="000000"/>
      <w:sz w:val="20"/>
      <w:szCs w:val="20"/>
    </w:rPr>
  </w:style>
  <w:style w:type="character" w:styleId="EndnoteReference">
    <w:name w:val="endnote reference"/>
    <w:basedOn w:val="DefaultParagraphFont"/>
    <w:uiPriority w:val="99"/>
    <w:semiHidden/>
    <w:unhideWhenUsed/>
    <w:rsid w:val="00137753"/>
    <w:rPr>
      <w:vertAlign w:val="superscript"/>
    </w:rPr>
  </w:style>
  <w:style w:type="paragraph" w:styleId="FootnoteText">
    <w:name w:val="footnote text"/>
    <w:basedOn w:val="Normal"/>
    <w:link w:val="FootnoteTextChar"/>
    <w:uiPriority w:val="99"/>
    <w:semiHidden/>
    <w:unhideWhenUsed/>
    <w:rsid w:val="00C13FC0"/>
    <w:pPr>
      <w:autoSpaceDE w:val="0"/>
      <w:autoSpaceDN w:val="0"/>
      <w:adjustRightInd w:val="0"/>
      <w:spacing w:after="0" w:line="240" w:lineRule="auto"/>
      <w:jc w:val="both"/>
      <w:textAlignment w:val="center"/>
    </w:pPr>
    <w:rPr>
      <w:rFonts w:ascii="Calibri Light" w:eastAsiaTheme="minorHAnsi" w:hAnsi="Calibri Light"/>
      <w:color w:val="000000"/>
      <w:sz w:val="20"/>
      <w:szCs w:val="20"/>
    </w:rPr>
  </w:style>
  <w:style w:type="character" w:customStyle="1" w:styleId="FootnoteTextChar">
    <w:name w:val="Footnote Text Char"/>
    <w:basedOn w:val="DefaultParagraphFont"/>
    <w:link w:val="FootnoteText"/>
    <w:uiPriority w:val="99"/>
    <w:semiHidden/>
    <w:rsid w:val="00C13FC0"/>
    <w:rPr>
      <w:rFonts w:ascii="Calibri Light" w:eastAsiaTheme="minorHAnsi" w:hAnsi="Calibri Light"/>
      <w:color w:val="000000"/>
      <w:sz w:val="20"/>
      <w:szCs w:val="20"/>
    </w:rPr>
  </w:style>
  <w:style w:type="character" w:styleId="FootnoteReference">
    <w:name w:val="footnote reference"/>
    <w:basedOn w:val="DefaultParagraphFont"/>
    <w:uiPriority w:val="99"/>
    <w:semiHidden/>
    <w:unhideWhenUsed/>
    <w:rsid w:val="00C13FC0"/>
    <w:rPr>
      <w:vertAlign w:val="superscript"/>
    </w:rPr>
  </w:style>
  <w:style w:type="paragraph" w:styleId="Header">
    <w:name w:val="header"/>
    <w:basedOn w:val="Normal"/>
    <w:link w:val="HeaderChar"/>
    <w:uiPriority w:val="99"/>
    <w:unhideWhenUsed/>
    <w:rsid w:val="00A31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5A9"/>
  </w:style>
  <w:style w:type="paragraph" w:styleId="Footer">
    <w:name w:val="footer"/>
    <w:basedOn w:val="Normal"/>
    <w:link w:val="FooterChar"/>
    <w:uiPriority w:val="99"/>
    <w:unhideWhenUsed/>
    <w:rsid w:val="00A31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5A9"/>
  </w:style>
  <w:style w:type="character" w:customStyle="1" w:styleId="Heading2Char">
    <w:name w:val="Heading 2 Char"/>
    <w:basedOn w:val="DefaultParagraphFont"/>
    <w:link w:val="Heading2"/>
    <w:uiPriority w:val="9"/>
    <w:rsid w:val="00A315A9"/>
    <w:rPr>
      <w:b/>
      <w:smallCaps/>
      <w:sz w:val="24"/>
      <w:szCs w:val="24"/>
      <w:shd w:val="clear" w:color="auto" w:fill="B5BC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2.arb.ca.gov/ghg-inventory-data" TargetMode="External"/><Relationship Id="rId18" Type="http://schemas.openxmlformats.org/officeDocument/2006/relationships/hyperlink" Target="https://ww2.arb.ca.gov/our-work/programs/ab-32-climate-change-scoping-plan/2022-scoping-plan-documents" TargetMode="External"/><Relationship Id="rId26" Type="http://schemas.openxmlformats.org/officeDocument/2006/relationships/hyperlink" Target="https://www.epa.gov/statelocalenergy/state-co2-emissions-fossil-fuel-combustion-1990-2017" TargetMode="External"/><Relationship Id="rId39" Type="http://schemas.openxmlformats.org/officeDocument/2006/relationships/hyperlink" Target="https://efiling.energy.ca.gov/GetDocument.aspx?tn=241226" TargetMode="External"/><Relationship Id="rId21" Type="http://schemas.openxmlformats.org/officeDocument/2006/relationships/hyperlink" Target="https://ww2.arb.ca.gov/our-work/programs/ab-32-climate-change-scoping-plan/2022-scoping-plan-documents" TargetMode="External"/><Relationship Id="rId34" Type="http://schemas.openxmlformats.org/officeDocument/2006/relationships/hyperlink" Target="https://www.epa.gov/statelocalenergy/state-co2-emissions-fossil-fuel-combustion-1990-2017" TargetMode="External"/><Relationship Id="rId42" Type="http://schemas.openxmlformats.org/officeDocument/2006/relationships/hyperlink" Target="https://us.energypolicy.solutions/docs/index.html" TargetMode="External"/><Relationship Id="rId47" Type="http://schemas.openxmlformats.org/officeDocument/2006/relationships/footer" Target="footer1.xml"/><Relationship Id="rId7" Type="http://schemas.openxmlformats.org/officeDocument/2006/relationships/hyperlink" Target="https://www.eia.gov/electricity/data/eia923/" TargetMode="External"/><Relationship Id="rId2" Type="http://schemas.openxmlformats.org/officeDocument/2006/relationships/styles" Target="styles.xml"/><Relationship Id="rId16" Type="http://schemas.openxmlformats.org/officeDocument/2006/relationships/hyperlink" Target="file:///C:\Users\olivia\Downloads\Paige%20Jadun%20et%20al.," TargetMode="External"/><Relationship Id="rId29" Type="http://schemas.openxmlformats.org/officeDocument/2006/relationships/hyperlink" Target="https://www.epa.gov/statelocalenergy/state-inventory-and-projection-tool" TargetMode="External"/><Relationship Id="rId11" Type="http://schemas.openxmlformats.org/officeDocument/2006/relationships/hyperlink" Target="https://www.energy.ca.gov/data-reports/energy-almanac/california-electricity-data/2020-total-system-electric-generation/2020" TargetMode="External"/><Relationship Id="rId24" Type="http://schemas.openxmlformats.org/officeDocument/2006/relationships/hyperlink" Target="https://www.eia.gov/electricity/data/eia860/" TargetMode="External"/><Relationship Id="rId32" Type="http://schemas.openxmlformats.org/officeDocument/2006/relationships/hyperlink" Target="https://nature4climate.org/u-s-carbon-mapper/" TargetMode="External"/><Relationship Id="rId37" Type="http://schemas.openxmlformats.org/officeDocument/2006/relationships/hyperlink" Target="https://www.epa.gov/statelocalenergy/state-co2-emissions-fossil-fuel-combustion-1990-2017" TargetMode="External"/><Relationship Id="rId40" Type="http://schemas.openxmlformats.org/officeDocument/2006/relationships/hyperlink" Target="https://efiling.energy.ca.gov/GetDocument.aspx?tn=241215" TargetMode="External"/><Relationship Id="rId45" Type="http://schemas.openxmlformats.org/officeDocument/2006/relationships/hyperlink" Target="mailto:USAnalysis@rmi.org" TargetMode="External"/><Relationship Id="rId5" Type="http://schemas.openxmlformats.org/officeDocument/2006/relationships/footnotes" Target="footnotes.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2.arb.ca.gov/applications/greenhouse-gas-emission-inventory-0" TargetMode="External"/><Relationship Id="rId28" Type="http://schemas.openxmlformats.org/officeDocument/2006/relationships/hyperlink" Target="https://ww2.arb.ca.gov/our-work/programs/ab-32-climate-change-scoping-plan/2022-scoping-plan-documents" TargetMode="External"/><Relationship Id="rId36" Type="http://schemas.openxmlformats.org/officeDocument/2006/relationships/hyperlink" Target="https://ww2.arb.ca.gov/sites/default/files/barcu/regact/2022/accii/isor.pdf" TargetMode="External"/><Relationship Id="rId49" Type="http://schemas.openxmlformats.org/officeDocument/2006/relationships/theme" Target="theme/theme1.xml"/><Relationship Id="rId10" Type="http://schemas.openxmlformats.org/officeDocument/2006/relationships/hyperlink" Target="https://www.eia.gov/electricity/state/nevada/state_tables.php" TargetMode="External"/><Relationship Id="rId19" Type="http://schemas.openxmlformats.org/officeDocument/2006/relationships/hyperlink" Target="https://www.eia.gov/state/seds/seds-data-fuel.php?sid=NV" TargetMode="External"/><Relationship Id="rId31" Type="http://schemas.openxmlformats.org/officeDocument/2006/relationships/hyperlink" Target="https://onlinelibrary.wiley.com/doi/epdf/10.1111/gcb.14677" TargetMode="External"/><Relationship Id="rId44" Type="http://schemas.openxmlformats.org/officeDocument/2006/relationships/hyperlink" Target="mailto:policy@energyinnovation.org" TargetMode="External"/><Relationship Id="rId4" Type="http://schemas.openxmlformats.org/officeDocument/2006/relationships/webSettings" Target="webSettings.xml"/><Relationship Id="rId9" Type="http://schemas.openxmlformats.org/officeDocument/2006/relationships/hyperlink" Target="https://files.cpuc.ca.gov/energy/modeling/PSP%20RESOLVE%20Updates.pdf" TargetMode="External"/><Relationship Id="rId14" Type="http://schemas.openxmlformats.org/officeDocument/2006/relationships/hyperlink" Target="https://www.epa.gov/statelocalenergy/state-co2-emissions-fossil-fuel-combustion-1990-2017" TargetMode="External"/><Relationship Id="rId22" Type="http://schemas.openxmlformats.org/officeDocument/2006/relationships/hyperlink" Target="https://www.energy.ca.gov/data-reports/reports/integrated-energy-policy-report/2021-integrated-energy-policy-report/2021-iepr" TargetMode="External"/><Relationship Id="rId27" Type="http://schemas.openxmlformats.org/officeDocument/2006/relationships/hyperlink" Target="https://www.epa.gov/statelocalenergy/state-co2-emissions-fossil-fuel-combustion-1990-2017" TargetMode="External"/><Relationship Id="rId30" Type="http://schemas.openxmlformats.org/officeDocument/2006/relationships/hyperlink" Target="https://ww2.arb.ca.gov/sites/default/files/2021-07/Wildfire%20Emission%20Estimates%20for%202020%20_Final.pdf" TargetMode="External"/><Relationship Id="rId35" Type="http://schemas.openxmlformats.org/officeDocument/2006/relationships/hyperlink" Target="https://arb.ca.gov/emfac/" TargetMode="External"/><Relationship Id="rId43" Type="http://schemas.openxmlformats.org/officeDocument/2006/relationships/hyperlink" Target="https://us.energypolicy.solutions/docs/video-series.html" TargetMode="External"/><Relationship Id="rId48" Type="http://schemas.openxmlformats.org/officeDocument/2006/relationships/fontTable" Target="fontTable.xml"/><Relationship Id="rId8" Type="http://schemas.openxmlformats.org/officeDocument/2006/relationships/hyperlink" Target="https://www.eia.gov/electricity/data/eia860/" TargetMode="External"/><Relationship Id="rId3" Type="http://schemas.openxmlformats.org/officeDocument/2006/relationships/settings" Target="settings.xml"/><Relationship Id="rId12" Type="http://schemas.openxmlformats.org/officeDocument/2006/relationships/hyperlink" Target="https://leginfo.legislature.ca.gov/faces/billTextClient.xhtml?bill_id=202120220SB846" TargetMode="External"/><Relationship Id="rId17" Type="http://schemas.openxmlformats.org/officeDocument/2006/relationships/hyperlink" Target="https://www.energy.ca.gov/publications/2021/california-building-decarbonization-assessment" TargetMode="External"/><Relationship Id="rId25" Type="http://schemas.openxmlformats.org/officeDocument/2006/relationships/hyperlink" Target="https://www.eia.gov/state/seds/seds-data-fuel.php?sid=US" TargetMode="External"/><Relationship Id="rId33" Type="http://schemas.openxmlformats.org/officeDocument/2006/relationships/hyperlink" Target="https://www.epa.gov/statelocalenergy/state-co2-emissions-fossil-fuel-combustion-1990-2017" TargetMode="External"/><Relationship Id="rId38" Type="http://schemas.openxmlformats.org/officeDocument/2006/relationships/hyperlink" Target="https://www.epa.gov/statelocalenergy/state-co2-emissions-fossil-fuel-combustion-1990-2017" TargetMode="External"/><Relationship Id="rId46" Type="http://schemas.openxmlformats.org/officeDocument/2006/relationships/header" Target="header1.xml"/><Relationship Id="rId20" Type="http://schemas.openxmlformats.org/officeDocument/2006/relationships/hyperlink" Target="https://www.epa.gov/statelocalenergy/state-co2-emissions-fossil-fuel-combustion-1990-2017" TargetMode="External"/><Relationship Id="rId41" Type="http://schemas.openxmlformats.org/officeDocument/2006/relationships/hyperlink" Target="https://us.energypolicy.solutions/docs/download.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7922/G2222S1B" TargetMode="External"/><Relationship Id="rId1" Type="http://schemas.openxmlformats.org/officeDocument/2006/relationships/hyperlink" Target="https://docs.cpuc.ca.gov/PublishedDocs/Published/G000/M451/K485/4514857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 Ashmoore</dc:creator>
  <cp:lastModifiedBy>Olivia Ashmoore</cp:lastModifiedBy>
  <cp:revision>2</cp:revision>
  <dcterms:created xsi:type="dcterms:W3CDTF">2022-10-07T18:03:00Z</dcterms:created>
  <dcterms:modified xsi:type="dcterms:W3CDTF">2022-10-07T18:03:00Z</dcterms:modified>
</cp:coreProperties>
</file>