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B66ED" w14:textId="6241ACB9" w:rsidR="00587621" w:rsidRDefault="00265255" w:rsidP="00265255">
      <w:pPr>
        <w:pStyle w:val="Title"/>
      </w:pPr>
      <w:r>
        <w:t>Modeling Methodology for Sequoia India Investment Memo</w:t>
      </w:r>
    </w:p>
    <w:p w14:paraId="0C8C2022" w14:textId="76B9738B" w:rsidR="00265255" w:rsidRDefault="00265255" w:rsidP="00265255">
      <w:pPr>
        <w:contextualSpacing/>
      </w:pPr>
    </w:p>
    <w:p w14:paraId="3CBA8E98" w14:textId="71A940E9" w:rsidR="00265255" w:rsidRDefault="00265255" w:rsidP="00265255">
      <w:pPr>
        <w:contextualSpacing/>
      </w:pPr>
      <w:r>
        <w:t xml:space="preserve">Energy Innovation modeled </w:t>
      </w:r>
      <w:proofErr w:type="spellStart"/>
      <w:r>
        <w:t>Sequioa</w:t>
      </w:r>
      <w:proofErr w:type="spellEnd"/>
      <w:r>
        <w:t xml:space="preserve"> Climate Foundation’s (SCF) India investments using version 3.1.3 of the Energy Policy Simulator (EPS), an open-source systems dynamics model that simulates the impact of energy and climate policies on greenhouse gas emissions, energy use, and other economic and social indicators. Compared with a business-as-usual scenario, Energy Innovation’s modeled EPS policy scenario estimates </w:t>
      </w:r>
      <w:r w:rsidR="00E35769">
        <w:t>87</w:t>
      </w:r>
      <w:r>
        <w:t xml:space="preserve"> MMT CO</w:t>
      </w:r>
      <w:r w:rsidRPr="00265255">
        <w:rPr>
          <w:vertAlign w:val="subscript"/>
        </w:rPr>
        <w:t>2</w:t>
      </w:r>
      <w:r>
        <w:t xml:space="preserve">e avoided in 2030, and a cumulative </w:t>
      </w:r>
      <w:r w:rsidR="00E35769">
        <w:t>5.5</w:t>
      </w:r>
      <w:r>
        <w:t xml:space="preserve"> GT CO</w:t>
      </w:r>
      <w:r w:rsidRPr="00265255">
        <w:rPr>
          <w:vertAlign w:val="subscript"/>
        </w:rPr>
        <w:t>2</w:t>
      </w:r>
      <w:r>
        <w:t xml:space="preserve">e avoided between now and 2050. The largest savings are in the </w:t>
      </w:r>
      <w:r w:rsidR="00E35769">
        <w:t>industry</w:t>
      </w:r>
      <w:r>
        <w:t xml:space="preserve"> sector followed by</w:t>
      </w:r>
      <w:r w:rsidR="00E35769">
        <w:t xml:space="preserve"> the electricity sector and buildings.</w:t>
      </w:r>
    </w:p>
    <w:p w14:paraId="5BFD32B6" w14:textId="77777777" w:rsidR="00265255" w:rsidRDefault="00265255" w:rsidP="00265255">
      <w:pPr>
        <w:contextualSpacing/>
      </w:pPr>
    </w:p>
    <w:p w14:paraId="4392885E" w14:textId="4775EF05" w:rsidR="00265255" w:rsidRDefault="00265255" w:rsidP="00265255">
      <w:pPr>
        <w:contextualSpacing/>
      </w:pPr>
      <w:r>
        <w:t xml:space="preserve">The following table summarizes the policies or intended policy impacts of SCF’s </w:t>
      </w:r>
      <w:r w:rsidR="00A05ED1">
        <w:t>India</w:t>
      </w:r>
      <w:r>
        <w:t xml:space="preserve"> investment portfolio. The sections following the table provide more detail on the key assumptions and methodology for modeling each sector’s policies.</w:t>
      </w:r>
    </w:p>
    <w:p w14:paraId="537D4F69" w14:textId="095C5760" w:rsidR="00265255" w:rsidRDefault="00265255" w:rsidP="00265255">
      <w:pPr>
        <w:contextualSpacing/>
      </w:pPr>
    </w:p>
    <w:tbl>
      <w:tblPr>
        <w:tblStyle w:val="TableGrid"/>
        <w:tblW w:w="0" w:type="auto"/>
        <w:tblLook w:val="04A0" w:firstRow="1" w:lastRow="0" w:firstColumn="1" w:lastColumn="0" w:noHBand="0" w:noVBand="1"/>
      </w:tblPr>
      <w:tblGrid>
        <w:gridCol w:w="4675"/>
        <w:gridCol w:w="4675"/>
      </w:tblGrid>
      <w:tr w:rsidR="00265255" w14:paraId="1C2ACF48" w14:textId="77777777" w:rsidTr="0086734C">
        <w:tc>
          <w:tcPr>
            <w:tcW w:w="4675" w:type="dxa"/>
            <w:shd w:val="clear" w:color="auto" w:fill="316094"/>
            <w:vAlign w:val="center"/>
          </w:tcPr>
          <w:p w14:paraId="65FF51BD" w14:textId="77777777" w:rsidR="00265255" w:rsidRPr="00EA1718" w:rsidRDefault="00265255" w:rsidP="0086734C">
            <w:pPr>
              <w:contextualSpacing/>
              <w:rPr>
                <w:rFonts w:ascii="Century Gothic" w:hAnsi="Century Gothic"/>
                <w:b/>
                <w:bCs/>
                <w:color w:val="FFFFFF" w:themeColor="background1"/>
              </w:rPr>
            </w:pPr>
            <w:r w:rsidRPr="00EA1718">
              <w:rPr>
                <w:rFonts w:ascii="Century Gothic" w:hAnsi="Century Gothic"/>
                <w:b/>
                <w:bCs/>
                <w:color w:val="FFFFFF" w:themeColor="background1"/>
              </w:rPr>
              <w:t>Electricity Sector Policy</w:t>
            </w:r>
          </w:p>
        </w:tc>
        <w:tc>
          <w:tcPr>
            <w:tcW w:w="4675" w:type="dxa"/>
            <w:shd w:val="clear" w:color="auto" w:fill="316094"/>
            <w:vAlign w:val="center"/>
          </w:tcPr>
          <w:p w14:paraId="0EEFAF75" w14:textId="77777777" w:rsidR="00265255" w:rsidRPr="00EA1718" w:rsidRDefault="00265255" w:rsidP="0086734C">
            <w:pPr>
              <w:contextualSpacing/>
              <w:rPr>
                <w:rFonts w:ascii="Century Gothic" w:hAnsi="Century Gothic"/>
                <w:b/>
                <w:bCs/>
                <w:color w:val="FFFFFF" w:themeColor="background1"/>
              </w:rPr>
            </w:pPr>
            <w:r w:rsidRPr="00EA1718">
              <w:rPr>
                <w:rFonts w:ascii="Century Gothic" w:hAnsi="Century Gothic"/>
                <w:b/>
                <w:bCs/>
                <w:color w:val="FFFFFF" w:themeColor="background1"/>
              </w:rPr>
              <w:t>Description</w:t>
            </w:r>
          </w:p>
        </w:tc>
      </w:tr>
      <w:tr w:rsidR="00265255" w14:paraId="3EC99F50" w14:textId="77777777" w:rsidTr="0086734C">
        <w:tc>
          <w:tcPr>
            <w:tcW w:w="4675" w:type="dxa"/>
            <w:vAlign w:val="center"/>
          </w:tcPr>
          <w:p w14:paraId="315EC457" w14:textId="0EB291C2" w:rsidR="00265255" w:rsidRDefault="00A05ED1" w:rsidP="0086734C">
            <w:pPr>
              <w:contextualSpacing/>
            </w:pPr>
            <w:r>
              <w:t>Increase in non-fossil fuel capacity</w:t>
            </w:r>
          </w:p>
        </w:tc>
        <w:tc>
          <w:tcPr>
            <w:tcW w:w="4675" w:type="dxa"/>
            <w:vAlign w:val="center"/>
          </w:tcPr>
          <w:p w14:paraId="1B9F0683" w14:textId="47B4E725" w:rsidR="00265255" w:rsidRDefault="00EA6016" w:rsidP="0086734C">
            <w:pPr>
              <w:contextualSpacing/>
            </w:pPr>
            <w:r>
              <w:t>Between 2024 and 2026</w:t>
            </w:r>
            <w:r w:rsidR="00DC6554" w:rsidRPr="00DC6554">
              <w:t>, India adds 90 GW of non-fossil fuel capacity resulting in 30 percent non-fossil fuel electricity generation.</w:t>
            </w:r>
          </w:p>
        </w:tc>
      </w:tr>
      <w:tr w:rsidR="00265255" w14:paraId="2CE72F60" w14:textId="77777777" w:rsidTr="0086734C">
        <w:tc>
          <w:tcPr>
            <w:tcW w:w="4675" w:type="dxa"/>
            <w:vAlign w:val="center"/>
          </w:tcPr>
          <w:p w14:paraId="57F1A417" w14:textId="09A095FA" w:rsidR="00265255" w:rsidRDefault="00A05ED1" w:rsidP="0086734C">
            <w:pPr>
              <w:contextualSpacing/>
            </w:pPr>
            <w:r>
              <w:t>Replace coal capacity with flexible demand</w:t>
            </w:r>
          </w:p>
        </w:tc>
        <w:tc>
          <w:tcPr>
            <w:tcW w:w="4675" w:type="dxa"/>
            <w:vAlign w:val="center"/>
          </w:tcPr>
          <w:p w14:paraId="6C30F300" w14:textId="55B8EAC9" w:rsidR="00265255" w:rsidRDefault="00EA6016" w:rsidP="0086734C">
            <w:pPr>
              <w:contextualSpacing/>
            </w:pPr>
            <w:r>
              <w:t>Starting in 2024</w:t>
            </w:r>
            <w:r w:rsidR="00DC6554" w:rsidRPr="00DC6554">
              <w:t xml:space="preserve">, India achieves 5 GW of flexible resource by </w:t>
            </w:r>
            <w:r>
              <w:t xml:space="preserve">2026 and </w:t>
            </w:r>
            <w:r w:rsidR="00DC6554" w:rsidRPr="00DC6554">
              <w:t>10 GW by 2030.</w:t>
            </w:r>
            <w:r>
              <w:t xml:space="preserve"> </w:t>
            </w:r>
          </w:p>
        </w:tc>
      </w:tr>
      <w:tr w:rsidR="00265255" w14:paraId="392D3827" w14:textId="77777777" w:rsidTr="0086734C">
        <w:tc>
          <w:tcPr>
            <w:tcW w:w="4675" w:type="dxa"/>
            <w:shd w:val="clear" w:color="auto" w:fill="316094"/>
            <w:vAlign w:val="center"/>
          </w:tcPr>
          <w:p w14:paraId="7ECC2516" w14:textId="700D917E" w:rsidR="00265255" w:rsidRDefault="00265255" w:rsidP="0086734C">
            <w:pPr>
              <w:contextualSpacing/>
            </w:pPr>
            <w:r>
              <w:rPr>
                <w:rFonts w:ascii="Century Gothic" w:hAnsi="Century Gothic"/>
                <w:b/>
                <w:bCs/>
                <w:color w:val="FFFFFF" w:themeColor="background1"/>
              </w:rPr>
              <w:t>Industry</w:t>
            </w:r>
            <w:r w:rsidRPr="00EA1718">
              <w:rPr>
                <w:rFonts w:ascii="Century Gothic" w:hAnsi="Century Gothic"/>
                <w:b/>
                <w:bCs/>
                <w:color w:val="FFFFFF" w:themeColor="background1"/>
              </w:rPr>
              <w:t xml:space="preserve"> Sector Policy</w:t>
            </w:r>
          </w:p>
        </w:tc>
        <w:tc>
          <w:tcPr>
            <w:tcW w:w="4675" w:type="dxa"/>
            <w:shd w:val="clear" w:color="auto" w:fill="316094"/>
            <w:vAlign w:val="center"/>
          </w:tcPr>
          <w:p w14:paraId="78B7AB22" w14:textId="77777777" w:rsidR="00265255" w:rsidRDefault="00265255" w:rsidP="0086734C">
            <w:pPr>
              <w:contextualSpacing/>
            </w:pPr>
            <w:r w:rsidRPr="00EA1718">
              <w:rPr>
                <w:rFonts w:ascii="Century Gothic" w:hAnsi="Century Gothic"/>
                <w:b/>
                <w:bCs/>
                <w:color w:val="FFFFFF" w:themeColor="background1"/>
              </w:rPr>
              <w:t>Description</w:t>
            </w:r>
          </w:p>
        </w:tc>
      </w:tr>
      <w:tr w:rsidR="00265255" w14:paraId="1B5B9A17" w14:textId="77777777" w:rsidTr="0086734C">
        <w:tc>
          <w:tcPr>
            <w:tcW w:w="4675" w:type="dxa"/>
            <w:shd w:val="clear" w:color="auto" w:fill="auto"/>
            <w:vAlign w:val="center"/>
          </w:tcPr>
          <w:p w14:paraId="16D0134D" w14:textId="11512DF5" w:rsidR="00265255" w:rsidRPr="00EA1718" w:rsidRDefault="00A05ED1" w:rsidP="0086734C">
            <w:pPr>
              <w:contextualSpacing/>
            </w:pPr>
            <w:r>
              <w:t>Phase down HFCs</w:t>
            </w:r>
          </w:p>
        </w:tc>
        <w:tc>
          <w:tcPr>
            <w:tcW w:w="4675" w:type="dxa"/>
            <w:shd w:val="clear" w:color="auto" w:fill="auto"/>
            <w:vAlign w:val="center"/>
          </w:tcPr>
          <w:p w14:paraId="40ABD6C8" w14:textId="49AD7788" w:rsidR="00265255" w:rsidRPr="00EA1718" w:rsidRDefault="00DC6554" w:rsidP="0086734C">
            <w:pPr>
              <w:contextualSpacing/>
            </w:pPr>
            <w:r>
              <w:t>India ratifies and meets the</w:t>
            </w:r>
            <w:r w:rsidR="00A05ED1">
              <w:t xml:space="preserve"> Kigali Amendment</w:t>
            </w:r>
            <w:r>
              <w:t>.</w:t>
            </w:r>
          </w:p>
        </w:tc>
      </w:tr>
      <w:tr w:rsidR="00265255" w14:paraId="1AAF600A" w14:textId="77777777" w:rsidTr="0086734C">
        <w:tc>
          <w:tcPr>
            <w:tcW w:w="4675" w:type="dxa"/>
            <w:shd w:val="clear" w:color="auto" w:fill="auto"/>
            <w:vAlign w:val="center"/>
          </w:tcPr>
          <w:p w14:paraId="24331942" w14:textId="475EA9CB" w:rsidR="00265255" w:rsidRPr="00EA1718" w:rsidRDefault="00185153" w:rsidP="0086734C">
            <w:pPr>
              <w:contextualSpacing/>
            </w:pPr>
            <w:r>
              <w:t>Reduce electricity demand relative to BAU</w:t>
            </w:r>
          </w:p>
        </w:tc>
        <w:tc>
          <w:tcPr>
            <w:tcW w:w="4675" w:type="dxa"/>
            <w:shd w:val="clear" w:color="auto" w:fill="auto"/>
            <w:vAlign w:val="center"/>
          </w:tcPr>
          <w:p w14:paraId="575CB598" w14:textId="64C1F8A5" w:rsidR="00265255" w:rsidRPr="00EA1718" w:rsidRDefault="00463CE1" w:rsidP="0086734C">
            <w:pPr>
              <w:contextualSpacing/>
            </w:pPr>
            <w:r>
              <w:t xml:space="preserve">Every year between 2026 and 2030, there is an additional 2-3% reduction in total industrial electricity demand compared to BAU electricity demand in that year. </w:t>
            </w:r>
          </w:p>
        </w:tc>
      </w:tr>
      <w:tr w:rsidR="00265255" w14:paraId="0D86686C" w14:textId="77777777" w:rsidTr="0086734C">
        <w:tc>
          <w:tcPr>
            <w:tcW w:w="4675" w:type="dxa"/>
            <w:shd w:val="clear" w:color="auto" w:fill="316094"/>
            <w:vAlign w:val="center"/>
          </w:tcPr>
          <w:p w14:paraId="55040E9D" w14:textId="77777777" w:rsidR="00265255" w:rsidRDefault="00265255" w:rsidP="0086734C">
            <w:pPr>
              <w:contextualSpacing/>
            </w:pPr>
            <w:r>
              <w:rPr>
                <w:rFonts w:ascii="Century Gothic" w:hAnsi="Century Gothic"/>
                <w:b/>
                <w:bCs/>
                <w:color w:val="FFFFFF" w:themeColor="background1"/>
              </w:rPr>
              <w:t>Buildings</w:t>
            </w:r>
            <w:r w:rsidRPr="00EA1718">
              <w:rPr>
                <w:rFonts w:ascii="Century Gothic" w:hAnsi="Century Gothic"/>
                <w:b/>
                <w:bCs/>
                <w:color w:val="FFFFFF" w:themeColor="background1"/>
              </w:rPr>
              <w:t xml:space="preserve"> Sector Policy</w:t>
            </w:r>
          </w:p>
        </w:tc>
        <w:tc>
          <w:tcPr>
            <w:tcW w:w="4675" w:type="dxa"/>
            <w:shd w:val="clear" w:color="auto" w:fill="316094"/>
            <w:vAlign w:val="center"/>
          </w:tcPr>
          <w:p w14:paraId="17B1729B" w14:textId="77777777" w:rsidR="00265255" w:rsidRPr="00EA1718" w:rsidRDefault="00265255" w:rsidP="0086734C">
            <w:pPr>
              <w:contextualSpacing/>
            </w:pPr>
            <w:r w:rsidRPr="00EA1718">
              <w:rPr>
                <w:rFonts w:ascii="Century Gothic" w:hAnsi="Century Gothic"/>
                <w:b/>
                <w:bCs/>
                <w:color w:val="FFFFFF" w:themeColor="background1"/>
              </w:rPr>
              <w:t>Description</w:t>
            </w:r>
          </w:p>
        </w:tc>
      </w:tr>
      <w:tr w:rsidR="00265255" w14:paraId="313A879E" w14:textId="77777777" w:rsidTr="0086734C">
        <w:tc>
          <w:tcPr>
            <w:tcW w:w="4675" w:type="dxa"/>
            <w:shd w:val="clear" w:color="auto" w:fill="auto"/>
            <w:vAlign w:val="center"/>
          </w:tcPr>
          <w:p w14:paraId="7860AEFA" w14:textId="55A1287C" w:rsidR="00265255" w:rsidRDefault="00185153" w:rsidP="0086734C">
            <w:pPr>
              <w:contextualSpacing/>
            </w:pPr>
            <w:r>
              <w:t>Reduce electricity demand relative to BAU</w:t>
            </w:r>
          </w:p>
        </w:tc>
        <w:tc>
          <w:tcPr>
            <w:tcW w:w="4675" w:type="dxa"/>
            <w:shd w:val="clear" w:color="auto" w:fill="auto"/>
            <w:vAlign w:val="center"/>
          </w:tcPr>
          <w:p w14:paraId="3025B26B" w14:textId="5DC3D9DB" w:rsidR="00265255" w:rsidRPr="00EA1718" w:rsidRDefault="00463CE1" w:rsidP="0086734C">
            <w:pPr>
              <w:contextualSpacing/>
            </w:pPr>
            <w:r>
              <w:t xml:space="preserve">Every year between 2026 and 2030, there is an additional 2-3% reduction in total </w:t>
            </w:r>
            <w:r>
              <w:t>buildings</w:t>
            </w:r>
            <w:r>
              <w:t xml:space="preserve"> electricity demand compared to BAU electricity demand in that year.</w:t>
            </w:r>
          </w:p>
        </w:tc>
      </w:tr>
    </w:tbl>
    <w:p w14:paraId="3690A464" w14:textId="17687215" w:rsidR="00A05ED1" w:rsidRDefault="00A05ED1" w:rsidP="00265255">
      <w:pPr>
        <w:contextualSpacing/>
      </w:pPr>
    </w:p>
    <w:p w14:paraId="1CED4CB3" w14:textId="77777777" w:rsidR="00A05ED1" w:rsidRDefault="00A05ED1">
      <w:pPr>
        <w:autoSpaceDE/>
        <w:autoSpaceDN/>
        <w:adjustRightInd/>
        <w:spacing w:after="0" w:line="240" w:lineRule="auto"/>
        <w:contextualSpacing/>
        <w:jc w:val="left"/>
        <w:textAlignment w:val="auto"/>
      </w:pPr>
      <w:r>
        <w:br w:type="page"/>
      </w:r>
    </w:p>
    <w:p w14:paraId="57841790" w14:textId="443AB655" w:rsidR="00C7696A" w:rsidRDefault="00C7696A" w:rsidP="00A57EB2">
      <w:pPr>
        <w:pStyle w:val="Heading2"/>
        <w:contextualSpacing/>
      </w:pPr>
      <w:r>
        <w:lastRenderedPageBreak/>
        <w:t>Electricity Sector</w:t>
      </w:r>
    </w:p>
    <w:p w14:paraId="1B71BA0A" w14:textId="1F8B100C" w:rsidR="00C7696A" w:rsidRDefault="00933193" w:rsidP="00933193">
      <w:pPr>
        <w:pStyle w:val="Heading3"/>
        <w:contextualSpacing/>
      </w:pPr>
      <w:r>
        <w:t>Increase in non-fossil fuel capacity</w:t>
      </w:r>
    </w:p>
    <w:p w14:paraId="34F36A96" w14:textId="6B14F6F7" w:rsidR="00933193" w:rsidRDefault="00EA50EF" w:rsidP="00933193">
      <w:pPr>
        <w:contextualSpacing/>
      </w:pPr>
      <w:r>
        <w:t>In the EPS, the clean electricity standard policy lever stimulates renewable capacity additions and additional renewable electricity generation.</w:t>
      </w:r>
      <w:r w:rsidR="00EE4B9F">
        <w:t xml:space="preserve"> The share of generation from non-fossil fuel sources (renewables plus nuclear) in the EPS BAU is already 37%, and the share of generation from renewables (hydropower, solar, wind, biomass, and geothermal) is 32%.</w:t>
      </w:r>
    </w:p>
    <w:p w14:paraId="11AAE4DE" w14:textId="261DC273" w:rsidR="00933193" w:rsidRDefault="00933193" w:rsidP="00933193">
      <w:pPr>
        <w:pStyle w:val="Heading3"/>
        <w:contextualSpacing/>
      </w:pPr>
      <w:r>
        <w:t>Replace coal capacity with flexible demand</w:t>
      </w:r>
    </w:p>
    <w:p w14:paraId="5EB96C2C" w14:textId="32A463E3" w:rsidR="00EA50EF" w:rsidRPr="00EA50EF" w:rsidRDefault="00EA50EF" w:rsidP="00EA50EF">
      <w:r>
        <w:t>In the EPS, we use the demand response policy lever to achieve 8% of demand response potential in 2026 and 11% of the potential in 2030.</w:t>
      </w:r>
      <w:r w:rsidR="001B0E36">
        <w:t xml:space="preserve"> These settings correspond to 5 GW of demand response and 10 GW in 2030, respectively.</w:t>
      </w:r>
      <w:r>
        <w:t xml:space="preserve"> In our policy scenario, we assume that each unit of demand response corresponds with an equivalent capacity reduction in coal power generation.</w:t>
      </w:r>
      <w:r w:rsidR="004A194D">
        <w:rPr>
          <w:rStyle w:val="FootnoteReference"/>
        </w:rPr>
        <w:footnoteReference w:id="1"/>
      </w:r>
      <w:r>
        <w:t xml:space="preserve"> To achieve </w:t>
      </w:r>
      <w:r w:rsidR="001B0E36">
        <w:t>10 GW of</w:t>
      </w:r>
      <w:r>
        <w:t xml:space="preserve"> coal reduction</w:t>
      </w:r>
      <w:r w:rsidR="001B0E36">
        <w:t xml:space="preserve"> in 2030 in our policy scenario compared with the BAU</w:t>
      </w:r>
      <w:r>
        <w:t>, we also</w:t>
      </w:r>
      <w:r w:rsidR="004A194D">
        <w:t xml:space="preserve"> use the early retirement lever in the EPS to retire 1.6 GW of coal in 2030.</w:t>
      </w:r>
    </w:p>
    <w:p w14:paraId="5756A794" w14:textId="2D0C6C67" w:rsidR="00C7696A" w:rsidRDefault="00C7696A" w:rsidP="00C7696A">
      <w:pPr>
        <w:pStyle w:val="Heading2"/>
        <w:contextualSpacing/>
      </w:pPr>
      <w:r>
        <w:t>Industry Sector</w:t>
      </w:r>
    </w:p>
    <w:p w14:paraId="5ABBA0BA" w14:textId="41782710" w:rsidR="00933193" w:rsidRDefault="00933193" w:rsidP="00933193">
      <w:pPr>
        <w:pStyle w:val="Heading3"/>
      </w:pPr>
      <w:r>
        <w:t>Phase down HFCs</w:t>
      </w:r>
    </w:p>
    <w:p w14:paraId="397F5692" w14:textId="194DC4A5" w:rsidR="00933193" w:rsidRPr="00933193" w:rsidRDefault="004A194D" w:rsidP="00933193">
      <w:r>
        <w:t>We reference</w:t>
      </w:r>
      <w:r w:rsidR="00C0104D">
        <w:t>d</w:t>
      </w:r>
      <w:r>
        <w:t xml:space="preserve"> </w:t>
      </w:r>
      <w:proofErr w:type="spellStart"/>
      <w:r>
        <w:t>Velders</w:t>
      </w:r>
      <w:proofErr w:type="spellEnd"/>
      <w:r>
        <w:t xml:space="preserve"> et al. (2022)</w:t>
      </w:r>
      <w:r>
        <w:rPr>
          <w:rStyle w:val="FootnoteReference"/>
        </w:rPr>
        <w:footnoteReference w:id="2"/>
      </w:r>
      <w:r>
        <w:t xml:space="preserve"> to estimate the impact of the Kigali Amendment on India’s emissions. We </w:t>
      </w:r>
      <w:r w:rsidR="00C0104D">
        <w:t>calculated</w:t>
      </w:r>
      <w:r>
        <w:t xml:space="preserve"> the average reductions in </w:t>
      </w:r>
      <w:proofErr w:type="spellStart"/>
      <w:r>
        <w:t>Velders</w:t>
      </w:r>
      <w:proofErr w:type="spellEnd"/>
      <w:r>
        <w:t xml:space="preserve"> et al.’s KA-2022 scenario</w:t>
      </w:r>
      <w:r w:rsidR="00C0104D">
        <w:t xml:space="preserve"> and turned on the various f-gas reduction policy levers in the EPS to meet these targeted reductions.</w:t>
      </w:r>
    </w:p>
    <w:p w14:paraId="28AB98D0" w14:textId="3F11067A" w:rsidR="00933193" w:rsidRDefault="00933193" w:rsidP="00933193">
      <w:pPr>
        <w:pStyle w:val="Heading3"/>
      </w:pPr>
      <w:r>
        <w:t>Reduce electricity demand relative to BAU</w:t>
      </w:r>
    </w:p>
    <w:p w14:paraId="0B324E37" w14:textId="176CCC0C" w:rsidR="00C0104D" w:rsidRDefault="00C0104D" w:rsidP="00C0104D">
      <w:r>
        <w:t>The targeted improvement in energy efficiency in every year between 2026 and 2030 is 2-3%</w:t>
      </w:r>
      <w:r w:rsidR="00012C1C">
        <w:t>, with the average improvement being 2.5%. We use the average to calculate the targeted cumulative percentage improvement in total industrial electricity demand with respect to the BAU in each year. The industry energy efficiency standards policy lever in the EPS is turned on for electricity across the chemicals, agriculture, and “other industries” subsectors to achieve the targeted efficiency improvements.</w:t>
      </w:r>
    </w:p>
    <w:p w14:paraId="250129FC" w14:textId="77777777" w:rsidR="00C0104D" w:rsidRPr="00C0104D" w:rsidRDefault="00C0104D" w:rsidP="00C0104D"/>
    <w:tbl>
      <w:tblPr>
        <w:tblStyle w:val="TableGrid"/>
        <w:tblW w:w="0" w:type="auto"/>
        <w:jc w:val="center"/>
        <w:tblLook w:val="04A0" w:firstRow="1" w:lastRow="0" w:firstColumn="1" w:lastColumn="0" w:noHBand="0" w:noVBand="1"/>
      </w:tblPr>
      <w:tblGrid>
        <w:gridCol w:w="3145"/>
        <w:gridCol w:w="663"/>
        <w:gridCol w:w="663"/>
        <w:gridCol w:w="663"/>
        <w:gridCol w:w="760"/>
        <w:gridCol w:w="760"/>
      </w:tblGrid>
      <w:tr w:rsidR="007C2E5F" w:rsidRPr="0086129A" w14:paraId="396F3E58" w14:textId="77777777" w:rsidTr="007C2E5F">
        <w:trPr>
          <w:trHeight w:val="300"/>
          <w:jc w:val="center"/>
        </w:trPr>
        <w:tc>
          <w:tcPr>
            <w:tcW w:w="3145" w:type="dxa"/>
            <w:noWrap/>
            <w:vAlign w:val="center"/>
            <w:hideMark/>
          </w:tcPr>
          <w:p w14:paraId="787F80B8" w14:textId="77777777" w:rsidR="007C2E5F" w:rsidRPr="0086129A" w:rsidRDefault="007C2E5F" w:rsidP="007C2E5F">
            <w:pPr>
              <w:jc w:val="center"/>
              <w:rPr>
                <w:b/>
                <w:bCs/>
              </w:rPr>
            </w:pPr>
            <w:r w:rsidRPr="0086129A">
              <w:rPr>
                <w:b/>
                <w:bCs/>
              </w:rPr>
              <w:t>Cumulative % electricity demand reduction vs BAU</w:t>
            </w:r>
          </w:p>
        </w:tc>
        <w:tc>
          <w:tcPr>
            <w:tcW w:w="663" w:type="dxa"/>
            <w:noWrap/>
            <w:vAlign w:val="center"/>
            <w:hideMark/>
          </w:tcPr>
          <w:p w14:paraId="397384FA" w14:textId="77777777" w:rsidR="007C2E5F" w:rsidRPr="0086129A" w:rsidRDefault="007C2E5F" w:rsidP="007C2E5F">
            <w:pPr>
              <w:jc w:val="center"/>
              <w:rPr>
                <w:b/>
                <w:bCs/>
              </w:rPr>
            </w:pPr>
            <w:r w:rsidRPr="0086129A">
              <w:rPr>
                <w:b/>
                <w:bCs/>
              </w:rPr>
              <w:t>2026</w:t>
            </w:r>
          </w:p>
        </w:tc>
        <w:tc>
          <w:tcPr>
            <w:tcW w:w="663" w:type="dxa"/>
            <w:noWrap/>
            <w:vAlign w:val="center"/>
            <w:hideMark/>
          </w:tcPr>
          <w:p w14:paraId="1FC1324E" w14:textId="77777777" w:rsidR="007C2E5F" w:rsidRPr="0086129A" w:rsidRDefault="007C2E5F" w:rsidP="007C2E5F">
            <w:pPr>
              <w:jc w:val="center"/>
              <w:rPr>
                <w:b/>
                <w:bCs/>
              </w:rPr>
            </w:pPr>
            <w:r w:rsidRPr="0086129A">
              <w:rPr>
                <w:b/>
                <w:bCs/>
              </w:rPr>
              <w:t>2027</w:t>
            </w:r>
          </w:p>
        </w:tc>
        <w:tc>
          <w:tcPr>
            <w:tcW w:w="663" w:type="dxa"/>
            <w:noWrap/>
            <w:vAlign w:val="center"/>
            <w:hideMark/>
          </w:tcPr>
          <w:p w14:paraId="51B398C0" w14:textId="77777777" w:rsidR="007C2E5F" w:rsidRPr="0086129A" w:rsidRDefault="007C2E5F" w:rsidP="007C2E5F">
            <w:pPr>
              <w:jc w:val="center"/>
              <w:rPr>
                <w:b/>
                <w:bCs/>
              </w:rPr>
            </w:pPr>
            <w:r w:rsidRPr="0086129A">
              <w:rPr>
                <w:b/>
                <w:bCs/>
              </w:rPr>
              <w:t>2028</w:t>
            </w:r>
          </w:p>
        </w:tc>
        <w:tc>
          <w:tcPr>
            <w:tcW w:w="760" w:type="dxa"/>
            <w:noWrap/>
            <w:vAlign w:val="center"/>
            <w:hideMark/>
          </w:tcPr>
          <w:p w14:paraId="71F7E35A" w14:textId="77777777" w:rsidR="007C2E5F" w:rsidRPr="0086129A" w:rsidRDefault="007C2E5F" w:rsidP="007C2E5F">
            <w:pPr>
              <w:jc w:val="center"/>
              <w:rPr>
                <w:b/>
                <w:bCs/>
              </w:rPr>
            </w:pPr>
            <w:r w:rsidRPr="0086129A">
              <w:rPr>
                <w:b/>
                <w:bCs/>
              </w:rPr>
              <w:t>2029</w:t>
            </w:r>
          </w:p>
        </w:tc>
        <w:tc>
          <w:tcPr>
            <w:tcW w:w="760" w:type="dxa"/>
            <w:noWrap/>
            <w:vAlign w:val="center"/>
            <w:hideMark/>
          </w:tcPr>
          <w:p w14:paraId="4DD9D939" w14:textId="77777777" w:rsidR="007C2E5F" w:rsidRPr="0086129A" w:rsidRDefault="007C2E5F" w:rsidP="007C2E5F">
            <w:pPr>
              <w:jc w:val="center"/>
              <w:rPr>
                <w:b/>
                <w:bCs/>
              </w:rPr>
            </w:pPr>
            <w:r w:rsidRPr="0086129A">
              <w:rPr>
                <w:b/>
                <w:bCs/>
              </w:rPr>
              <w:t>2030</w:t>
            </w:r>
          </w:p>
        </w:tc>
      </w:tr>
      <w:tr w:rsidR="007C2E5F" w:rsidRPr="0086129A" w14:paraId="3AD7CB70" w14:textId="77777777" w:rsidTr="007C2E5F">
        <w:trPr>
          <w:trHeight w:val="300"/>
          <w:jc w:val="center"/>
        </w:trPr>
        <w:tc>
          <w:tcPr>
            <w:tcW w:w="3145" w:type="dxa"/>
            <w:noWrap/>
            <w:vAlign w:val="center"/>
            <w:hideMark/>
          </w:tcPr>
          <w:p w14:paraId="7BB77940" w14:textId="77777777" w:rsidR="007C2E5F" w:rsidRPr="0086129A" w:rsidRDefault="007C2E5F" w:rsidP="007C2E5F">
            <w:pPr>
              <w:jc w:val="center"/>
            </w:pPr>
            <w:r w:rsidRPr="0086129A">
              <w:t>Low</w:t>
            </w:r>
          </w:p>
        </w:tc>
        <w:tc>
          <w:tcPr>
            <w:tcW w:w="663" w:type="dxa"/>
            <w:noWrap/>
            <w:vAlign w:val="center"/>
            <w:hideMark/>
          </w:tcPr>
          <w:p w14:paraId="2BC6C863" w14:textId="77777777" w:rsidR="007C2E5F" w:rsidRPr="0086129A" w:rsidRDefault="007C2E5F" w:rsidP="007C2E5F">
            <w:pPr>
              <w:jc w:val="center"/>
            </w:pPr>
            <w:r w:rsidRPr="0086129A">
              <w:t>2%</w:t>
            </w:r>
          </w:p>
        </w:tc>
        <w:tc>
          <w:tcPr>
            <w:tcW w:w="663" w:type="dxa"/>
            <w:noWrap/>
            <w:vAlign w:val="center"/>
            <w:hideMark/>
          </w:tcPr>
          <w:p w14:paraId="0402557C" w14:textId="77777777" w:rsidR="007C2E5F" w:rsidRPr="0086129A" w:rsidRDefault="007C2E5F" w:rsidP="007C2E5F">
            <w:pPr>
              <w:jc w:val="center"/>
            </w:pPr>
            <w:r w:rsidRPr="0086129A">
              <w:t>4%</w:t>
            </w:r>
          </w:p>
        </w:tc>
        <w:tc>
          <w:tcPr>
            <w:tcW w:w="663" w:type="dxa"/>
            <w:noWrap/>
            <w:vAlign w:val="center"/>
            <w:hideMark/>
          </w:tcPr>
          <w:p w14:paraId="68962F84" w14:textId="77777777" w:rsidR="007C2E5F" w:rsidRPr="0086129A" w:rsidRDefault="007C2E5F" w:rsidP="007C2E5F">
            <w:pPr>
              <w:jc w:val="center"/>
            </w:pPr>
            <w:r w:rsidRPr="0086129A">
              <w:t>6%</w:t>
            </w:r>
          </w:p>
        </w:tc>
        <w:tc>
          <w:tcPr>
            <w:tcW w:w="760" w:type="dxa"/>
            <w:noWrap/>
            <w:vAlign w:val="center"/>
            <w:hideMark/>
          </w:tcPr>
          <w:p w14:paraId="64A9C101" w14:textId="77777777" w:rsidR="007C2E5F" w:rsidRPr="0086129A" w:rsidRDefault="007C2E5F" w:rsidP="007C2E5F">
            <w:pPr>
              <w:jc w:val="center"/>
            </w:pPr>
            <w:r w:rsidRPr="0086129A">
              <w:t>8%</w:t>
            </w:r>
          </w:p>
        </w:tc>
        <w:tc>
          <w:tcPr>
            <w:tcW w:w="760" w:type="dxa"/>
            <w:noWrap/>
            <w:vAlign w:val="center"/>
            <w:hideMark/>
          </w:tcPr>
          <w:p w14:paraId="5F5E2C56" w14:textId="77777777" w:rsidR="007C2E5F" w:rsidRPr="0086129A" w:rsidRDefault="007C2E5F" w:rsidP="007C2E5F">
            <w:pPr>
              <w:jc w:val="center"/>
            </w:pPr>
            <w:r w:rsidRPr="0086129A">
              <w:t>10%</w:t>
            </w:r>
          </w:p>
        </w:tc>
      </w:tr>
      <w:tr w:rsidR="007C2E5F" w:rsidRPr="0086129A" w14:paraId="165B38FE" w14:textId="77777777" w:rsidTr="007C2E5F">
        <w:trPr>
          <w:trHeight w:val="300"/>
          <w:jc w:val="center"/>
        </w:trPr>
        <w:tc>
          <w:tcPr>
            <w:tcW w:w="3145" w:type="dxa"/>
            <w:noWrap/>
            <w:vAlign w:val="center"/>
            <w:hideMark/>
          </w:tcPr>
          <w:p w14:paraId="03A46C9F" w14:textId="77777777" w:rsidR="007C2E5F" w:rsidRPr="0086129A" w:rsidRDefault="007C2E5F" w:rsidP="007C2E5F">
            <w:pPr>
              <w:jc w:val="center"/>
            </w:pPr>
            <w:r w:rsidRPr="0086129A">
              <w:t>High</w:t>
            </w:r>
          </w:p>
        </w:tc>
        <w:tc>
          <w:tcPr>
            <w:tcW w:w="663" w:type="dxa"/>
            <w:noWrap/>
            <w:vAlign w:val="center"/>
            <w:hideMark/>
          </w:tcPr>
          <w:p w14:paraId="355402B0" w14:textId="77777777" w:rsidR="007C2E5F" w:rsidRPr="0086129A" w:rsidRDefault="007C2E5F" w:rsidP="007C2E5F">
            <w:pPr>
              <w:jc w:val="center"/>
            </w:pPr>
            <w:r w:rsidRPr="0086129A">
              <w:t>3%</w:t>
            </w:r>
          </w:p>
        </w:tc>
        <w:tc>
          <w:tcPr>
            <w:tcW w:w="663" w:type="dxa"/>
            <w:noWrap/>
            <w:vAlign w:val="center"/>
            <w:hideMark/>
          </w:tcPr>
          <w:p w14:paraId="72F7F93E" w14:textId="77777777" w:rsidR="007C2E5F" w:rsidRPr="0086129A" w:rsidRDefault="007C2E5F" w:rsidP="007C2E5F">
            <w:pPr>
              <w:jc w:val="center"/>
            </w:pPr>
            <w:r w:rsidRPr="0086129A">
              <w:t>6%</w:t>
            </w:r>
          </w:p>
        </w:tc>
        <w:tc>
          <w:tcPr>
            <w:tcW w:w="663" w:type="dxa"/>
            <w:noWrap/>
            <w:vAlign w:val="center"/>
            <w:hideMark/>
          </w:tcPr>
          <w:p w14:paraId="2E21C187" w14:textId="77777777" w:rsidR="007C2E5F" w:rsidRPr="0086129A" w:rsidRDefault="007C2E5F" w:rsidP="007C2E5F">
            <w:pPr>
              <w:jc w:val="center"/>
            </w:pPr>
            <w:r w:rsidRPr="0086129A">
              <w:t>9%</w:t>
            </w:r>
          </w:p>
        </w:tc>
        <w:tc>
          <w:tcPr>
            <w:tcW w:w="760" w:type="dxa"/>
            <w:noWrap/>
            <w:vAlign w:val="center"/>
            <w:hideMark/>
          </w:tcPr>
          <w:p w14:paraId="600A1136" w14:textId="77777777" w:rsidR="007C2E5F" w:rsidRPr="0086129A" w:rsidRDefault="007C2E5F" w:rsidP="007C2E5F">
            <w:pPr>
              <w:jc w:val="center"/>
            </w:pPr>
            <w:r w:rsidRPr="0086129A">
              <w:t>12%</w:t>
            </w:r>
          </w:p>
        </w:tc>
        <w:tc>
          <w:tcPr>
            <w:tcW w:w="760" w:type="dxa"/>
            <w:noWrap/>
            <w:vAlign w:val="center"/>
            <w:hideMark/>
          </w:tcPr>
          <w:p w14:paraId="7D433528" w14:textId="77777777" w:rsidR="007C2E5F" w:rsidRPr="0086129A" w:rsidRDefault="007C2E5F" w:rsidP="007C2E5F">
            <w:pPr>
              <w:jc w:val="center"/>
            </w:pPr>
            <w:r w:rsidRPr="0086129A">
              <w:t>15%</w:t>
            </w:r>
          </w:p>
        </w:tc>
      </w:tr>
      <w:tr w:rsidR="007C2E5F" w:rsidRPr="0086129A" w14:paraId="21F75CDB" w14:textId="77777777" w:rsidTr="007C2E5F">
        <w:trPr>
          <w:trHeight w:val="300"/>
          <w:jc w:val="center"/>
        </w:trPr>
        <w:tc>
          <w:tcPr>
            <w:tcW w:w="3145" w:type="dxa"/>
            <w:noWrap/>
            <w:vAlign w:val="center"/>
            <w:hideMark/>
          </w:tcPr>
          <w:p w14:paraId="44A62CAF" w14:textId="77777777" w:rsidR="007C2E5F" w:rsidRPr="0086129A" w:rsidRDefault="007C2E5F" w:rsidP="007C2E5F">
            <w:pPr>
              <w:jc w:val="center"/>
            </w:pPr>
            <w:r w:rsidRPr="0086129A">
              <w:t>Average</w:t>
            </w:r>
          </w:p>
        </w:tc>
        <w:tc>
          <w:tcPr>
            <w:tcW w:w="663" w:type="dxa"/>
            <w:noWrap/>
            <w:vAlign w:val="center"/>
            <w:hideMark/>
          </w:tcPr>
          <w:p w14:paraId="2D2691EA" w14:textId="2F6C1585" w:rsidR="007C2E5F" w:rsidRPr="0086129A" w:rsidRDefault="007C2E5F" w:rsidP="007C2E5F">
            <w:pPr>
              <w:jc w:val="center"/>
            </w:pPr>
            <w:r>
              <w:t>2.5</w:t>
            </w:r>
            <w:r w:rsidRPr="0086129A">
              <w:t>%</w:t>
            </w:r>
          </w:p>
        </w:tc>
        <w:tc>
          <w:tcPr>
            <w:tcW w:w="663" w:type="dxa"/>
            <w:noWrap/>
            <w:vAlign w:val="center"/>
            <w:hideMark/>
          </w:tcPr>
          <w:p w14:paraId="3BB8942D" w14:textId="03685378" w:rsidR="007C2E5F" w:rsidRPr="0086129A" w:rsidRDefault="007C2E5F" w:rsidP="007C2E5F">
            <w:pPr>
              <w:jc w:val="center"/>
            </w:pPr>
            <w:r w:rsidRPr="0086129A">
              <w:t>5</w:t>
            </w:r>
            <w:r>
              <w:t>.0</w:t>
            </w:r>
            <w:r w:rsidRPr="0086129A">
              <w:t>%</w:t>
            </w:r>
          </w:p>
        </w:tc>
        <w:tc>
          <w:tcPr>
            <w:tcW w:w="663" w:type="dxa"/>
            <w:noWrap/>
            <w:vAlign w:val="center"/>
            <w:hideMark/>
          </w:tcPr>
          <w:p w14:paraId="331957D8" w14:textId="6F0786ED" w:rsidR="007C2E5F" w:rsidRPr="0086129A" w:rsidRDefault="007C2E5F" w:rsidP="007C2E5F">
            <w:pPr>
              <w:jc w:val="center"/>
            </w:pPr>
            <w:r>
              <w:t>7.5</w:t>
            </w:r>
            <w:r w:rsidRPr="0086129A">
              <w:t>%</w:t>
            </w:r>
          </w:p>
        </w:tc>
        <w:tc>
          <w:tcPr>
            <w:tcW w:w="760" w:type="dxa"/>
            <w:noWrap/>
            <w:vAlign w:val="center"/>
            <w:hideMark/>
          </w:tcPr>
          <w:p w14:paraId="6E4BB69C" w14:textId="62C215C1" w:rsidR="007C2E5F" w:rsidRPr="0086129A" w:rsidRDefault="007C2E5F" w:rsidP="007C2E5F">
            <w:pPr>
              <w:jc w:val="center"/>
            </w:pPr>
            <w:r w:rsidRPr="0086129A">
              <w:t>10</w:t>
            </w:r>
            <w:r>
              <w:t>.0</w:t>
            </w:r>
            <w:r w:rsidRPr="0086129A">
              <w:t>%</w:t>
            </w:r>
          </w:p>
        </w:tc>
        <w:tc>
          <w:tcPr>
            <w:tcW w:w="760" w:type="dxa"/>
            <w:noWrap/>
            <w:vAlign w:val="center"/>
            <w:hideMark/>
          </w:tcPr>
          <w:p w14:paraId="69A960E7" w14:textId="2B798143" w:rsidR="007C2E5F" w:rsidRPr="0086129A" w:rsidRDefault="007C2E5F" w:rsidP="007C2E5F">
            <w:pPr>
              <w:jc w:val="center"/>
            </w:pPr>
            <w:r w:rsidRPr="0086129A">
              <w:t>1</w:t>
            </w:r>
            <w:r>
              <w:t>2.5</w:t>
            </w:r>
            <w:r w:rsidRPr="0086129A">
              <w:t>%</w:t>
            </w:r>
          </w:p>
        </w:tc>
      </w:tr>
    </w:tbl>
    <w:p w14:paraId="66D0EF76" w14:textId="77777777" w:rsidR="0086129A" w:rsidRPr="0086129A" w:rsidRDefault="0086129A" w:rsidP="0086129A"/>
    <w:p w14:paraId="09AA93FF" w14:textId="49CED925" w:rsidR="00C7696A" w:rsidRDefault="00C7696A" w:rsidP="00C7696A">
      <w:pPr>
        <w:pStyle w:val="Heading2"/>
        <w:contextualSpacing/>
      </w:pPr>
      <w:r>
        <w:t>Buildings Sector</w:t>
      </w:r>
    </w:p>
    <w:p w14:paraId="1F6D48AB" w14:textId="056F4316" w:rsidR="00C7696A" w:rsidRDefault="00933193" w:rsidP="00933193">
      <w:pPr>
        <w:pStyle w:val="Heading3"/>
      </w:pPr>
      <w:r>
        <w:t>Reduce electricity demand relative to BAU</w:t>
      </w:r>
    </w:p>
    <w:p w14:paraId="33B820FE" w14:textId="6476162E" w:rsidR="00012C1C" w:rsidRDefault="00012C1C" w:rsidP="00012C1C">
      <w:r>
        <w:t>The</w:t>
      </w:r>
      <w:r>
        <w:t xml:space="preserve"> targeted improvement in energy efficiency in every year between 2026 and 2030 is 2-3%, with the average improvement being 2.5%. </w:t>
      </w:r>
      <w:r>
        <w:t>Similar to the approach for the industry efficiency objective, w</w:t>
      </w:r>
      <w:r>
        <w:t xml:space="preserve">e use the average to calculate the targeted cumulative percentage improvement in total </w:t>
      </w:r>
      <w:r>
        <w:t>buildings</w:t>
      </w:r>
      <w:r>
        <w:t xml:space="preserve"> electricity demand with respect to the BAU in each year. The </w:t>
      </w:r>
      <w:r w:rsidR="00EE4B9F">
        <w:t>building</w:t>
      </w:r>
      <w:r>
        <w:t xml:space="preserve"> energy efficiency standards policy lever in the EPS is turned on for </w:t>
      </w:r>
      <w:r w:rsidR="001B0E36">
        <w:t xml:space="preserve">the </w:t>
      </w:r>
      <w:r w:rsidR="00EE4B9F">
        <w:t xml:space="preserve">cooling and ventilation, lighting, appliances, and “other components” categories across all building types (urban residential, rural residential, commercial) </w:t>
      </w:r>
      <w:r>
        <w:t>to achieve the targeted efficiency improvements.</w:t>
      </w:r>
    </w:p>
    <w:p w14:paraId="186D49E2" w14:textId="77777777" w:rsidR="00012C1C" w:rsidRPr="00012C1C" w:rsidRDefault="00012C1C" w:rsidP="00012C1C"/>
    <w:tbl>
      <w:tblPr>
        <w:tblStyle w:val="TableGrid"/>
        <w:tblW w:w="0" w:type="auto"/>
        <w:jc w:val="center"/>
        <w:tblLook w:val="04A0" w:firstRow="1" w:lastRow="0" w:firstColumn="1" w:lastColumn="0" w:noHBand="0" w:noVBand="1"/>
      </w:tblPr>
      <w:tblGrid>
        <w:gridCol w:w="3145"/>
        <w:gridCol w:w="663"/>
        <w:gridCol w:w="663"/>
        <w:gridCol w:w="663"/>
        <w:gridCol w:w="760"/>
        <w:gridCol w:w="760"/>
      </w:tblGrid>
      <w:tr w:rsidR="007C2E5F" w:rsidRPr="0086129A" w14:paraId="3876DFD2" w14:textId="77777777" w:rsidTr="007C2E5F">
        <w:trPr>
          <w:trHeight w:val="300"/>
          <w:jc w:val="center"/>
        </w:trPr>
        <w:tc>
          <w:tcPr>
            <w:tcW w:w="3145" w:type="dxa"/>
            <w:noWrap/>
            <w:vAlign w:val="center"/>
            <w:hideMark/>
          </w:tcPr>
          <w:p w14:paraId="53224640" w14:textId="77777777" w:rsidR="007C2E5F" w:rsidRPr="0086129A" w:rsidRDefault="007C2E5F" w:rsidP="0086734C">
            <w:pPr>
              <w:jc w:val="center"/>
              <w:rPr>
                <w:b/>
                <w:bCs/>
              </w:rPr>
            </w:pPr>
            <w:r w:rsidRPr="0086129A">
              <w:rPr>
                <w:b/>
                <w:bCs/>
              </w:rPr>
              <w:t>Cumulative % electricity demand reduction vs BAU</w:t>
            </w:r>
          </w:p>
        </w:tc>
        <w:tc>
          <w:tcPr>
            <w:tcW w:w="663" w:type="dxa"/>
            <w:noWrap/>
            <w:vAlign w:val="center"/>
            <w:hideMark/>
          </w:tcPr>
          <w:p w14:paraId="14778853" w14:textId="77777777" w:rsidR="007C2E5F" w:rsidRPr="0086129A" w:rsidRDefault="007C2E5F" w:rsidP="0086734C">
            <w:pPr>
              <w:jc w:val="center"/>
              <w:rPr>
                <w:b/>
                <w:bCs/>
              </w:rPr>
            </w:pPr>
            <w:r w:rsidRPr="0086129A">
              <w:rPr>
                <w:b/>
                <w:bCs/>
              </w:rPr>
              <w:t>2026</w:t>
            </w:r>
          </w:p>
        </w:tc>
        <w:tc>
          <w:tcPr>
            <w:tcW w:w="663" w:type="dxa"/>
            <w:noWrap/>
            <w:vAlign w:val="center"/>
            <w:hideMark/>
          </w:tcPr>
          <w:p w14:paraId="48B58E07" w14:textId="77777777" w:rsidR="007C2E5F" w:rsidRPr="0086129A" w:rsidRDefault="007C2E5F" w:rsidP="0086734C">
            <w:pPr>
              <w:jc w:val="center"/>
              <w:rPr>
                <w:b/>
                <w:bCs/>
              </w:rPr>
            </w:pPr>
            <w:r w:rsidRPr="0086129A">
              <w:rPr>
                <w:b/>
                <w:bCs/>
              </w:rPr>
              <w:t>2027</w:t>
            </w:r>
          </w:p>
        </w:tc>
        <w:tc>
          <w:tcPr>
            <w:tcW w:w="663" w:type="dxa"/>
            <w:noWrap/>
            <w:vAlign w:val="center"/>
            <w:hideMark/>
          </w:tcPr>
          <w:p w14:paraId="78166D05" w14:textId="77777777" w:rsidR="007C2E5F" w:rsidRPr="0086129A" w:rsidRDefault="007C2E5F" w:rsidP="0086734C">
            <w:pPr>
              <w:jc w:val="center"/>
              <w:rPr>
                <w:b/>
                <w:bCs/>
              </w:rPr>
            </w:pPr>
            <w:r w:rsidRPr="0086129A">
              <w:rPr>
                <w:b/>
                <w:bCs/>
              </w:rPr>
              <w:t>2028</w:t>
            </w:r>
          </w:p>
        </w:tc>
        <w:tc>
          <w:tcPr>
            <w:tcW w:w="760" w:type="dxa"/>
            <w:noWrap/>
            <w:vAlign w:val="center"/>
            <w:hideMark/>
          </w:tcPr>
          <w:p w14:paraId="0F6147CA" w14:textId="77777777" w:rsidR="007C2E5F" w:rsidRPr="0086129A" w:rsidRDefault="007C2E5F" w:rsidP="0086734C">
            <w:pPr>
              <w:jc w:val="center"/>
              <w:rPr>
                <w:b/>
                <w:bCs/>
              </w:rPr>
            </w:pPr>
            <w:r w:rsidRPr="0086129A">
              <w:rPr>
                <w:b/>
                <w:bCs/>
              </w:rPr>
              <w:t>2029</w:t>
            </w:r>
          </w:p>
        </w:tc>
        <w:tc>
          <w:tcPr>
            <w:tcW w:w="760" w:type="dxa"/>
            <w:noWrap/>
            <w:vAlign w:val="center"/>
            <w:hideMark/>
          </w:tcPr>
          <w:p w14:paraId="220BC44F" w14:textId="77777777" w:rsidR="007C2E5F" w:rsidRPr="0086129A" w:rsidRDefault="007C2E5F" w:rsidP="0086734C">
            <w:pPr>
              <w:jc w:val="center"/>
              <w:rPr>
                <w:b/>
                <w:bCs/>
              </w:rPr>
            </w:pPr>
            <w:r w:rsidRPr="0086129A">
              <w:rPr>
                <w:b/>
                <w:bCs/>
              </w:rPr>
              <w:t>2030</w:t>
            </w:r>
          </w:p>
        </w:tc>
      </w:tr>
      <w:tr w:rsidR="007C2E5F" w:rsidRPr="0086129A" w14:paraId="6CC278F3" w14:textId="77777777" w:rsidTr="007C2E5F">
        <w:trPr>
          <w:trHeight w:val="300"/>
          <w:jc w:val="center"/>
        </w:trPr>
        <w:tc>
          <w:tcPr>
            <w:tcW w:w="3145" w:type="dxa"/>
            <w:noWrap/>
            <w:vAlign w:val="center"/>
            <w:hideMark/>
          </w:tcPr>
          <w:p w14:paraId="43753BF4" w14:textId="77777777" w:rsidR="007C2E5F" w:rsidRPr="0086129A" w:rsidRDefault="007C2E5F" w:rsidP="0086734C">
            <w:pPr>
              <w:jc w:val="center"/>
            </w:pPr>
            <w:r w:rsidRPr="0086129A">
              <w:t>Low</w:t>
            </w:r>
          </w:p>
        </w:tc>
        <w:tc>
          <w:tcPr>
            <w:tcW w:w="663" w:type="dxa"/>
            <w:noWrap/>
            <w:vAlign w:val="center"/>
            <w:hideMark/>
          </w:tcPr>
          <w:p w14:paraId="5901C585" w14:textId="77777777" w:rsidR="007C2E5F" w:rsidRPr="0086129A" w:rsidRDefault="007C2E5F" w:rsidP="0086734C">
            <w:pPr>
              <w:jc w:val="center"/>
            </w:pPr>
            <w:r w:rsidRPr="0086129A">
              <w:t>2%</w:t>
            </w:r>
          </w:p>
        </w:tc>
        <w:tc>
          <w:tcPr>
            <w:tcW w:w="663" w:type="dxa"/>
            <w:noWrap/>
            <w:vAlign w:val="center"/>
            <w:hideMark/>
          </w:tcPr>
          <w:p w14:paraId="3403691E" w14:textId="77777777" w:rsidR="007C2E5F" w:rsidRPr="0086129A" w:rsidRDefault="007C2E5F" w:rsidP="0086734C">
            <w:pPr>
              <w:jc w:val="center"/>
            </w:pPr>
            <w:r w:rsidRPr="0086129A">
              <w:t>4%</w:t>
            </w:r>
          </w:p>
        </w:tc>
        <w:tc>
          <w:tcPr>
            <w:tcW w:w="663" w:type="dxa"/>
            <w:noWrap/>
            <w:vAlign w:val="center"/>
            <w:hideMark/>
          </w:tcPr>
          <w:p w14:paraId="01E469A9" w14:textId="77777777" w:rsidR="007C2E5F" w:rsidRPr="0086129A" w:rsidRDefault="007C2E5F" w:rsidP="0086734C">
            <w:pPr>
              <w:jc w:val="center"/>
            </w:pPr>
            <w:r w:rsidRPr="0086129A">
              <w:t>6%</w:t>
            </w:r>
          </w:p>
        </w:tc>
        <w:tc>
          <w:tcPr>
            <w:tcW w:w="760" w:type="dxa"/>
            <w:noWrap/>
            <w:vAlign w:val="center"/>
            <w:hideMark/>
          </w:tcPr>
          <w:p w14:paraId="32B62FFE" w14:textId="77777777" w:rsidR="007C2E5F" w:rsidRPr="0086129A" w:rsidRDefault="007C2E5F" w:rsidP="0086734C">
            <w:pPr>
              <w:jc w:val="center"/>
            </w:pPr>
            <w:r w:rsidRPr="0086129A">
              <w:t>8%</w:t>
            </w:r>
          </w:p>
        </w:tc>
        <w:tc>
          <w:tcPr>
            <w:tcW w:w="760" w:type="dxa"/>
            <w:noWrap/>
            <w:vAlign w:val="center"/>
            <w:hideMark/>
          </w:tcPr>
          <w:p w14:paraId="125BF493" w14:textId="77777777" w:rsidR="007C2E5F" w:rsidRPr="0086129A" w:rsidRDefault="007C2E5F" w:rsidP="0086734C">
            <w:pPr>
              <w:jc w:val="center"/>
            </w:pPr>
            <w:r w:rsidRPr="0086129A">
              <w:t>10%</w:t>
            </w:r>
          </w:p>
        </w:tc>
      </w:tr>
      <w:tr w:rsidR="007C2E5F" w:rsidRPr="0086129A" w14:paraId="6C676CC9" w14:textId="77777777" w:rsidTr="007C2E5F">
        <w:trPr>
          <w:trHeight w:val="300"/>
          <w:jc w:val="center"/>
        </w:trPr>
        <w:tc>
          <w:tcPr>
            <w:tcW w:w="3145" w:type="dxa"/>
            <w:noWrap/>
            <w:vAlign w:val="center"/>
            <w:hideMark/>
          </w:tcPr>
          <w:p w14:paraId="7BA70267" w14:textId="77777777" w:rsidR="007C2E5F" w:rsidRPr="0086129A" w:rsidRDefault="007C2E5F" w:rsidP="0086734C">
            <w:pPr>
              <w:jc w:val="center"/>
            </w:pPr>
            <w:r w:rsidRPr="0086129A">
              <w:t>High</w:t>
            </w:r>
          </w:p>
        </w:tc>
        <w:tc>
          <w:tcPr>
            <w:tcW w:w="663" w:type="dxa"/>
            <w:noWrap/>
            <w:vAlign w:val="center"/>
            <w:hideMark/>
          </w:tcPr>
          <w:p w14:paraId="0B4EA461" w14:textId="77777777" w:rsidR="007C2E5F" w:rsidRPr="0086129A" w:rsidRDefault="007C2E5F" w:rsidP="0086734C">
            <w:pPr>
              <w:jc w:val="center"/>
            </w:pPr>
            <w:r w:rsidRPr="0086129A">
              <w:t>3%</w:t>
            </w:r>
          </w:p>
        </w:tc>
        <w:tc>
          <w:tcPr>
            <w:tcW w:w="663" w:type="dxa"/>
            <w:noWrap/>
            <w:vAlign w:val="center"/>
            <w:hideMark/>
          </w:tcPr>
          <w:p w14:paraId="6304C373" w14:textId="77777777" w:rsidR="007C2E5F" w:rsidRPr="0086129A" w:rsidRDefault="007C2E5F" w:rsidP="0086734C">
            <w:pPr>
              <w:jc w:val="center"/>
            </w:pPr>
            <w:r w:rsidRPr="0086129A">
              <w:t>6%</w:t>
            </w:r>
          </w:p>
        </w:tc>
        <w:tc>
          <w:tcPr>
            <w:tcW w:w="663" w:type="dxa"/>
            <w:noWrap/>
            <w:vAlign w:val="center"/>
            <w:hideMark/>
          </w:tcPr>
          <w:p w14:paraId="48CB050B" w14:textId="77777777" w:rsidR="007C2E5F" w:rsidRPr="0086129A" w:rsidRDefault="007C2E5F" w:rsidP="0086734C">
            <w:pPr>
              <w:jc w:val="center"/>
            </w:pPr>
            <w:r w:rsidRPr="0086129A">
              <w:t>9%</w:t>
            </w:r>
          </w:p>
        </w:tc>
        <w:tc>
          <w:tcPr>
            <w:tcW w:w="760" w:type="dxa"/>
            <w:noWrap/>
            <w:vAlign w:val="center"/>
            <w:hideMark/>
          </w:tcPr>
          <w:p w14:paraId="2F8D50E9" w14:textId="77777777" w:rsidR="007C2E5F" w:rsidRPr="0086129A" w:rsidRDefault="007C2E5F" w:rsidP="0086734C">
            <w:pPr>
              <w:jc w:val="center"/>
            </w:pPr>
            <w:r w:rsidRPr="0086129A">
              <w:t>12%</w:t>
            </w:r>
          </w:p>
        </w:tc>
        <w:tc>
          <w:tcPr>
            <w:tcW w:w="760" w:type="dxa"/>
            <w:noWrap/>
            <w:vAlign w:val="center"/>
            <w:hideMark/>
          </w:tcPr>
          <w:p w14:paraId="5B65D349" w14:textId="77777777" w:rsidR="007C2E5F" w:rsidRPr="0086129A" w:rsidRDefault="007C2E5F" w:rsidP="0086734C">
            <w:pPr>
              <w:jc w:val="center"/>
            </w:pPr>
            <w:r w:rsidRPr="0086129A">
              <w:t>15%</w:t>
            </w:r>
          </w:p>
        </w:tc>
      </w:tr>
      <w:tr w:rsidR="007C2E5F" w:rsidRPr="0086129A" w14:paraId="1CACADC6" w14:textId="77777777" w:rsidTr="007C2E5F">
        <w:trPr>
          <w:trHeight w:val="300"/>
          <w:jc w:val="center"/>
        </w:trPr>
        <w:tc>
          <w:tcPr>
            <w:tcW w:w="3145" w:type="dxa"/>
            <w:noWrap/>
            <w:vAlign w:val="center"/>
            <w:hideMark/>
          </w:tcPr>
          <w:p w14:paraId="56C54FFB" w14:textId="77777777" w:rsidR="007C2E5F" w:rsidRPr="0086129A" w:rsidRDefault="007C2E5F" w:rsidP="0086734C">
            <w:pPr>
              <w:jc w:val="center"/>
            </w:pPr>
            <w:r w:rsidRPr="0086129A">
              <w:t>Average</w:t>
            </w:r>
          </w:p>
        </w:tc>
        <w:tc>
          <w:tcPr>
            <w:tcW w:w="663" w:type="dxa"/>
            <w:noWrap/>
            <w:vAlign w:val="center"/>
            <w:hideMark/>
          </w:tcPr>
          <w:p w14:paraId="3A6A15E6" w14:textId="77777777" w:rsidR="007C2E5F" w:rsidRPr="0086129A" w:rsidRDefault="007C2E5F" w:rsidP="0086734C">
            <w:pPr>
              <w:jc w:val="center"/>
            </w:pPr>
            <w:r>
              <w:t>2.5</w:t>
            </w:r>
            <w:r w:rsidRPr="0086129A">
              <w:t>%</w:t>
            </w:r>
          </w:p>
        </w:tc>
        <w:tc>
          <w:tcPr>
            <w:tcW w:w="663" w:type="dxa"/>
            <w:noWrap/>
            <w:vAlign w:val="center"/>
            <w:hideMark/>
          </w:tcPr>
          <w:p w14:paraId="12D6F731" w14:textId="77777777" w:rsidR="007C2E5F" w:rsidRPr="0086129A" w:rsidRDefault="007C2E5F" w:rsidP="0086734C">
            <w:pPr>
              <w:jc w:val="center"/>
            </w:pPr>
            <w:r w:rsidRPr="0086129A">
              <w:t>5</w:t>
            </w:r>
            <w:r>
              <w:t>.0</w:t>
            </w:r>
            <w:r w:rsidRPr="0086129A">
              <w:t>%</w:t>
            </w:r>
          </w:p>
        </w:tc>
        <w:tc>
          <w:tcPr>
            <w:tcW w:w="663" w:type="dxa"/>
            <w:noWrap/>
            <w:vAlign w:val="center"/>
            <w:hideMark/>
          </w:tcPr>
          <w:p w14:paraId="5BD5D616" w14:textId="77777777" w:rsidR="007C2E5F" w:rsidRPr="0086129A" w:rsidRDefault="007C2E5F" w:rsidP="0086734C">
            <w:pPr>
              <w:jc w:val="center"/>
            </w:pPr>
            <w:r>
              <w:t>7.5</w:t>
            </w:r>
            <w:r w:rsidRPr="0086129A">
              <w:t>%</w:t>
            </w:r>
          </w:p>
        </w:tc>
        <w:tc>
          <w:tcPr>
            <w:tcW w:w="760" w:type="dxa"/>
            <w:noWrap/>
            <w:vAlign w:val="center"/>
            <w:hideMark/>
          </w:tcPr>
          <w:p w14:paraId="3582E82E" w14:textId="77777777" w:rsidR="007C2E5F" w:rsidRPr="0086129A" w:rsidRDefault="007C2E5F" w:rsidP="0086734C">
            <w:pPr>
              <w:jc w:val="center"/>
            </w:pPr>
            <w:r w:rsidRPr="0086129A">
              <w:t>10</w:t>
            </w:r>
            <w:r>
              <w:t>.0</w:t>
            </w:r>
            <w:r w:rsidRPr="0086129A">
              <w:t>%</w:t>
            </w:r>
          </w:p>
        </w:tc>
        <w:tc>
          <w:tcPr>
            <w:tcW w:w="760" w:type="dxa"/>
            <w:noWrap/>
            <w:vAlign w:val="center"/>
            <w:hideMark/>
          </w:tcPr>
          <w:p w14:paraId="7A11EC8C" w14:textId="77777777" w:rsidR="007C2E5F" w:rsidRPr="0086129A" w:rsidRDefault="007C2E5F" w:rsidP="0086734C">
            <w:pPr>
              <w:jc w:val="center"/>
            </w:pPr>
            <w:r w:rsidRPr="0086129A">
              <w:t>1</w:t>
            </w:r>
            <w:r>
              <w:t>2.5</w:t>
            </w:r>
            <w:r w:rsidRPr="0086129A">
              <w:t>%</w:t>
            </w:r>
          </w:p>
        </w:tc>
      </w:tr>
    </w:tbl>
    <w:p w14:paraId="4C2CC302" w14:textId="77777777" w:rsidR="0086129A" w:rsidRPr="0086129A" w:rsidRDefault="0086129A" w:rsidP="0086129A"/>
    <w:p w14:paraId="55A3BF27" w14:textId="43D82EB1" w:rsidR="00A57EB2" w:rsidRDefault="00A57EB2" w:rsidP="00A57EB2">
      <w:pPr>
        <w:pStyle w:val="Heading2"/>
        <w:contextualSpacing/>
      </w:pPr>
      <w:r>
        <w:t>Additional Information</w:t>
      </w:r>
    </w:p>
    <w:p w14:paraId="6E8D679C" w14:textId="213DDC2C" w:rsidR="00012C1C" w:rsidRDefault="00012C1C" w:rsidP="00012C1C">
      <w:pPr>
        <w:pStyle w:val="Heading3"/>
      </w:pPr>
      <w:r>
        <w:t>Macroeconomic impacts</w:t>
      </w:r>
    </w:p>
    <w:p w14:paraId="5D344851" w14:textId="5392842A" w:rsidR="001B0E36" w:rsidRPr="001B0E36" w:rsidRDefault="001B0E36" w:rsidP="001B0E36">
      <w:r>
        <w:t xml:space="preserve">Our modeled policy scenario does not include any policies to make up for lost government revenue from fossil fuels. </w:t>
      </w:r>
      <w:r w:rsidR="00E35769">
        <w:t>From 2024 to 2050, t</w:t>
      </w:r>
      <w:r>
        <w:t xml:space="preserve">he </w:t>
      </w:r>
      <w:r w:rsidR="00E35769">
        <w:t xml:space="preserve">projected </w:t>
      </w:r>
      <w:r>
        <w:t>cumulative total loss in government revenue resulting from the policy scenario amounts to $45 billion</w:t>
      </w:r>
      <w:r w:rsidR="00E35769">
        <w:t xml:space="preserve"> 2012 US dollars.</w:t>
      </w:r>
    </w:p>
    <w:p w14:paraId="64DF0E59" w14:textId="23FBD001" w:rsidR="00012C1C" w:rsidRDefault="00012C1C" w:rsidP="00012C1C">
      <w:pPr>
        <w:pStyle w:val="Heading3"/>
      </w:pPr>
      <w:r>
        <w:t>Supporting information</w:t>
      </w:r>
    </w:p>
    <w:p w14:paraId="05E90EF1" w14:textId="304552FC" w:rsidR="00A57EB2" w:rsidRPr="002F415D" w:rsidRDefault="00A57EB2" w:rsidP="00A57EB2">
      <w:pPr>
        <w:contextualSpacing/>
      </w:pPr>
      <w:r>
        <w:t xml:space="preserve">Additional supporting information including workbooks with calculations are available in the “Calculations and Notes” subfolder of the </w:t>
      </w:r>
      <w:r w:rsidRPr="002F415D">
        <w:t xml:space="preserve">of the </w:t>
      </w:r>
      <w:proofErr w:type="spellStart"/>
      <w:r w:rsidRPr="002F415D">
        <w:t>SCF_</w:t>
      </w:r>
      <w:r>
        <w:t>India</w:t>
      </w:r>
      <w:r w:rsidRPr="002F415D">
        <w:t>_Analysis</w:t>
      </w:r>
      <w:proofErr w:type="spellEnd"/>
      <w:r w:rsidRPr="002F415D">
        <w:t xml:space="preserve"> branch of Energy Innovation's eps-</w:t>
      </w:r>
      <w:proofErr w:type="spellStart"/>
      <w:r>
        <w:t>india</w:t>
      </w:r>
      <w:proofErr w:type="spellEnd"/>
      <w:r w:rsidRPr="002F415D">
        <w:t xml:space="preserve"> GitHub repository.</w:t>
      </w:r>
    </w:p>
    <w:p w14:paraId="723286C0" w14:textId="77777777" w:rsidR="00265255" w:rsidRPr="00265255" w:rsidRDefault="00265255" w:rsidP="00265255">
      <w:pPr>
        <w:contextualSpacing/>
      </w:pPr>
    </w:p>
    <w:sectPr w:rsidR="00265255" w:rsidRPr="00265255" w:rsidSect="00587621">
      <w:headerReference w:type="default" r:id="rId8"/>
      <w:footerReference w:type="first" r:id="rId9"/>
      <w:pgSz w:w="12240" w:h="15840"/>
      <w:pgMar w:top="1440" w:right="1440" w:bottom="1440" w:left="1440" w:header="720" w:footer="864"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0E09A" w14:textId="77777777" w:rsidR="00B06F08" w:rsidRDefault="00B06F08" w:rsidP="00A2625B">
      <w:pPr>
        <w:spacing w:after="0" w:line="240" w:lineRule="auto"/>
      </w:pPr>
      <w:r>
        <w:separator/>
      </w:r>
    </w:p>
    <w:p w14:paraId="30154EFC" w14:textId="77777777" w:rsidR="00B06F08" w:rsidRDefault="00B06F08"/>
  </w:endnote>
  <w:endnote w:type="continuationSeparator" w:id="0">
    <w:p w14:paraId="2B59A2F1" w14:textId="77777777" w:rsidR="00B06F08" w:rsidRDefault="00B06F08" w:rsidP="00A2625B">
      <w:pPr>
        <w:spacing w:after="0" w:line="240" w:lineRule="auto"/>
      </w:pPr>
      <w:r>
        <w:continuationSeparator/>
      </w:r>
    </w:p>
    <w:p w14:paraId="28CCCBC6" w14:textId="77777777" w:rsidR="00B06F08" w:rsidRDefault="00B06F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Minion Pro">
    <w:altName w:val="Minion Pro"/>
    <w:panose1 w:val="00000000000000000000"/>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33B62" w14:textId="77777777" w:rsidR="00966EC5" w:rsidRDefault="00966EC5" w:rsidP="00966EC5">
    <w:pPr>
      <w:pStyle w:val="Footer"/>
      <w:ind w:firstLine="360"/>
    </w:pPr>
    <w:r>
      <w:rPr>
        <w:noProof/>
      </w:rPr>
      <mc:AlternateContent>
        <mc:Choice Requires="wps">
          <w:drawing>
            <wp:anchor distT="0" distB="0" distL="114300" distR="114300" simplePos="0" relativeHeight="251678720" behindDoc="0" locked="0" layoutInCell="1" allowOverlap="1" wp14:anchorId="586B679D" wp14:editId="2B72E13B">
              <wp:simplePos x="0" y="0"/>
              <wp:positionH relativeFrom="column">
                <wp:posOffset>-3189767</wp:posOffset>
              </wp:positionH>
              <wp:positionV relativeFrom="paragraph">
                <wp:posOffset>-45661</wp:posOffset>
              </wp:positionV>
              <wp:extent cx="797441" cy="435935"/>
              <wp:effectExtent l="0" t="0" r="15875" b="8890"/>
              <wp:wrapNone/>
              <wp:docPr id="27" name="Rectangle 27"/>
              <wp:cNvGraphicFramePr/>
              <a:graphic xmlns:a="http://schemas.openxmlformats.org/drawingml/2006/main">
                <a:graphicData uri="http://schemas.microsoft.com/office/word/2010/wordprocessingShape">
                  <wps:wsp>
                    <wps:cNvSpPr/>
                    <wps:spPr>
                      <a:xfrm>
                        <a:off x="0" y="0"/>
                        <a:ext cx="797441" cy="435935"/>
                      </a:xfrm>
                      <a:prstGeom prst="rect">
                        <a:avLst/>
                      </a:prstGeom>
                      <a:solidFill>
                        <a:srgbClr val="1F265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2D2769" id="Rectangle 27" o:spid="_x0000_s1026" style="position:absolute;margin-left:-251.15pt;margin-top:-3.6pt;width:62.8pt;height:34.3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" fillcolor="#1f2657" strokecolor="#1f3763 [1604]" strokeweight="1pt"/>
          </w:pict>
        </mc:Fallback>
      </mc:AlternateContent>
    </w:r>
  </w:p>
  <w:sdt>
    <w:sdtPr>
      <w:rPr>
        <w:rStyle w:val="PageNumber"/>
      </w:rPr>
      <w:id w:val="1438648388"/>
      <w:docPartObj>
        <w:docPartGallery w:val="Page Numbers (Bottom of Page)"/>
        <w:docPartUnique/>
      </w:docPartObj>
    </w:sdtPr>
    <w:sdtContent>
      <w:p w14:paraId="73F9DA51" w14:textId="77777777" w:rsidR="00970653" w:rsidRDefault="00970653" w:rsidP="00970653">
        <w:pPr>
          <w:pStyle w:val="Footer"/>
          <w:framePr w:wrap="none" w:vAnchor="text" w:hAnchor="page" w:x="424" w:y="50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3394CB6" w14:textId="77777777" w:rsidR="00EA747E" w:rsidRDefault="00BE4172">
    <w:r>
      <w:rPr>
        <w:noProof/>
      </w:rPr>
      <mc:AlternateContent>
        <mc:Choice Requires="wps">
          <w:drawing>
            <wp:anchor distT="0" distB="0" distL="114300" distR="114300" simplePos="0" relativeHeight="251680768" behindDoc="0" locked="0" layoutInCell="1" allowOverlap="1" wp14:anchorId="71375D30" wp14:editId="73FEE296">
              <wp:simplePos x="0" y="0"/>
              <wp:positionH relativeFrom="column">
                <wp:posOffset>-69850</wp:posOffset>
              </wp:positionH>
              <wp:positionV relativeFrom="paragraph">
                <wp:posOffset>260751</wp:posOffset>
              </wp:positionV>
              <wp:extent cx="4795283" cy="244548"/>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795283" cy="244548"/>
                      </a:xfrm>
                      <a:prstGeom prst="rect">
                        <a:avLst/>
                      </a:prstGeom>
                      <a:noFill/>
                      <a:ln w="6350">
                        <a:noFill/>
                      </a:ln>
                    </wps:spPr>
                    <wps:txbx>
                      <w:txbxContent>
                        <w:p w14:paraId="4D03635E" w14:textId="77777777" w:rsidR="00BE4172" w:rsidRPr="00966EC5" w:rsidRDefault="00BE4172" w:rsidP="00BE4172">
                          <w:pPr>
                            <w:pStyle w:val="Footer"/>
                          </w:pPr>
                          <w:r w:rsidRPr="00966EC5">
                            <w:t>EI  |  CLIMATE, JOBS, AND PROSPERITY: AN AMERICAN STRATEGY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1375D30" id="_x0000_t202" coordsize="21600,21600" o:spt="202" path="m,l,21600r21600,l21600,xe">
              <v:stroke joinstyle="miter"/>
              <v:path gradientshapeok="t" o:connecttype="rect"/>
            </v:shapetype>
            <v:shape id="Text Box 28" o:spid="_x0000_s1026" type="#_x0000_t202" style="position:absolute;left:0;text-align:left;margin-left:-5.5pt;margin-top:20.55pt;width:377.6pt;height:19.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" filled="f" stroked="f" strokeweight=".5pt">
              <v:textbox>
                <w:txbxContent>
                  <w:p w14:paraId="4D03635E" w14:textId="77777777" w:rsidR="00BE4172" w:rsidRPr="00966EC5" w:rsidRDefault="00BE4172" w:rsidP="00BE4172">
                    <w:pPr>
                      <w:pStyle w:val="Footer"/>
                    </w:pPr>
                    <w:r w:rsidRPr="00966EC5">
                      <w:t>EI  |  CLIMATE, JOBS, AND PROSPERITY: AN AMERICAN STRATEGY</w:t>
                    </w:r>
                  </w:p>
                </w:txbxContent>
              </v:textbox>
            </v:shape>
          </w:pict>
        </mc:Fallback>
      </mc:AlternateContent>
    </w:r>
    <w:r>
      <w:rPr>
        <w:noProof/>
      </w:rPr>
      <w:drawing>
        <wp:anchor distT="0" distB="0" distL="114300" distR="114300" simplePos="0" relativeHeight="251681792" behindDoc="1" locked="0" layoutInCell="1" allowOverlap="1" wp14:anchorId="144780EB" wp14:editId="1629648E">
          <wp:simplePos x="0" y="0"/>
          <wp:positionH relativeFrom="column">
            <wp:posOffset>-1153160</wp:posOffset>
          </wp:positionH>
          <wp:positionV relativeFrom="paragraph">
            <wp:posOffset>48260</wp:posOffset>
          </wp:positionV>
          <wp:extent cx="7772400" cy="635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
                    <a:extLst>
                      <a:ext uri="{28A0092B-C50C-407E-A947-70E740481C1C}">
                        <a14:useLocalDpi xmlns:a14="http://schemas.microsoft.com/office/drawing/2010/main" val="0"/>
                      </a:ext>
                    </a:extLst>
                  </a:blip>
                  <a:stretch>
                    <a:fillRect/>
                  </a:stretch>
                </pic:blipFill>
                <pic:spPr>
                  <a:xfrm>
                    <a:off x="0" y="0"/>
                    <a:ext cx="7772400" cy="6350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60FAF" w14:textId="77777777" w:rsidR="00B06F08" w:rsidRDefault="00B06F08" w:rsidP="00A2625B">
      <w:pPr>
        <w:spacing w:after="0" w:line="240" w:lineRule="auto"/>
      </w:pPr>
      <w:r>
        <w:separator/>
      </w:r>
    </w:p>
    <w:p w14:paraId="01B4896A" w14:textId="77777777" w:rsidR="00B06F08" w:rsidRDefault="00B06F08"/>
  </w:footnote>
  <w:footnote w:type="continuationSeparator" w:id="0">
    <w:p w14:paraId="09E4E3BC" w14:textId="77777777" w:rsidR="00B06F08" w:rsidRDefault="00B06F08" w:rsidP="00A2625B">
      <w:pPr>
        <w:spacing w:after="0" w:line="240" w:lineRule="auto"/>
      </w:pPr>
      <w:r>
        <w:continuationSeparator/>
      </w:r>
    </w:p>
    <w:p w14:paraId="2D014AC7" w14:textId="77777777" w:rsidR="00B06F08" w:rsidRDefault="00B06F08"/>
  </w:footnote>
  <w:footnote w:id="1">
    <w:p w14:paraId="0B21D282" w14:textId="7A53E905" w:rsidR="004A194D" w:rsidRDefault="004A194D">
      <w:pPr>
        <w:pStyle w:val="FootnoteText"/>
      </w:pPr>
      <w:r>
        <w:rPr>
          <w:rStyle w:val="FootnoteReference"/>
        </w:rPr>
        <w:footnoteRef/>
      </w:r>
      <w:r>
        <w:t xml:space="preserve"> Based on the 2017 LBNL study that Sequoia shared with Energy Innovation</w:t>
      </w:r>
      <w:r w:rsidR="00C0104D">
        <w:t>. See supporting information.</w:t>
      </w:r>
    </w:p>
  </w:footnote>
  <w:footnote w:id="2">
    <w:p w14:paraId="0034ED26" w14:textId="391B21B9" w:rsidR="004A194D" w:rsidRDefault="004A194D">
      <w:pPr>
        <w:pStyle w:val="FootnoteText"/>
      </w:pPr>
      <w:r>
        <w:rPr>
          <w:rStyle w:val="FootnoteReference"/>
        </w:rPr>
        <w:footnoteRef/>
      </w:r>
      <w:r>
        <w:t xml:space="preserve"> </w:t>
      </w:r>
      <w:r w:rsidR="00C0104D">
        <w:t>See supporting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3A3F8" w14:textId="4DCF80EA" w:rsidR="00A05ED1" w:rsidRDefault="00A05ED1" w:rsidP="00A05ED1">
    <w:pPr>
      <w:jc w:val="right"/>
    </w:pPr>
    <w:r>
      <w:t>Prepared by Energy Innovation</w:t>
    </w:r>
  </w:p>
  <w:p w14:paraId="2C9174F7" w14:textId="3C8C2CD0" w:rsidR="00A05ED1" w:rsidRDefault="00A05ED1" w:rsidP="00A05ED1">
    <w:pPr>
      <w:jc w:val="right"/>
    </w:pPr>
    <w:r>
      <w:t>July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3735C"/>
    <w:multiLevelType w:val="hybridMultilevel"/>
    <w:tmpl w:val="A8985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F655D"/>
    <w:multiLevelType w:val="hybridMultilevel"/>
    <w:tmpl w:val="EA2C2D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D7024B"/>
    <w:multiLevelType w:val="hybridMultilevel"/>
    <w:tmpl w:val="597C42F6"/>
    <w:lvl w:ilvl="0" w:tplc="749C1B66">
      <w:start w:val="1"/>
      <w:numFmt w:val="bullet"/>
      <w:lvlText w:val=""/>
      <w:lvlJc w:val="left"/>
      <w:pPr>
        <w:ind w:left="504" w:hanging="14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757FBA"/>
    <w:multiLevelType w:val="hybridMultilevel"/>
    <w:tmpl w:val="A6160304"/>
    <w:lvl w:ilvl="0" w:tplc="F58A310C">
      <w:start w:val="1"/>
      <w:numFmt w:val="bullet"/>
      <w:pStyle w:val="BulletedList"/>
      <w:lvlText w:val=""/>
      <w:lvlJc w:val="left"/>
      <w:pPr>
        <w:ind w:left="1296" w:hanging="216"/>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1620F8C"/>
    <w:multiLevelType w:val="hybridMultilevel"/>
    <w:tmpl w:val="39AA78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A96984"/>
    <w:multiLevelType w:val="hybridMultilevel"/>
    <w:tmpl w:val="6E0C54E0"/>
    <w:lvl w:ilvl="0" w:tplc="832245C2">
      <w:start w:val="1"/>
      <w:numFmt w:val="bullet"/>
      <w:lvlText w:val=""/>
      <w:lvlJc w:val="left"/>
      <w:pPr>
        <w:ind w:left="576" w:hanging="216"/>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AC7E87"/>
    <w:multiLevelType w:val="hybridMultilevel"/>
    <w:tmpl w:val="CABC0BD6"/>
    <w:lvl w:ilvl="0" w:tplc="27AAEA72">
      <w:start w:val="1"/>
      <w:numFmt w:val="bullet"/>
      <w:lvlText w:val=""/>
      <w:lvlJc w:val="left"/>
      <w:pPr>
        <w:ind w:left="648" w:hanging="288"/>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917C18"/>
    <w:multiLevelType w:val="hybridMultilevel"/>
    <w:tmpl w:val="D1CE5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8444542">
    <w:abstractNumId w:val="7"/>
  </w:num>
  <w:num w:numId="2" w16cid:durableId="1980183786">
    <w:abstractNumId w:val="0"/>
  </w:num>
  <w:num w:numId="3" w16cid:durableId="1628854582">
    <w:abstractNumId w:val="1"/>
  </w:num>
  <w:num w:numId="4" w16cid:durableId="686324427">
    <w:abstractNumId w:val="4"/>
  </w:num>
  <w:num w:numId="5" w16cid:durableId="642152828">
    <w:abstractNumId w:val="2"/>
  </w:num>
  <w:num w:numId="6" w16cid:durableId="1525440419">
    <w:abstractNumId w:val="6"/>
  </w:num>
  <w:num w:numId="7" w16cid:durableId="1327510678">
    <w:abstractNumId w:val="5"/>
  </w:num>
  <w:num w:numId="8" w16cid:durableId="20597453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255"/>
    <w:rsid w:val="00012C1C"/>
    <w:rsid w:val="000628E3"/>
    <w:rsid w:val="00066A6F"/>
    <w:rsid w:val="000D3BBF"/>
    <w:rsid w:val="00104440"/>
    <w:rsid w:val="001157F1"/>
    <w:rsid w:val="00172D00"/>
    <w:rsid w:val="00185153"/>
    <w:rsid w:val="001A0692"/>
    <w:rsid w:val="001B0E36"/>
    <w:rsid w:val="001B53CC"/>
    <w:rsid w:val="001D4AED"/>
    <w:rsid w:val="0020090F"/>
    <w:rsid w:val="00263173"/>
    <w:rsid w:val="00265255"/>
    <w:rsid w:val="00302B9A"/>
    <w:rsid w:val="00310322"/>
    <w:rsid w:val="00384B08"/>
    <w:rsid w:val="00386612"/>
    <w:rsid w:val="00463CE1"/>
    <w:rsid w:val="0048160D"/>
    <w:rsid w:val="004A194D"/>
    <w:rsid w:val="00506D66"/>
    <w:rsid w:val="00527FF5"/>
    <w:rsid w:val="005448A2"/>
    <w:rsid w:val="00563841"/>
    <w:rsid w:val="00587621"/>
    <w:rsid w:val="00594D07"/>
    <w:rsid w:val="005E5CE6"/>
    <w:rsid w:val="0060537D"/>
    <w:rsid w:val="0062596D"/>
    <w:rsid w:val="006439D7"/>
    <w:rsid w:val="00661D7A"/>
    <w:rsid w:val="00675793"/>
    <w:rsid w:val="00682656"/>
    <w:rsid w:val="00690B70"/>
    <w:rsid w:val="00695DAC"/>
    <w:rsid w:val="006C7EEE"/>
    <w:rsid w:val="006D22C6"/>
    <w:rsid w:val="0073634B"/>
    <w:rsid w:val="0075587C"/>
    <w:rsid w:val="00764420"/>
    <w:rsid w:val="0078079C"/>
    <w:rsid w:val="00787A4F"/>
    <w:rsid w:val="00794BC0"/>
    <w:rsid w:val="007C2E5F"/>
    <w:rsid w:val="00814DAA"/>
    <w:rsid w:val="0084487E"/>
    <w:rsid w:val="0086129A"/>
    <w:rsid w:val="00874858"/>
    <w:rsid w:val="008A6C25"/>
    <w:rsid w:val="008B469C"/>
    <w:rsid w:val="008C67F0"/>
    <w:rsid w:val="008C7997"/>
    <w:rsid w:val="008D5961"/>
    <w:rsid w:val="00933193"/>
    <w:rsid w:val="00966EC5"/>
    <w:rsid w:val="00967633"/>
    <w:rsid w:val="00970653"/>
    <w:rsid w:val="009E659A"/>
    <w:rsid w:val="00A02211"/>
    <w:rsid w:val="00A0300C"/>
    <w:rsid w:val="00A05ED1"/>
    <w:rsid w:val="00A2625B"/>
    <w:rsid w:val="00A56947"/>
    <w:rsid w:val="00A57EB2"/>
    <w:rsid w:val="00AB6920"/>
    <w:rsid w:val="00AE349C"/>
    <w:rsid w:val="00B06F08"/>
    <w:rsid w:val="00B373E6"/>
    <w:rsid w:val="00B70539"/>
    <w:rsid w:val="00B76984"/>
    <w:rsid w:val="00BC424B"/>
    <w:rsid w:val="00BE4172"/>
    <w:rsid w:val="00C0104D"/>
    <w:rsid w:val="00C20821"/>
    <w:rsid w:val="00C42047"/>
    <w:rsid w:val="00C54F85"/>
    <w:rsid w:val="00C7696A"/>
    <w:rsid w:val="00C8150D"/>
    <w:rsid w:val="00CA54E1"/>
    <w:rsid w:val="00D01948"/>
    <w:rsid w:val="00D33EF8"/>
    <w:rsid w:val="00D82E20"/>
    <w:rsid w:val="00D92278"/>
    <w:rsid w:val="00DA5C63"/>
    <w:rsid w:val="00DC6554"/>
    <w:rsid w:val="00E15238"/>
    <w:rsid w:val="00E32020"/>
    <w:rsid w:val="00E33BFC"/>
    <w:rsid w:val="00E35769"/>
    <w:rsid w:val="00E67325"/>
    <w:rsid w:val="00E77D38"/>
    <w:rsid w:val="00E8447C"/>
    <w:rsid w:val="00EA0886"/>
    <w:rsid w:val="00EA25CB"/>
    <w:rsid w:val="00EA50EF"/>
    <w:rsid w:val="00EA6016"/>
    <w:rsid w:val="00EA747E"/>
    <w:rsid w:val="00EE4B9F"/>
    <w:rsid w:val="00EE5CC8"/>
    <w:rsid w:val="00F201EE"/>
    <w:rsid w:val="00F57D5A"/>
    <w:rsid w:val="00FE0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1B47C2"/>
  <w15:chartTrackingRefBased/>
  <w15:docId w15:val="{8900AB0C-0E50-43E8-8A65-2331ABEE8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47C"/>
    <w:pPr>
      <w:autoSpaceDE w:val="0"/>
      <w:autoSpaceDN w:val="0"/>
      <w:adjustRightInd w:val="0"/>
      <w:spacing w:after="90" w:line="280" w:lineRule="atLeast"/>
      <w:jc w:val="both"/>
      <w:textAlignment w:val="center"/>
    </w:pPr>
    <w:rPr>
      <w:rFonts w:ascii="Calibri Light" w:hAnsi="Calibri Light" w:cs="Century Gothic"/>
      <w:color w:val="000000"/>
      <w:sz w:val="22"/>
      <w:szCs w:val="20"/>
    </w:rPr>
  </w:style>
  <w:style w:type="paragraph" w:styleId="Heading1">
    <w:name w:val="heading 1"/>
    <w:next w:val="Normal"/>
    <w:link w:val="Heading1Char"/>
    <w:uiPriority w:val="9"/>
    <w:qFormat/>
    <w:rsid w:val="0060537D"/>
    <w:pPr>
      <w:tabs>
        <w:tab w:val="left" w:pos="199"/>
        <w:tab w:val="left" w:pos="440"/>
      </w:tabs>
      <w:suppressAutoHyphens/>
      <w:spacing w:before="450" w:after="180" w:line="288" w:lineRule="auto"/>
      <w:outlineLvl w:val="0"/>
    </w:pPr>
    <w:rPr>
      <w:rFonts w:ascii="Century Gothic" w:hAnsi="Century Gothic" w:cs="Century Gothic"/>
      <w:b/>
      <w:bCs/>
      <w:caps/>
      <w:color w:val="F7931D"/>
      <w:spacing w:val="2"/>
      <w:sz w:val="22"/>
    </w:rPr>
  </w:style>
  <w:style w:type="paragraph" w:styleId="Heading2">
    <w:name w:val="heading 2"/>
    <w:basedOn w:val="Normal"/>
    <w:next w:val="Normal"/>
    <w:link w:val="Heading2Char"/>
    <w:autoRedefine/>
    <w:uiPriority w:val="9"/>
    <w:unhideWhenUsed/>
    <w:qFormat/>
    <w:rsid w:val="008D5961"/>
    <w:pPr>
      <w:tabs>
        <w:tab w:val="left" w:pos="199"/>
        <w:tab w:val="left" w:pos="440"/>
      </w:tabs>
      <w:suppressAutoHyphens/>
      <w:spacing w:before="360" w:after="180"/>
      <w:jc w:val="left"/>
      <w:outlineLvl w:val="1"/>
    </w:pPr>
    <w:rPr>
      <w:rFonts w:ascii="Century Gothic" w:hAnsi="Century Gothic"/>
      <w:b/>
      <w:bCs/>
      <w:noProof/>
      <w:color w:val="2A356B"/>
      <w:spacing w:val="4"/>
      <w:sz w:val="20"/>
    </w:rPr>
  </w:style>
  <w:style w:type="paragraph" w:styleId="Heading3">
    <w:name w:val="heading 3"/>
    <w:basedOn w:val="Normal"/>
    <w:next w:val="Normal"/>
    <w:link w:val="Heading3Char"/>
    <w:uiPriority w:val="9"/>
    <w:unhideWhenUsed/>
    <w:qFormat/>
    <w:rsid w:val="006439D7"/>
    <w:pPr>
      <w:keepNext/>
      <w:keepLines/>
      <w:spacing w:before="360" w:after="20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6439D7"/>
    <w:pPr>
      <w:keepNext/>
      <w:keepLines/>
      <w:spacing w:before="240" w:after="120"/>
      <w:outlineLvl w:val="3"/>
    </w:pPr>
    <w:rPr>
      <w:rFonts w:eastAsiaTheme="majorEastAsia" w:cstheme="majorBidi"/>
      <w:i/>
      <w:iCs/>
      <w:color w:val="3B3838" w:themeColor="background2" w:themeShade="40"/>
    </w:rPr>
  </w:style>
  <w:style w:type="paragraph" w:styleId="Heading5">
    <w:name w:val="heading 5"/>
    <w:basedOn w:val="Normal"/>
    <w:next w:val="Normal"/>
    <w:link w:val="Heading5Char"/>
    <w:uiPriority w:val="9"/>
    <w:unhideWhenUsed/>
    <w:rsid w:val="006439D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rsid w:val="00D0194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37D"/>
    <w:rPr>
      <w:rFonts w:ascii="Century Gothic" w:hAnsi="Century Gothic" w:cs="Century Gothic"/>
      <w:b/>
      <w:bCs/>
      <w:caps/>
      <w:color w:val="F7931D"/>
      <w:spacing w:val="2"/>
      <w:sz w:val="22"/>
    </w:rPr>
  </w:style>
  <w:style w:type="paragraph" w:styleId="Title">
    <w:name w:val="Title"/>
    <w:next w:val="Normal"/>
    <w:link w:val="TitleChar"/>
    <w:uiPriority w:val="10"/>
    <w:qFormat/>
    <w:rsid w:val="0073634B"/>
    <w:pPr>
      <w:contextualSpacing/>
    </w:pPr>
    <w:rPr>
      <w:rFonts w:ascii="Century Gothic" w:eastAsiaTheme="majorEastAsia" w:hAnsi="Century Gothic" w:cstheme="majorBidi"/>
      <w:color w:val="1F2657"/>
      <w:spacing w:val="-10"/>
      <w:kern w:val="28"/>
      <w:sz w:val="56"/>
      <w:szCs w:val="56"/>
    </w:rPr>
  </w:style>
  <w:style w:type="character" w:customStyle="1" w:styleId="TitleChar">
    <w:name w:val="Title Char"/>
    <w:basedOn w:val="DefaultParagraphFont"/>
    <w:link w:val="Title"/>
    <w:uiPriority w:val="10"/>
    <w:rsid w:val="0073634B"/>
    <w:rPr>
      <w:rFonts w:ascii="Century Gothic" w:eastAsiaTheme="majorEastAsia" w:hAnsi="Century Gothic" w:cstheme="majorBidi"/>
      <w:color w:val="1F2657"/>
      <w:spacing w:val="-10"/>
      <w:kern w:val="28"/>
      <w:sz w:val="56"/>
      <w:szCs w:val="56"/>
    </w:rPr>
  </w:style>
  <w:style w:type="character" w:customStyle="1" w:styleId="Heading3Char">
    <w:name w:val="Heading 3 Char"/>
    <w:basedOn w:val="DefaultParagraphFont"/>
    <w:link w:val="Heading3"/>
    <w:uiPriority w:val="9"/>
    <w:rsid w:val="006439D7"/>
    <w:rPr>
      <w:rFonts w:ascii="Century Gothic" w:eastAsiaTheme="majorEastAsia" w:hAnsi="Century Gothic" w:cstheme="majorBidi"/>
      <w:color w:val="1F3763" w:themeColor="accent1" w:themeShade="7F"/>
      <w:sz w:val="20"/>
      <w:szCs w:val="20"/>
    </w:rPr>
  </w:style>
  <w:style w:type="paragraph" w:styleId="Subtitle">
    <w:name w:val="Subtitle"/>
    <w:basedOn w:val="Normal"/>
    <w:next w:val="Normal"/>
    <w:link w:val="SubtitleChar"/>
    <w:uiPriority w:val="11"/>
    <w:qFormat/>
    <w:rsid w:val="00A2625B"/>
    <w:pPr>
      <w:suppressAutoHyphens/>
      <w:spacing w:before="240" w:after="270" w:line="288" w:lineRule="auto"/>
    </w:pPr>
  </w:style>
  <w:style w:type="character" w:customStyle="1" w:styleId="SubtitleChar">
    <w:name w:val="Subtitle Char"/>
    <w:basedOn w:val="DefaultParagraphFont"/>
    <w:link w:val="Subtitle"/>
    <w:uiPriority w:val="11"/>
    <w:rsid w:val="00A2625B"/>
    <w:rPr>
      <w:rFonts w:ascii="Century Gothic" w:hAnsi="Century Gothic" w:cs="Century Gothic"/>
      <w:color w:val="000000"/>
      <w:sz w:val="20"/>
      <w:szCs w:val="20"/>
    </w:rPr>
  </w:style>
  <w:style w:type="character" w:customStyle="1" w:styleId="Heading4Char">
    <w:name w:val="Heading 4 Char"/>
    <w:basedOn w:val="DefaultParagraphFont"/>
    <w:link w:val="Heading4"/>
    <w:uiPriority w:val="9"/>
    <w:rsid w:val="006439D7"/>
    <w:rPr>
      <w:rFonts w:ascii="Century Gothic" w:eastAsiaTheme="majorEastAsia" w:hAnsi="Century Gothic" w:cstheme="majorBidi"/>
      <w:i/>
      <w:iCs/>
      <w:color w:val="3B3838" w:themeColor="background2" w:themeShade="40"/>
      <w:sz w:val="20"/>
      <w:szCs w:val="20"/>
    </w:rPr>
  </w:style>
  <w:style w:type="character" w:styleId="Strong">
    <w:name w:val="Strong"/>
    <w:uiPriority w:val="22"/>
    <w:rsid w:val="00A56947"/>
    <w:rPr>
      <w:b/>
      <w:bCs/>
    </w:rPr>
  </w:style>
  <w:style w:type="character" w:styleId="UnresolvedMention">
    <w:name w:val="Unresolved Mention"/>
    <w:basedOn w:val="DefaultParagraphFont"/>
    <w:uiPriority w:val="99"/>
    <w:semiHidden/>
    <w:unhideWhenUsed/>
    <w:rsid w:val="00B373E6"/>
    <w:rPr>
      <w:color w:val="605E5C"/>
      <w:shd w:val="clear" w:color="auto" w:fill="E1DFDD"/>
    </w:rPr>
  </w:style>
  <w:style w:type="character" w:styleId="FollowedHyperlink">
    <w:name w:val="FollowedHyperlink"/>
    <w:basedOn w:val="DefaultParagraphFont"/>
    <w:uiPriority w:val="99"/>
    <w:semiHidden/>
    <w:unhideWhenUsed/>
    <w:rsid w:val="00B373E6"/>
    <w:rPr>
      <w:color w:val="954F72" w:themeColor="followedHyperlink"/>
      <w:u w:val="single"/>
    </w:rPr>
  </w:style>
  <w:style w:type="character" w:styleId="PageNumber">
    <w:name w:val="page number"/>
    <w:basedOn w:val="DefaultParagraphFont"/>
    <w:uiPriority w:val="99"/>
    <w:semiHidden/>
    <w:unhideWhenUsed/>
    <w:rsid w:val="00A2625B"/>
  </w:style>
  <w:style w:type="character" w:customStyle="1" w:styleId="Heading2Char">
    <w:name w:val="Heading 2 Char"/>
    <w:basedOn w:val="DefaultParagraphFont"/>
    <w:link w:val="Heading2"/>
    <w:uiPriority w:val="9"/>
    <w:rsid w:val="008D5961"/>
    <w:rPr>
      <w:rFonts w:ascii="Century Gothic" w:hAnsi="Century Gothic" w:cs="Century Gothic"/>
      <w:b/>
      <w:bCs/>
      <w:noProof/>
      <w:color w:val="2A356B"/>
      <w:spacing w:val="4"/>
      <w:sz w:val="20"/>
      <w:szCs w:val="20"/>
    </w:rPr>
  </w:style>
  <w:style w:type="paragraph" w:styleId="ListParagraph">
    <w:name w:val="List Paragraph"/>
    <w:basedOn w:val="Normal"/>
    <w:uiPriority w:val="34"/>
    <w:qFormat/>
    <w:rsid w:val="00302B9A"/>
    <w:pPr>
      <w:ind w:left="720"/>
      <w:contextualSpacing/>
    </w:pPr>
  </w:style>
  <w:style w:type="character" w:styleId="SubtleEmphasis">
    <w:name w:val="Subtle Emphasis"/>
    <w:basedOn w:val="DefaultParagraphFont"/>
    <w:uiPriority w:val="19"/>
    <w:rsid w:val="00A56947"/>
    <w:rPr>
      <w:i/>
      <w:iCs/>
      <w:color w:val="404040" w:themeColor="text1" w:themeTint="BF"/>
    </w:rPr>
  </w:style>
  <w:style w:type="paragraph" w:customStyle="1" w:styleId="BulletedList">
    <w:name w:val="Bulleted List"/>
    <w:basedOn w:val="Normal"/>
    <w:autoRedefine/>
    <w:qFormat/>
    <w:rsid w:val="00874858"/>
    <w:pPr>
      <w:numPr>
        <w:numId w:val="8"/>
      </w:numPr>
      <w:ind w:left="540" w:hanging="180"/>
    </w:pPr>
    <w:rPr>
      <w:rFonts w:asciiTheme="majorHAnsi" w:hAnsiTheme="majorHAnsi"/>
    </w:rPr>
  </w:style>
  <w:style w:type="paragraph" w:styleId="FootnoteText">
    <w:name w:val="footnote text"/>
    <w:basedOn w:val="Normal"/>
    <w:link w:val="FootnoteTextChar"/>
    <w:uiPriority w:val="99"/>
    <w:semiHidden/>
    <w:unhideWhenUsed/>
    <w:rsid w:val="00874858"/>
    <w:pPr>
      <w:spacing w:after="0" w:line="240" w:lineRule="auto"/>
    </w:pPr>
    <w:rPr>
      <w:sz w:val="20"/>
    </w:rPr>
  </w:style>
  <w:style w:type="character" w:customStyle="1" w:styleId="Heading5Char">
    <w:name w:val="Heading 5 Char"/>
    <w:basedOn w:val="DefaultParagraphFont"/>
    <w:link w:val="Heading5"/>
    <w:uiPriority w:val="9"/>
    <w:rsid w:val="006439D7"/>
    <w:rPr>
      <w:rFonts w:asciiTheme="majorHAnsi" w:eastAsiaTheme="majorEastAsia" w:hAnsiTheme="majorHAnsi" w:cstheme="majorBidi"/>
      <w:color w:val="2F5496" w:themeColor="accent1" w:themeShade="BF"/>
      <w:sz w:val="20"/>
      <w:szCs w:val="20"/>
    </w:rPr>
  </w:style>
  <w:style w:type="table" w:customStyle="1" w:styleId="EITable">
    <w:name w:val="EI Table"/>
    <w:basedOn w:val="TableNormal"/>
    <w:uiPriority w:val="99"/>
    <w:rsid w:val="0048160D"/>
    <w:tblPr>
      <w:tblBorders>
        <w:insideH w:val="single" w:sz="4" w:space="0" w:color="A5A5A5"/>
      </w:tblBorders>
    </w:tblPr>
  </w:style>
  <w:style w:type="character" w:customStyle="1" w:styleId="Heading6Char">
    <w:name w:val="Heading 6 Char"/>
    <w:basedOn w:val="DefaultParagraphFont"/>
    <w:link w:val="Heading6"/>
    <w:uiPriority w:val="9"/>
    <w:rsid w:val="00D01948"/>
    <w:rPr>
      <w:rFonts w:asciiTheme="majorHAnsi" w:eastAsiaTheme="majorEastAsia" w:hAnsiTheme="majorHAnsi" w:cstheme="majorBidi"/>
      <w:color w:val="1F3763" w:themeColor="accent1" w:themeShade="7F"/>
      <w:sz w:val="20"/>
      <w:szCs w:val="20"/>
    </w:rPr>
  </w:style>
  <w:style w:type="paragraph" w:styleId="Header">
    <w:name w:val="header"/>
    <w:basedOn w:val="Title"/>
    <w:link w:val="HeaderChar"/>
    <w:uiPriority w:val="99"/>
    <w:unhideWhenUsed/>
    <w:rsid w:val="00066A6F"/>
  </w:style>
  <w:style w:type="character" w:customStyle="1" w:styleId="HeaderChar">
    <w:name w:val="Header Char"/>
    <w:basedOn w:val="DefaultParagraphFont"/>
    <w:link w:val="Header"/>
    <w:uiPriority w:val="99"/>
    <w:rsid w:val="00066A6F"/>
    <w:rPr>
      <w:rFonts w:ascii="Century Gothic" w:eastAsiaTheme="majorEastAsia" w:hAnsi="Century Gothic" w:cstheme="majorBidi"/>
      <w:color w:val="1F2657"/>
      <w:spacing w:val="-10"/>
      <w:kern w:val="28"/>
      <w:sz w:val="56"/>
      <w:szCs w:val="56"/>
    </w:rPr>
  </w:style>
  <w:style w:type="paragraph" w:styleId="Footer">
    <w:name w:val="footer"/>
    <w:link w:val="FooterChar"/>
    <w:autoRedefine/>
    <w:uiPriority w:val="99"/>
    <w:unhideWhenUsed/>
    <w:qFormat/>
    <w:rsid w:val="00966EC5"/>
    <w:pPr>
      <w:tabs>
        <w:tab w:val="center" w:pos="4680"/>
        <w:tab w:val="right" w:pos="9360"/>
      </w:tabs>
    </w:pPr>
    <w:rPr>
      <w:rFonts w:ascii="Century Gothic" w:hAnsi="Century Gothic" w:cs="Century Gothic"/>
      <w:color w:val="BFBFBF" w:themeColor="background1" w:themeShade="BF"/>
      <w:sz w:val="16"/>
      <w:szCs w:val="16"/>
    </w:rPr>
  </w:style>
  <w:style w:type="character" w:customStyle="1" w:styleId="FooterChar">
    <w:name w:val="Footer Char"/>
    <w:basedOn w:val="DefaultParagraphFont"/>
    <w:link w:val="Footer"/>
    <w:uiPriority w:val="99"/>
    <w:rsid w:val="00966EC5"/>
    <w:rPr>
      <w:rFonts w:ascii="Century Gothic" w:hAnsi="Century Gothic" w:cs="Century Gothic"/>
      <w:color w:val="BFBFBF" w:themeColor="background1" w:themeShade="BF"/>
      <w:sz w:val="16"/>
      <w:szCs w:val="16"/>
    </w:rPr>
  </w:style>
  <w:style w:type="character" w:styleId="Hyperlink">
    <w:name w:val="Hyperlink"/>
    <w:basedOn w:val="DefaultParagraphFont"/>
    <w:uiPriority w:val="99"/>
    <w:rsid w:val="00B373E6"/>
    <w:rPr>
      <w:color w:val="1F2657"/>
    </w:rPr>
  </w:style>
  <w:style w:type="character" w:customStyle="1" w:styleId="FootnoteTextChar">
    <w:name w:val="Footnote Text Char"/>
    <w:basedOn w:val="DefaultParagraphFont"/>
    <w:link w:val="FootnoteText"/>
    <w:uiPriority w:val="99"/>
    <w:semiHidden/>
    <w:rsid w:val="00874858"/>
    <w:rPr>
      <w:rFonts w:ascii="Calibri Light" w:hAnsi="Calibri Light" w:cs="Century Gothic"/>
      <w:color w:val="000000"/>
      <w:sz w:val="20"/>
      <w:szCs w:val="20"/>
    </w:rPr>
  </w:style>
  <w:style w:type="character" w:styleId="FootnoteReference">
    <w:name w:val="footnote reference"/>
    <w:basedOn w:val="DefaultParagraphFont"/>
    <w:uiPriority w:val="99"/>
    <w:semiHidden/>
    <w:unhideWhenUsed/>
    <w:rsid w:val="00874858"/>
    <w:rPr>
      <w:vertAlign w:val="superscript"/>
    </w:rPr>
  </w:style>
  <w:style w:type="paragraph" w:styleId="EndnoteText">
    <w:name w:val="endnote text"/>
    <w:basedOn w:val="Normal"/>
    <w:link w:val="EndnoteTextChar"/>
    <w:uiPriority w:val="99"/>
    <w:semiHidden/>
    <w:unhideWhenUsed/>
    <w:rsid w:val="00B373E6"/>
    <w:pPr>
      <w:spacing w:after="0" w:line="240" w:lineRule="auto"/>
    </w:pPr>
    <w:rPr>
      <w:sz w:val="20"/>
    </w:rPr>
  </w:style>
  <w:style w:type="character" w:customStyle="1" w:styleId="EndnoteTextChar">
    <w:name w:val="Endnote Text Char"/>
    <w:basedOn w:val="DefaultParagraphFont"/>
    <w:link w:val="EndnoteText"/>
    <w:uiPriority w:val="99"/>
    <w:semiHidden/>
    <w:rsid w:val="00B373E6"/>
    <w:rPr>
      <w:rFonts w:ascii="Calibri Light" w:hAnsi="Calibri Light" w:cs="Century Gothic"/>
      <w:color w:val="000000"/>
      <w:sz w:val="20"/>
      <w:szCs w:val="20"/>
    </w:rPr>
  </w:style>
  <w:style w:type="character" w:styleId="EndnoteReference">
    <w:name w:val="endnote reference"/>
    <w:basedOn w:val="DefaultParagraphFont"/>
    <w:uiPriority w:val="99"/>
    <w:semiHidden/>
    <w:unhideWhenUsed/>
    <w:rsid w:val="00B373E6"/>
    <w:rPr>
      <w:vertAlign w:val="superscript"/>
    </w:rPr>
  </w:style>
  <w:style w:type="table" w:styleId="TableGrid">
    <w:name w:val="Table Grid"/>
    <w:basedOn w:val="TableNormal"/>
    <w:uiPriority w:val="39"/>
    <w:rsid w:val="00B373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etBody">
    <w:name w:val="Inset Body"/>
    <w:basedOn w:val="Normal"/>
    <w:autoRedefine/>
    <w:qFormat/>
    <w:rsid w:val="00B373E6"/>
    <w:pPr>
      <w:jc w:val="left"/>
    </w:pPr>
    <w:rPr>
      <w:color w:val="FFFFFF" w:themeColor="background1"/>
    </w:rPr>
  </w:style>
  <w:style w:type="paragraph" w:customStyle="1" w:styleId="Footnotes">
    <w:name w:val="Footnotes"/>
    <w:basedOn w:val="Normal"/>
    <w:uiPriority w:val="99"/>
    <w:rsid w:val="00695DAC"/>
    <w:pPr>
      <w:tabs>
        <w:tab w:val="left" w:pos="220"/>
      </w:tabs>
      <w:spacing w:after="0" w:line="180" w:lineRule="atLeast"/>
      <w:jc w:val="left"/>
    </w:pPr>
    <w:rPr>
      <w:rFonts w:asciiTheme="majorHAnsi" w:hAnsiTheme="majorHAnsi" w:cstheme="majorHAnsi"/>
      <w:color w:val="767171" w:themeColor="background2" w:themeShade="80"/>
      <w:sz w:val="16"/>
      <w:szCs w:val="16"/>
    </w:rPr>
  </w:style>
  <w:style w:type="paragraph" w:customStyle="1" w:styleId="BylineAuthorandDate">
    <w:name w:val="Byline (Author and Date)"/>
    <w:basedOn w:val="NoSpacing"/>
    <w:link w:val="BylineAuthorandDateChar"/>
    <w:qFormat/>
    <w:rsid w:val="0060537D"/>
    <w:pPr>
      <w:autoSpaceDE/>
      <w:autoSpaceDN/>
      <w:adjustRightInd/>
      <w:spacing w:before="240" w:after="120"/>
      <w:jc w:val="left"/>
      <w:textAlignment w:val="auto"/>
    </w:pPr>
    <w:rPr>
      <w:rFonts w:ascii="Century Gothic" w:hAnsi="Century Gothic" w:cstheme="minorBidi"/>
      <w:caps/>
      <w:color w:val="58585B"/>
      <w:sz w:val="20"/>
      <w:szCs w:val="24"/>
    </w:rPr>
  </w:style>
  <w:style w:type="character" w:customStyle="1" w:styleId="BylineAuthorandDateChar">
    <w:name w:val="Byline (Author and Date) Char"/>
    <w:basedOn w:val="DefaultParagraphFont"/>
    <w:link w:val="BylineAuthorandDate"/>
    <w:rsid w:val="0060537D"/>
    <w:rPr>
      <w:rFonts w:ascii="Century Gothic" w:eastAsiaTheme="minorEastAsia" w:hAnsi="Century Gothic"/>
      <w:caps/>
      <w:color w:val="58585B"/>
      <w:sz w:val="20"/>
    </w:rPr>
  </w:style>
  <w:style w:type="paragraph" w:styleId="NoSpacing">
    <w:name w:val="No Spacing"/>
    <w:link w:val="NoSpacingChar"/>
    <w:uiPriority w:val="1"/>
    <w:qFormat/>
    <w:rsid w:val="00764420"/>
    <w:pPr>
      <w:autoSpaceDE w:val="0"/>
      <w:autoSpaceDN w:val="0"/>
      <w:adjustRightInd w:val="0"/>
      <w:jc w:val="both"/>
      <w:textAlignment w:val="center"/>
    </w:pPr>
    <w:rPr>
      <w:rFonts w:ascii="Calibri Light" w:hAnsi="Calibri Light" w:cs="Century Gothic"/>
      <w:color w:val="000000"/>
      <w:sz w:val="22"/>
      <w:szCs w:val="20"/>
    </w:rPr>
  </w:style>
  <w:style w:type="paragraph" w:customStyle="1" w:styleId="NoParagraphStyle">
    <w:name w:val="[No Paragraph Style]"/>
    <w:rsid w:val="0073634B"/>
    <w:pPr>
      <w:autoSpaceDE w:val="0"/>
      <w:autoSpaceDN w:val="0"/>
      <w:adjustRightInd w:val="0"/>
      <w:spacing w:line="288" w:lineRule="auto"/>
      <w:textAlignment w:val="center"/>
    </w:pPr>
    <w:rPr>
      <w:rFonts w:ascii="Minion Pro" w:hAnsi="Minion Pro" w:cs="Minion Pro"/>
      <w:color w:val="000000"/>
    </w:rPr>
  </w:style>
  <w:style w:type="paragraph" w:customStyle="1" w:styleId="Endnote">
    <w:name w:val="Endnote"/>
    <w:basedOn w:val="Normal"/>
    <w:qFormat/>
    <w:rsid w:val="00695DAC"/>
    <w:pPr>
      <w:spacing w:after="0"/>
    </w:pPr>
    <w:rPr>
      <w:sz w:val="20"/>
    </w:rPr>
  </w:style>
  <w:style w:type="paragraph" w:customStyle="1" w:styleId="InsetHeading">
    <w:name w:val="Inset Heading"/>
    <w:basedOn w:val="Normal"/>
    <w:qFormat/>
    <w:rsid w:val="0073634B"/>
    <w:pPr>
      <w:autoSpaceDE/>
      <w:autoSpaceDN/>
      <w:adjustRightInd/>
      <w:spacing w:after="120" w:line="240" w:lineRule="auto"/>
      <w:jc w:val="left"/>
      <w:textAlignment w:val="auto"/>
    </w:pPr>
    <w:rPr>
      <w:rFonts w:ascii="Century Gothic" w:hAnsi="Century Gothic"/>
      <w:b/>
      <w:bCs/>
      <w:color w:val="F3A536"/>
    </w:rPr>
  </w:style>
  <w:style w:type="paragraph" w:customStyle="1" w:styleId="Tablenormal0">
    <w:name w:val="Table normal"/>
    <w:qFormat/>
    <w:rsid w:val="00386612"/>
    <w:rPr>
      <w:rFonts w:ascii="Century Gothic" w:hAnsi="Century Gothic" w:cs="Century Gothic"/>
      <w:color w:val="595959" w:themeColor="text1" w:themeTint="A6"/>
      <w:sz w:val="16"/>
      <w:szCs w:val="16"/>
    </w:rPr>
  </w:style>
  <w:style w:type="paragraph" w:customStyle="1" w:styleId="TableHeader">
    <w:name w:val="Table Header"/>
    <w:qFormat/>
    <w:rsid w:val="00386612"/>
    <w:rPr>
      <w:rFonts w:ascii="Century Gothic" w:hAnsi="Century Gothic" w:cs="Century Gothic"/>
      <w:b/>
      <w:bCs/>
      <w:color w:val="F3A536"/>
      <w:sz w:val="16"/>
      <w:szCs w:val="16"/>
    </w:rPr>
  </w:style>
  <w:style w:type="character" w:customStyle="1" w:styleId="NoSpacingChar">
    <w:name w:val="No Spacing Char"/>
    <w:basedOn w:val="DefaultParagraphFont"/>
    <w:link w:val="NoSpacing"/>
    <w:uiPriority w:val="1"/>
    <w:rsid w:val="00970653"/>
    <w:rPr>
      <w:rFonts w:ascii="Calibri Light" w:hAnsi="Calibri Light" w:cs="Century Gothic"/>
      <w:color w:val="000000"/>
      <w:sz w:val="22"/>
      <w:szCs w:val="20"/>
    </w:rPr>
  </w:style>
  <w:style w:type="paragraph" w:styleId="TOCHeading">
    <w:name w:val="TOC Heading"/>
    <w:basedOn w:val="Heading1"/>
    <w:next w:val="Normal"/>
    <w:uiPriority w:val="39"/>
    <w:unhideWhenUsed/>
    <w:qFormat/>
    <w:rsid w:val="0084487E"/>
    <w:pPr>
      <w:keepNext/>
      <w:keepLines/>
      <w:tabs>
        <w:tab w:val="clear" w:pos="199"/>
        <w:tab w:val="clear" w:pos="440"/>
      </w:tabs>
      <w:suppressAutoHyphens w:val="0"/>
      <w:spacing w:before="480" w:after="0" w:line="276" w:lineRule="auto"/>
      <w:outlineLvl w:val="9"/>
    </w:pPr>
    <w:rPr>
      <w:rFonts w:eastAsiaTheme="majorEastAsia" w:cstheme="majorBidi"/>
      <w:caps w:val="0"/>
      <w:color w:val="002060"/>
      <w:spacing w:val="0"/>
      <w:sz w:val="28"/>
      <w:szCs w:val="28"/>
    </w:rPr>
  </w:style>
  <w:style w:type="paragraph" w:styleId="TOC1">
    <w:name w:val="toc 1"/>
    <w:basedOn w:val="Normal"/>
    <w:next w:val="Normal"/>
    <w:autoRedefine/>
    <w:uiPriority w:val="39"/>
    <w:unhideWhenUsed/>
    <w:rsid w:val="00FE0BCF"/>
    <w:pPr>
      <w:spacing w:before="240" w:after="120"/>
      <w:jc w:val="left"/>
    </w:pPr>
    <w:rPr>
      <w:rFonts w:asciiTheme="minorHAnsi" w:hAnsiTheme="minorHAnsi"/>
      <w:b/>
      <w:bCs/>
      <w:sz w:val="20"/>
    </w:rPr>
  </w:style>
  <w:style w:type="paragraph" w:styleId="TOC2">
    <w:name w:val="toc 2"/>
    <w:basedOn w:val="Normal"/>
    <w:next w:val="Normal"/>
    <w:autoRedefine/>
    <w:uiPriority w:val="39"/>
    <w:unhideWhenUsed/>
    <w:rsid w:val="00FE0BCF"/>
    <w:pPr>
      <w:spacing w:before="120" w:after="0"/>
      <w:ind w:left="220"/>
      <w:jc w:val="left"/>
    </w:pPr>
    <w:rPr>
      <w:rFonts w:asciiTheme="minorHAnsi" w:hAnsiTheme="minorHAnsi"/>
      <w:i/>
      <w:iCs/>
      <w:sz w:val="20"/>
    </w:rPr>
  </w:style>
  <w:style w:type="paragraph" w:styleId="TOC3">
    <w:name w:val="toc 3"/>
    <w:basedOn w:val="Normal"/>
    <w:next w:val="Normal"/>
    <w:autoRedefine/>
    <w:uiPriority w:val="39"/>
    <w:semiHidden/>
    <w:unhideWhenUsed/>
    <w:rsid w:val="0084487E"/>
    <w:pPr>
      <w:spacing w:after="0"/>
      <w:ind w:left="440"/>
      <w:jc w:val="left"/>
    </w:pPr>
    <w:rPr>
      <w:rFonts w:asciiTheme="minorHAnsi" w:hAnsiTheme="minorHAnsi"/>
      <w:sz w:val="20"/>
    </w:rPr>
  </w:style>
  <w:style w:type="paragraph" w:styleId="TOC4">
    <w:name w:val="toc 4"/>
    <w:basedOn w:val="Normal"/>
    <w:next w:val="Normal"/>
    <w:autoRedefine/>
    <w:uiPriority w:val="39"/>
    <w:semiHidden/>
    <w:unhideWhenUsed/>
    <w:rsid w:val="0084487E"/>
    <w:pPr>
      <w:spacing w:after="0"/>
      <w:ind w:left="660"/>
      <w:jc w:val="left"/>
    </w:pPr>
    <w:rPr>
      <w:rFonts w:asciiTheme="minorHAnsi" w:hAnsiTheme="minorHAnsi"/>
      <w:sz w:val="20"/>
    </w:rPr>
  </w:style>
  <w:style w:type="paragraph" w:styleId="TOC5">
    <w:name w:val="toc 5"/>
    <w:basedOn w:val="Normal"/>
    <w:next w:val="Normal"/>
    <w:autoRedefine/>
    <w:uiPriority w:val="39"/>
    <w:semiHidden/>
    <w:unhideWhenUsed/>
    <w:rsid w:val="0084487E"/>
    <w:pPr>
      <w:spacing w:after="0"/>
      <w:ind w:left="880"/>
      <w:jc w:val="left"/>
    </w:pPr>
    <w:rPr>
      <w:rFonts w:asciiTheme="minorHAnsi" w:hAnsiTheme="minorHAnsi"/>
      <w:sz w:val="20"/>
    </w:rPr>
  </w:style>
  <w:style w:type="paragraph" w:styleId="TOC6">
    <w:name w:val="toc 6"/>
    <w:basedOn w:val="Normal"/>
    <w:next w:val="Normal"/>
    <w:autoRedefine/>
    <w:uiPriority w:val="39"/>
    <w:semiHidden/>
    <w:unhideWhenUsed/>
    <w:rsid w:val="0084487E"/>
    <w:pPr>
      <w:spacing w:after="0"/>
      <w:ind w:left="1100"/>
      <w:jc w:val="left"/>
    </w:pPr>
    <w:rPr>
      <w:rFonts w:asciiTheme="minorHAnsi" w:hAnsiTheme="minorHAnsi"/>
      <w:sz w:val="20"/>
    </w:rPr>
  </w:style>
  <w:style w:type="paragraph" w:styleId="TOC7">
    <w:name w:val="toc 7"/>
    <w:basedOn w:val="Normal"/>
    <w:next w:val="Normal"/>
    <w:autoRedefine/>
    <w:uiPriority w:val="39"/>
    <w:semiHidden/>
    <w:unhideWhenUsed/>
    <w:rsid w:val="0084487E"/>
    <w:pPr>
      <w:spacing w:after="0"/>
      <w:ind w:left="1320"/>
      <w:jc w:val="left"/>
    </w:pPr>
    <w:rPr>
      <w:rFonts w:asciiTheme="minorHAnsi" w:hAnsiTheme="minorHAnsi"/>
      <w:sz w:val="20"/>
    </w:rPr>
  </w:style>
  <w:style w:type="paragraph" w:styleId="TOC8">
    <w:name w:val="toc 8"/>
    <w:basedOn w:val="Normal"/>
    <w:next w:val="Normal"/>
    <w:autoRedefine/>
    <w:uiPriority w:val="39"/>
    <w:semiHidden/>
    <w:unhideWhenUsed/>
    <w:rsid w:val="0084487E"/>
    <w:pPr>
      <w:spacing w:after="0"/>
      <w:ind w:left="1540"/>
      <w:jc w:val="left"/>
    </w:pPr>
    <w:rPr>
      <w:rFonts w:asciiTheme="minorHAnsi" w:hAnsiTheme="minorHAnsi"/>
      <w:sz w:val="20"/>
    </w:rPr>
  </w:style>
  <w:style w:type="paragraph" w:styleId="TOC9">
    <w:name w:val="toc 9"/>
    <w:basedOn w:val="Normal"/>
    <w:next w:val="Normal"/>
    <w:autoRedefine/>
    <w:uiPriority w:val="39"/>
    <w:semiHidden/>
    <w:unhideWhenUsed/>
    <w:rsid w:val="0084487E"/>
    <w:pPr>
      <w:spacing w:after="0"/>
      <w:ind w:left="1760"/>
      <w:jc w:val="left"/>
    </w:pPr>
    <w:rPr>
      <w:rFonts w:asciiTheme="minorHAnsi" w:hAnsiTheme="minorHAnsi"/>
      <w:sz w:val="20"/>
    </w:rPr>
  </w:style>
  <w:style w:type="paragraph" w:customStyle="1" w:styleId="BasicParagraph">
    <w:name w:val="[Basic Paragraph]"/>
    <w:basedOn w:val="NoParagraphStyle"/>
    <w:uiPriority w:val="99"/>
    <w:rsid w:val="00A02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385711">
      <w:bodyDiv w:val="1"/>
      <w:marLeft w:val="0"/>
      <w:marRight w:val="0"/>
      <w:marTop w:val="0"/>
      <w:marBottom w:val="0"/>
      <w:divBdr>
        <w:top w:val="none" w:sz="0" w:space="0" w:color="auto"/>
        <w:left w:val="none" w:sz="0" w:space="0" w:color="auto"/>
        <w:bottom w:val="none" w:sz="0" w:space="0" w:color="auto"/>
        <w:right w:val="none" w:sz="0" w:space="0" w:color="auto"/>
      </w:divBdr>
    </w:div>
    <w:div w:id="169059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34E20-E8A8-E64D-8656-13F990A8E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3</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Minshu Deng</dc:creator>
  <cp:keywords/>
  <dc:description/>
  <cp:lastModifiedBy>Minshu Deng</cp:lastModifiedBy>
  <cp:revision>3</cp:revision>
  <dcterms:created xsi:type="dcterms:W3CDTF">2022-07-20T22:54:00Z</dcterms:created>
  <dcterms:modified xsi:type="dcterms:W3CDTF">2022-07-21T18:39:00Z</dcterms:modified>
</cp:coreProperties>
</file>