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DC3A" w14:textId="5CD9CE32" w:rsidR="006148A5" w:rsidRDefault="002B7CE1">
      <w:pPr>
        <w:rPr>
          <w:b/>
          <w:sz w:val="32"/>
          <w:szCs w:val="32"/>
        </w:rPr>
      </w:pPr>
      <w:r>
        <w:rPr>
          <w:b/>
          <w:sz w:val="32"/>
          <w:szCs w:val="32"/>
        </w:rPr>
        <w:t>United States</w:t>
      </w:r>
      <w:r w:rsidR="0028153D">
        <w:rPr>
          <w:b/>
          <w:sz w:val="32"/>
          <w:szCs w:val="32"/>
        </w:rPr>
        <w:t xml:space="preserve"> Energy Policy Simulator (EPS) Summary Documentation</w:t>
      </w:r>
    </w:p>
    <w:p w14:paraId="31997483" w14:textId="5FD6D693" w:rsidR="006148A5" w:rsidRDefault="0028153D" w:rsidP="00096107">
      <w:pPr>
        <w:pStyle w:val="Heading1"/>
      </w:pPr>
      <w:r>
        <w:t xml:space="preserve">Estimating Economywide Emissions for </w:t>
      </w:r>
      <w:r w:rsidR="002B7CE1">
        <w:t>the United States</w:t>
      </w:r>
      <w:r w:rsidR="002B7CE1">
        <w:tab/>
      </w:r>
      <w:r w:rsidR="002B7CE1">
        <w:tab/>
      </w:r>
      <w:r w:rsidR="002B7CE1">
        <w:tab/>
      </w:r>
      <w:r w:rsidR="002B7CE1">
        <w:tab/>
      </w:r>
      <w:r w:rsidR="002B7CE1">
        <w:tab/>
      </w:r>
      <w:r w:rsidR="002B7CE1">
        <w:tab/>
      </w:r>
      <w:r w:rsidR="002B7CE1">
        <w:tab/>
      </w:r>
      <w:r w:rsidR="002B7CE1">
        <w:tab/>
      </w:r>
      <w:r w:rsidR="002B7CE1">
        <w:tab/>
      </w:r>
      <w:r w:rsidR="002B7CE1">
        <w:tab/>
      </w:r>
      <w:r w:rsidR="002B7CE1">
        <w:tab/>
      </w:r>
    </w:p>
    <w:p w14:paraId="67179E74" w14:textId="3A6B51FE" w:rsidR="006148A5" w:rsidRDefault="002B7CE1">
      <w:r>
        <w:t>The United States</w:t>
      </w:r>
      <w:r w:rsidR="0028153D">
        <w:t xml:space="preserve"> Energy Policy Simulator (EPS) accounts for emissions produced in the following sectors: electricity generation, building energy consumption, industrial energy consumption, industrial process emissions, agriculture process emissions, </w:t>
      </w:r>
      <w:r w:rsidR="00D04FF5">
        <w:t xml:space="preserve">transportation, district heating, hydrogen production, </w:t>
      </w:r>
      <w:r w:rsidR="0028153D">
        <w:t xml:space="preserve">land use change, and </w:t>
      </w:r>
      <w:r w:rsidR="00D04FF5">
        <w:t>geoengineering (direct air capture).</w:t>
      </w:r>
      <w:r w:rsidR="0028153D">
        <w:t xml:space="preserve"> </w:t>
      </w:r>
    </w:p>
    <w:p w14:paraId="1026B251" w14:textId="5099D7D9" w:rsidR="006148A5" w:rsidRDefault="0028153D">
      <w:r>
        <w:t xml:space="preserve">Our primary sources are federal data sets from the </w:t>
      </w:r>
      <w:r w:rsidR="002B7CE1">
        <w:t xml:space="preserve">Energy Information Association (EIA), </w:t>
      </w:r>
      <w:r>
        <w:t>Environmental Protection Agency (EPA), and the National Renewable Energy Lab (NREL). The table below summarizes our data sources and methodology.</w:t>
      </w:r>
      <w:r w:rsidR="000F0B74" w:rsidRPr="000F0B74">
        <w:t xml:space="preserve"> </w:t>
      </w:r>
      <w:r w:rsidR="000F0B74">
        <w:t>For benchmarking against historical emissions, see the Start Year ‘Calibration.</w:t>
      </w:r>
      <w:r w:rsidR="00386225">
        <w:t>x</w:t>
      </w:r>
      <w:r w:rsidR="000F0B74">
        <w:t xml:space="preserve">lsx’ file. For emissions projections, we primarily benchmark against the EIA’s </w:t>
      </w:r>
      <w:hyperlink r:id="rId8" w:history="1">
        <w:r w:rsidR="000F0B74" w:rsidRPr="000F0B74">
          <w:rPr>
            <w:rStyle w:val="Hyperlink"/>
          </w:rPr>
          <w:t>Annual Energy Outlook</w:t>
        </w:r>
      </w:hyperlink>
      <w:r w:rsidR="000F0B74">
        <w:t xml:space="preserve">. </w:t>
      </w:r>
      <w:r w:rsidR="00A10076">
        <w:t xml:space="preserve">As of version </w:t>
      </w:r>
      <w:r w:rsidR="00D04FF5">
        <w:t>4.0</w:t>
      </w:r>
      <w:r w:rsidR="00A10076">
        <w:t xml:space="preserve">.0 of the EPS, we use the EIA’s </w:t>
      </w:r>
      <w:r w:rsidR="00D04FF5">
        <w:t>Reference</w:t>
      </w:r>
      <w:r w:rsidR="00A10076">
        <w:t xml:space="preserve"> scenario.</w:t>
      </w:r>
    </w:p>
    <w:p w14:paraId="37938FAA" w14:textId="0A8913BF" w:rsidR="006148A5" w:rsidRPr="00096107" w:rsidRDefault="003F6116" w:rsidP="00D70D03">
      <w:pPr>
        <w:pStyle w:val="Heading2"/>
      </w:pPr>
      <w:r>
        <w:t xml:space="preserve">PRIMARY </w:t>
      </w:r>
      <w:r w:rsidR="00096107" w:rsidRPr="00096107">
        <w:t>DATA SOURCES</w:t>
      </w:r>
      <w:r w:rsidR="00096107"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2510"/>
        <w:gridCol w:w="11880"/>
      </w:tblGrid>
      <w:tr w:rsidR="00CB0971" w14:paraId="34F12D3C" w14:textId="77777777" w:rsidTr="00CB0971">
        <w:trPr>
          <w:trHeight w:val="20"/>
          <w:tblHeader/>
        </w:trPr>
        <w:tc>
          <w:tcPr>
            <w:tcW w:w="25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C7BBB90" w:rsidR="00CB0971" w:rsidRDefault="00CB0971">
            <w:pPr>
              <w:pBdr>
                <w:top w:val="nil"/>
                <w:left w:val="nil"/>
                <w:bottom w:val="nil"/>
                <w:right w:val="nil"/>
                <w:between w:val="nil"/>
              </w:pBdr>
              <w:spacing w:after="0" w:line="240" w:lineRule="auto"/>
              <w:rPr>
                <w:color w:val="000000"/>
                <w:sz w:val="20"/>
                <w:szCs w:val="20"/>
              </w:rPr>
            </w:pPr>
            <w:r>
              <w:rPr>
                <w:b/>
                <w:color w:val="000000"/>
                <w:sz w:val="20"/>
                <w:szCs w:val="20"/>
              </w:rPr>
              <w:t>Model component</w:t>
            </w:r>
          </w:p>
        </w:tc>
        <w:tc>
          <w:tcPr>
            <w:tcW w:w="1188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CB0971" w:rsidRDefault="00CB0971">
            <w:pPr>
              <w:pBdr>
                <w:top w:val="nil"/>
                <w:left w:val="nil"/>
                <w:bottom w:val="nil"/>
                <w:right w:val="nil"/>
                <w:between w:val="nil"/>
              </w:pBdr>
              <w:spacing w:after="0" w:line="240" w:lineRule="auto"/>
              <w:rPr>
                <w:color w:val="000000"/>
                <w:sz w:val="20"/>
                <w:szCs w:val="20"/>
              </w:rPr>
            </w:pPr>
            <w:r>
              <w:rPr>
                <w:b/>
                <w:color w:val="000000"/>
                <w:sz w:val="20"/>
                <w:szCs w:val="20"/>
              </w:rPr>
              <w:t>Source</w:t>
            </w:r>
          </w:p>
        </w:tc>
      </w:tr>
      <w:tr w:rsidR="00CB0971" w14:paraId="10989949"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34AE8" w14:textId="6E60752E" w:rsidR="00D04FF5" w:rsidRDefault="005D1844" w:rsidP="003F6116">
            <w:pPr>
              <w:pBdr>
                <w:top w:val="nil"/>
                <w:left w:val="nil"/>
                <w:bottom w:val="nil"/>
                <w:right w:val="nil"/>
                <w:between w:val="nil"/>
              </w:pBdr>
              <w:spacing w:after="0" w:line="240" w:lineRule="auto"/>
              <w:rPr>
                <w:sz w:val="20"/>
                <w:szCs w:val="20"/>
              </w:rPr>
            </w:pPr>
            <w:r>
              <w:rPr>
                <w:color w:val="000000"/>
                <w:sz w:val="20"/>
                <w:szCs w:val="20"/>
              </w:rPr>
              <w:t>E</w:t>
            </w:r>
            <w:r w:rsidR="00CB0971" w:rsidRPr="000F0B74">
              <w:rPr>
                <w:color w:val="000000"/>
                <w:sz w:val="20"/>
                <w:szCs w:val="20"/>
              </w:rPr>
              <w:t xml:space="preserve">xisting capacity and </w:t>
            </w:r>
            <w:r w:rsidR="00D04FF5">
              <w:rPr>
                <w:color w:val="000000"/>
                <w:sz w:val="20"/>
                <w:szCs w:val="20"/>
              </w:rPr>
              <w:t>heat rates</w:t>
            </w:r>
            <w:r w:rsidR="00CB0971" w:rsidRPr="000F0B74">
              <w:rPr>
                <w:color w:val="000000"/>
                <w:sz w:val="20"/>
                <w:szCs w:val="20"/>
              </w:rPr>
              <w:t xml:space="preserve">: EIA’s </w:t>
            </w:r>
            <w:hyperlink r:id="rId9">
              <w:r w:rsidR="00CB0971" w:rsidRPr="000F0B74">
                <w:rPr>
                  <w:rStyle w:val="Hyperlink"/>
                  <w:sz w:val="20"/>
                  <w:szCs w:val="20"/>
                </w:rPr>
                <w:t>Form 923</w:t>
              </w:r>
            </w:hyperlink>
            <w:r w:rsidR="00CB0971" w:rsidRPr="000F0B74">
              <w:rPr>
                <w:color w:val="000000"/>
                <w:sz w:val="20"/>
                <w:szCs w:val="20"/>
              </w:rPr>
              <w:t xml:space="preserve"> and EIA’s </w:t>
            </w:r>
            <w:hyperlink r:id="rId10">
              <w:r w:rsidR="00CB0971" w:rsidRPr="000F0B74">
                <w:rPr>
                  <w:rStyle w:val="Hyperlink"/>
                  <w:sz w:val="20"/>
                  <w:szCs w:val="20"/>
                </w:rPr>
                <w:t>Form 860</w:t>
              </w:r>
            </w:hyperlink>
            <w:r w:rsidR="00CB0971" w:rsidRPr="000F0B74">
              <w:rPr>
                <w:color w:val="1155CC"/>
                <w:sz w:val="20"/>
                <w:szCs w:val="20"/>
                <w:u w:val="single"/>
              </w:rPr>
              <w:t xml:space="preserve"> </w:t>
            </w:r>
            <w:r w:rsidR="00CB0971" w:rsidRPr="000F0B74">
              <w:rPr>
                <w:sz w:val="20"/>
                <w:szCs w:val="20"/>
              </w:rPr>
              <w:t xml:space="preserve">&amp; </w:t>
            </w:r>
          </w:p>
          <w:p w14:paraId="60E0EA67" w14:textId="77777777" w:rsidR="00D04FF5" w:rsidRDefault="00D04FF5" w:rsidP="003F6116">
            <w:pPr>
              <w:pBdr>
                <w:top w:val="nil"/>
                <w:left w:val="nil"/>
                <w:bottom w:val="nil"/>
                <w:right w:val="nil"/>
                <w:between w:val="nil"/>
              </w:pBdr>
              <w:spacing w:after="0" w:line="240" w:lineRule="auto"/>
              <w:rPr>
                <w:sz w:val="20"/>
                <w:szCs w:val="20"/>
              </w:rPr>
            </w:pPr>
          </w:p>
          <w:p w14:paraId="3E012AE3" w14:textId="5895FEB4" w:rsidR="00D04FF5" w:rsidRDefault="005D1844" w:rsidP="003F6116">
            <w:pPr>
              <w:pBdr>
                <w:top w:val="nil"/>
                <w:left w:val="nil"/>
                <w:bottom w:val="nil"/>
                <w:right w:val="nil"/>
                <w:between w:val="nil"/>
              </w:pBdr>
              <w:spacing w:after="0" w:line="240" w:lineRule="auto"/>
              <w:rPr>
                <w:sz w:val="20"/>
                <w:szCs w:val="20"/>
              </w:rPr>
            </w:pPr>
            <w:r>
              <w:rPr>
                <w:sz w:val="20"/>
                <w:szCs w:val="20"/>
              </w:rPr>
              <w:t>H</w:t>
            </w:r>
            <w:r w:rsidR="00D04FF5">
              <w:rPr>
                <w:sz w:val="20"/>
                <w:szCs w:val="20"/>
              </w:rPr>
              <w:t xml:space="preserve">ourly load factors: NREL’s </w:t>
            </w:r>
            <w:hyperlink r:id="rId11" w:history="1">
              <w:r w:rsidR="00D04FF5" w:rsidRPr="00D04FF5">
                <w:rPr>
                  <w:rStyle w:val="Hyperlink"/>
                  <w:sz w:val="20"/>
                  <w:szCs w:val="20"/>
                </w:rPr>
                <w:t>Electrification Futures Study</w:t>
              </w:r>
            </w:hyperlink>
          </w:p>
          <w:p w14:paraId="40FBB7DF" w14:textId="77777777" w:rsidR="00D04FF5" w:rsidRDefault="00D04FF5" w:rsidP="003F6116">
            <w:pPr>
              <w:pBdr>
                <w:top w:val="nil"/>
                <w:left w:val="nil"/>
                <w:bottom w:val="nil"/>
                <w:right w:val="nil"/>
                <w:between w:val="nil"/>
              </w:pBdr>
              <w:spacing w:after="0" w:line="240" w:lineRule="auto"/>
              <w:rPr>
                <w:sz w:val="20"/>
                <w:szCs w:val="20"/>
              </w:rPr>
            </w:pPr>
          </w:p>
          <w:p w14:paraId="3EA0D68E" w14:textId="03770C54" w:rsidR="00D04FF5" w:rsidRDefault="005D1844" w:rsidP="003F6116">
            <w:pPr>
              <w:pBdr>
                <w:top w:val="nil"/>
                <w:left w:val="nil"/>
                <w:bottom w:val="nil"/>
                <w:right w:val="nil"/>
                <w:between w:val="nil"/>
              </w:pBdr>
              <w:spacing w:after="0" w:line="240" w:lineRule="auto"/>
              <w:rPr>
                <w:sz w:val="20"/>
                <w:szCs w:val="20"/>
              </w:rPr>
            </w:pPr>
            <w:r>
              <w:rPr>
                <w:sz w:val="20"/>
                <w:szCs w:val="20"/>
              </w:rPr>
              <w:t>H</w:t>
            </w:r>
            <w:r w:rsidR="00D04FF5">
              <w:rPr>
                <w:sz w:val="20"/>
                <w:szCs w:val="20"/>
              </w:rPr>
              <w:t xml:space="preserve">ourly capacity factors: NREL’s </w:t>
            </w:r>
            <w:hyperlink r:id="rId12" w:history="1">
              <w:r w:rsidR="00D04FF5" w:rsidRPr="00D04FF5">
                <w:rPr>
                  <w:rStyle w:val="Hyperlink"/>
                  <w:sz w:val="20"/>
                  <w:szCs w:val="20"/>
                </w:rPr>
                <w:t>Cambium data</w:t>
              </w:r>
            </w:hyperlink>
          </w:p>
          <w:p w14:paraId="05D7E926" w14:textId="77777777" w:rsidR="00CB0971" w:rsidRPr="000F0B74" w:rsidRDefault="00CB0971" w:rsidP="003F6116">
            <w:pPr>
              <w:pBdr>
                <w:top w:val="nil"/>
                <w:left w:val="nil"/>
                <w:bottom w:val="nil"/>
                <w:right w:val="nil"/>
                <w:between w:val="nil"/>
              </w:pBdr>
              <w:spacing w:after="0" w:line="240" w:lineRule="auto"/>
              <w:rPr>
                <w:color w:val="000000"/>
                <w:sz w:val="20"/>
                <w:szCs w:val="20"/>
              </w:rPr>
            </w:pPr>
          </w:p>
          <w:p w14:paraId="636DFD3D" w14:textId="457D68FA" w:rsidR="00CB0971" w:rsidRPr="000F0B74" w:rsidRDefault="005D1844">
            <w:pPr>
              <w:pBdr>
                <w:top w:val="nil"/>
                <w:left w:val="nil"/>
                <w:bottom w:val="nil"/>
                <w:right w:val="nil"/>
                <w:between w:val="nil"/>
              </w:pBdr>
              <w:spacing w:after="0" w:line="240" w:lineRule="auto"/>
              <w:rPr>
                <w:color w:val="000000"/>
                <w:sz w:val="20"/>
                <w:szCs w:val="20"/>
              </w:rPr>
            </w:pPr>
            <w:r>
              <w:rPr>
                <w:color w:val="000000"/>
                <w:sz w:val="20"/>
                <w:szCs w:val="20"/>
              </w:rPr>
              <w:t>I</w:t>
            </w:r>
            <w:r w:rsidR="00CB0971" w:rsidRPr="000F0B74">
              <w:rPr>
                <w:color w:val="000000"/>
                <w:sz w:val="20"/>
                <w:szCs w:val="20"/>
              </w:rPr>
              <w:t xml:space="preserve">mports/exports: </w:t>
            </w:r>
            <w:hyperlink r:id="rId13" w:history="1">
              <w:r w:rsidR="00D04FF5" w:rsidRPr="000F0B74">
                <w:rPr>
                  <w:rStyle w:val="Hyperlink"/>
                  <w:sz w:val="20"/>
                  <w:szCs w:val="20"/>
                </w:rPr>
                <w:t xml:space="preserve">EIA’s Annual Energy Outlook </w:t>
              </w:r>
              <w:r w:rsidR="00D04FF5">
                <w:rPr>
                  <w:rStyle w:val="Hyperlink"/>
                  <w:sz w:val="20"/>
                  <w:szCs w:val="20"/>
                </w:rPr>
                <w:t>2023</w:t>
              </w:r>
            </w:hyperlink>
          </w:p>
          <w:p w14:paraId="0F3FD181" w14:textId="1E54EA7A" w:rsidR="00CB0971" w:rsidRPr="000F0B74" w:rsidRDefault="00CB0971">
            <w:pPr>
              <w:pBdr>
                <w:top w:val="nil"/>
                <w:left w:val="nil"/>
                <w:bottom w:val="nil"/>
                <w:right w:val="nil"/>
                <w:between w:val="nil"/>
              </w:pBdr>
              <w:spacing w:after="0" w:line="240" w:lineRule="auto"/>
              <w:rPr>
                <w:color w:val="000000"/>
                <w:sz w:val="20"/>
                <w:szCs w:val="20"/>
              </w:rPr>
            </w:pPr>
          </w:p>
          <w:p w14:paraId="0D98F0AB" w14:textId="497EA239" w:rsidR="00CB0971" w:rsidRPr="000F0B74" w:rsidRDefault="005D1844" w:rsidP="000F0B74">
            <w:pPr>
              <w:pBdr>
                <w:top w:val="nil"/>
                <w:left w:val="nil"/>
                <w:bottom w:val="nil"/>
                <w:right w:val="nil"/>
                <w:between w:val="nil"/>
              </w:pBdr>
              <w:spacing w:after="0" w:line="240" w:lineRule="auto"/>
              <w:rPr>
                <w:color w:val="000000"/>
                <w:sz w:val="20"/>
                <w:szCs w:val="20"/>
              </w:rPr>
            </w:pPr>
            <w:r>
              <w:rPr>
                <w:color w:val="000000"/>
                <w:sz w:val="20"/>
                <w:szCs w:val="20"/>
              </w:rPr>
              <w:t>P</w:t>
            </w:r>
            <w:r w:rsidR="00CB0971" w:rsidRPr="000F0B74">
              <w:rPr>
                <w:color w:val="000000"/>
                <w:sz w:val="20"/>
                <w:szCs w:val="20"/>
              </w:rPr>
              <w:t>ower plant costs</w:t>
            </w:r>
            <w:r w:rsidR="00D04FF5">
              <w:rPr>
                <w:color w:val="000000"/>
                <w:sz w:val="20"/>
                <w:szCs w:val="20"/>
              </w:rPr>
              <w:t xml:space="preserve"> and improvements in capacity factors for new plants</w:t>
            </w:r>
            <w:r w:rsidR="00CB0971" w:rsidRPr="000F0B74">
              <w:rPr>
                <w:color w:val="000000"/>
                <w:sz w:val="20"/>
                <w:szCs w:val="20"/>
              </w:rPr>
              <w:t xml:space="preserve">: </w:t>
            </w:r>
            <w:r w:rsidR="00CB0971" w:rsidRPr="000F0B74">
              <w:rPr>
                <w:sz w:val="20"/>
                <w:szCs w:val="20"/>
              </w:rPr>
              <w:t xml:space="preserve">NREL’s </w:t>
            </w:r>
            <w:hyperlink r:id="rId14" w:history="1">
              <w:r w:rsidR="00CB0971" w:rsidRPr="000F0B74">
                <w:rPr>
                  <w:rStyle w:val="Hyperlink"/>
                  <w:sz w:val="20"/>
                  <w:szCs w:val="20"/>
                </w:rPr>
                <w:t>Annual Technology Baseline</w:t>
              </w:r>
            </w:hyperlink>
            <w:r w:rsidR="00CB0971" w:rsidRPr="000F0B74">
              <w:rPr>
                <w:sz w:val="20"/>
                <w:szCs w:val="20"/>
              </w:rPr>
              <w:t>, mid-case</w:t>
            </w:r>
          </w:p>
        </w:tc>
      </w:tr>
      <w:tr w:rsidR="00CB0971" w14:paraId="534419AD"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69CBE1" w:rsidR="00CB0971" w:rsidRPr="000F0B74" w:rsidRDefault="00000000" w:rsidP="00A10076">
            <w:pPr>
              <w:pBdr>
                <w:top w:val="nil"/>
                <w:left w:val="nil"/>
                <w:bottom w:val="nil"/>
                <w:right w:val="nil"/>
                <w:between w:val="nil"/>
              </w:pBdr>
              <w:spacing w:after="0" w:line="240" w:lineRule="auto"/>
              <w:rPr>
                <w:color w:val="000000"/>
                <w:sz w:val="20"/>
                <w:szCs w:val="20"/>
              </w:rPr>
            </w:pPr>
            <w:hyperlink r:id="rId15" w:history="1">
              <w:r w:rsidR="000F0B74" w:rsidRPr="000F0B74">
                <w:rPr>
                  <w:rStyle w:val="Hyperlink"/>
                  <w:sz w:val="20"/>
                  <w:szCs w:val="20"/>
                </w:rPr>
                <w:t xml:space="preserve">EIA’s Annual Energy Outlook </w:t>
              </w:r>
              <w:r w:rsidR="00D04FF5">
                <w:rPr>
                  <w:rStyle w:val="Hyperlink"/>
                  <w:sz w:val="20"/>
                  <w:szCs w:val="20"/>
                </w:rPr>
                <w:t>2023</w:t>
              </w:r>
            </w:hyperlink>
          </w:p>
        </w:tc>
      </w:tr>
      <w:tr w:rsidR="00CB0971" w14:paraId="4E13E82B"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DABD4" w14:textId="6822131D" w:rsidR="00CB0971" w:rsidRPr="000F0B74" w:rsidRDefault="00D04FF5" w:rsidP="00A10076">
            <w:pPr>
              <w:pBdr>
                <w:top w:val="nil"/>
                <w:left w:val="nil"/>
                <w:bottom w:val="nil"/>
                <w:right w:val="nil"/>
                <w:between w:val="nil"/>
              </w:pBdr>
              <w:spacing w:after="0" w:line="240" w:lineRule="auto"/>
              <w:rPr>
                <w:color w:val="000000"/>
                <w:sz w:val="20"/>
                <w:szCs w:val="20"/>
              </w:rPr>
            </w:pPr>
            <w:hyperlink r:id="rId16" w:history="1">
              <w:r w:rsidRPr="000F0B74">
                <w:rPr>
                  <w:rStyle w:val="Hyperlink"/>
                  <w:sz w:val="20"/>
                  <w:szCs w:val="20"/>
                </w:rPr>
                <w:t xml:space="preserve">EIA’s Annual Energy Outlook </w:t>
              </w:r>
              <w:r>
                <w:rPr>
                  <w:rStyle w:val="Hyperlink"/>
                  <w:sz w:val="20"/>
                  <w:szCs w:val="20"/>
                </w:rPr>
                <w:t>2023</w:t>
              </w:r>
            </w:hyperlink>
          </w:p>
        </w:tc>
      </w:tr>
      <w:tr w:rsidR="00CB0971" w14:paraId="63CA9AF7"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18E49A50"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INDUSTRIAL PROCESS EMISSIONS, INCLUDING AGRICULTURE</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25582" w14:textId="343B35E1" w:rsidR="00CB0971" w:rsidRPr="000F0B74" w:rsidRDefault="00D04FF5">
            <w:pPr>
              <w:pBdr>
                <w:top w:val="nil"/>
                <w:left w:val="nil"/>
                <w:bottom w:val="nil"/>
                <w:right w:val="nil"/>
                <w:between w:val="nil"/>
              </w:pBdr>
              <w:spacing w:after="0" w:line="240" w:lineRule="auto"/>
              <w:rPr>
                <w:sz w:val="20"/>
                <w:szCs w:val="20"/>
              </w:rPr>
            </w:pPr>
            <w:r>
              <w:rPr>
                <w:sz w:val="20"/>
                <w:szCs w:val="20"/>
              </w:rPr>
              <w:t>Start year emissions</w:t>
            </w:r>
            <w:r w:rsidR="00CB0971" w:rsidRPr="000F0B74">
              <w:rPr>
                <w:sz w:val="20"/>
                <w:szCs w:val="20"/>
              </w:rPr>
              <w:t xml:space="preserve">: </w:t>
            </w:r>
            <w:r w:rsidRPr="00D04FF5">
              <w:rPr>
                <w:rFonts w:asciiTheme="majorHAnsi" w:hAnsiTheme="majorHAnsi" w:cstheme="majorHAnsi"/>
                <w:sz w:val="20"/>
                <w:szCs w:val="20"/>
              </w:rPr>
              <w:t xml:space="preserve">EPA’s </w:t>
            </w:r>
            <w:hyperlink r:id="rId17" w:history="1">
              <w:r w:rsidRPr="00D04FF5">
                <w:rPr>
                  <w:rStyle w:val="Hyperlink"/>
                  <w:rFonts w:asciiTheme="majorHAnsi" w:hAnsiTheme="majorHAnsi" w:cstheme="majorHAnsi"/>
                  <w:sz w:val="20"/>
                  <w:szCs w:val="20"/>
                </w:rPr>
                <w:t>Inventory of U.S. Greenhouse Gas Emissions and Sinks 1990-2021</w:t>
              </w:r>
            </w:hyperlink>
          </w:p>
          <w:p w14:paraId="308AE174" w14:textId="5AF7F083" w:rsidR="00CB0971" w:rsidRPr="000F0B74" w:rsidRDefault="00CB0971">
            <w:pPr>
              <w:pBdr>
                <w:top w:val="nil"/>
                <w:left w:val="nil"/>
                <w:bottom w:val="nil"/>
                <w:right w:val="nil"/>
                <w:between w:val="nil"/>
              </w:pBdr>
              <w:spacing w:after="0" w:line="240" w:lineRule="auto"/>
              <w:rPr>
                <w:sz w:val="20"/>
                <w:szCs w:val="20"/>
              </w:rPr>
            </w:pPr>
          </w:p>
          <w:p w14:paraId="5ACDC440" w14:textId="77777777" w:rsidR="00E370D7" w:rsidRPr="000F0B74" w:rsidRDefault="00D04FF5" w:rsidP="00E370D7">
            <w:pPr>
              <w:pBdr>
                <w:top w:val="nil"/>
                <w:left w:val="nil"/>
                <w:bottom w:val="nil"/>
                <w:right w:val="nil"/>
                <w:between w:val="nil"/>
              </w:pBdr>
              <w:spacing w:after="0" w:line="240" w:lineRule="auto"/>
              <w:rPr>
                <w:color w:val="000000"/>
                <w:sz w:val="20"/>
                <w:szCs w:val="20"/>
              </w:rPr>
            </w:pPr>
            <w:r>
              <w:rPr>
                <w:sz w:val="20"/>
                <w:szCs w:val="20"/>
              </w:rPr>
              <w:t xml:space="preserve">Most projections: </w:t>
            </w:r>
            <w:r w:rsidR="00E370D7">
              <w:rPr>
                <w:sz w:val="20"/>
                <w:szCs w:val="20"/>
              </w:rPr>
              <w:t xml:space="preserve">emissions for each industry scaled by the growth in industrial output by industry from </w:t>
            </w:r>
            <w:hyperlink r:id="rId18" w:history="1">
              <w:r w:rsidR="00E370D7" w:rsidRPr="000F0B74">
                <w:rPr>
                  <w:rStyle w:val="Hyperlink"/>
                  <w:sz w:val="20"/>
                  <w:szCs w:val="20"/>
                </w:rPr>
                <w:t xml:space="preserve">EIA’s Annual Energy Outlook </w:t>
              </w:r>
              <w:r w:rsidR="00E370D7">
                <w:rPr>
                  <w:rStyle w:val="Hyperlink"/>
                  <w:sz w:val="20"/>
                  <w:szCs w:val="20"/>
                </w:rPr>
                <w:t>2023</w:t>
              </w:r>
            </w:hyperlink>
          </w:p>
          <w:p w14:paraId="12532E2C" w14:textId="77777777" w:rsidR="00D04FF5" w:rsidRDefault="00D04FF5">
            <w:pPr>
              <w:pBdr>
                <w:top w:val="nil"/>
                <w:left w:val="nil"/>
                <w:bottom w:val="nil"/>
                <w:right w:val="nil"/>
                <w:between w:val="nil"/>
              </w:pBdr>
              <w:spacing w:after="0" w:line="240" w:lineRule="auto"/>
              <w:rPr>
                <w:sz w:val="20"/>
                <w:szCs w:val="20"/>
              </w:rPr>
            </w:pPr>
          </w:p>
          <w:p w14:paraId="74D2B577" w14:textId="40E0D23C" w:rsidR="00CB0971" w:rsidRPr="000F0B74" w:rsidRDefault="00D04FF5">
            <w:pPr>
              <w:pBdr>
                <w:top w:val="nil"/>
                <w:left w:val="nil"/>
                <w:bottom w:val="nil"/>
                <w:right w:val="nil"/>
                <w:between w:val="nil"/>
              </w:pBdr>
              <w:spacing w:after="0" w:line="240" w:lineRule="auto"/>
              <w:rPr>
                <w:sz w:val="20"/>
                <w:szCs w:val="20"/>
              </w:rPr>
            </w:pPr>
            <w:r>
              <w:rPr>
                <w:sz w:val="20"/>
                <w:szCs w:val="20"/>
              </w:rPr>
              <w:t xml:space="preserve">Projections for </w:t>
            </w:r>
            <w:r w:rsidR="00CB0971" w:rsidRPr="000F0B74">
              <w:rPr>
                <w:sz w:val="20"/>
                <w:szCs w:val="20"/>
              </w:rPr>
              <w:t xml:space="preserve">HFCs: Data provided by the </w:t>
            </w:r>
            <w:r>
              <w:rPr>
                <w:sz w:val="20"/>
                <w:szCs w:val="20"/>
              </w:rPr>
              <w:t>Rhodium Climate Deck</w:t>
            </w:r>
          </w:p>
          <w:p w14:paraId="6B3FC9DA" w14:textId="77777777" w:rsidR="00CB0971" w:rsidRPr="000F0B74" w:rsidRDefault="00CB0971">
            <w:pPr>
              <w:pBdr>
                <w:top w:val="nil"/>
                <w:left w:val="nil"/>
                <w:bottom w:val="nil"/>
                <w:right w:val="nil"/>
                <w:between w:val="nil"/>
              </w:pBdr>
              <w:spacing w:after="0" w:line="240" w:lineRule="auto"/>
              <w:rPr>
                <w:sz w:val="20"/>
                <w:szCs w:val="20"/>
              </w:rPr>
            </w:pPr>
          </w:p>
          <w:p w14:paraId="313A6B80" w14:textId="79C44513" w:rsidR="00CB0971" w:rsidRPr="000F0B74" w:rsidRDefault="00D04FF5" w:rsidP="00F654F8">
            <w:pPr>
              <w:pBdr>
                <w:top w:val="nil"/>
                <w:left w:val="nil"/>
                <w:bottom w:val="nil"/>
                <w:right w:val="nil"/>
                <w:between w:val="nil"/>
              </w:pBdr>
              <w:spacing w:after="0" w:line="240" w:lineRule="auto"/>
              <w:rPr>
                <w:color w:val="000000"/>
                <w:sz w:val="20"/>
                <w:szCs w:val="20"/>
              </w:rPr>
            </w:pPr>
            <w:r>
              <w:rPr>
                <w:sz w:val="20"/>
                <w:szCs w:val="20"/>
              </w:rPr>
              <w:t>P</w:t>
            </w:r>
            <w:r w:rsidR="00CB0971" w:rsidRPr="000F0B74">
              <w:rPr>
                <w:sz w:val="20"/>
                <w:szCs w:val="20"/>
              </w:rPr>
              <w:t>rocess emissions</w:t>
            </w:r>
            <w:r>
              <w:rPr>
                <w:sz w:val="20"/>
                <w:szCs w:val="20"/>
              </w:rPr>
              <w:t xml:space="preserve"> abatement potential</w:t>
            </w:r>
            <w:r w:rsidR="00CB0971" w:rsidRPr="000F0B74">
              <w:rPr>
                <w:sz w:val="20"/>
                <w:szCs w:val="20"/>
              </w:rPr>
              <w:t xml:space="preserve">: </w:t>
            </w:r>
            <w:hyperlink r:id="rId19">
              <w:r w:rsidR="00CB0971" w:rsidRPr="000F0B74">
                <w:rPr>
                  <w:rStyle w:val="Hyperlink"/>
                  <w:sz w:val="20"/>
                  <w:szCs w:val="20"/>
                </w:rPr>
                <w:t>EPA Global Non-CO2 Greenhouse Gas Emissions Projections &amp; Mitigation Potential: 2015-2050</w:t>
              </w:r>
            </w:hyperlink>
          </w:p>
        </w:tc>
      </w:tr>
      <w:tr w:rsidR="00CB0971" w14:paraId="4C39E917"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B14119A" w:rsidR="00CB0971" w:rsidRPr="000F0B74" w:rsidRDefault="00E370D7" w:rsidP="00A10076">
            <w:pPr>
              <w:pBdr>
                <w:top w:val="nil"/>
                <w:left w:val="nil"/>
                <w:bottom w:val="nil"/>
                <w:right w:val="nil"/>
                <w:between w:val="nil"/>
              </w:pBdr>
              <w:spacing w:after="0" w:line="240" w:lineRule="auto"/>
              <w:rPr>
                <w:color w:val="000000"/>
                <w:sz w:val="20"/>
                <w:szCs w:val="20"/>
              </w:rPr>
            </w:pPr>
            <w:r w:rsidRPr="00D04FF5">
              <w:rPr>
                <w:rFonts w:asciiTheme="majorHAnsi" w:hAnsiTheme="majorHAnsi" w:cstheme="majorHAnsi"/>
                <w:sz w:val="20"/>
                <w:szCs w:val="20"/>
              </w:rPr>
              <w:t xml:space="preserve">EPA’s </w:t>
            </w:r>
            <w:hyperlink r:id="rId20" w:history="1">
              <w:r w:rsidRPr="00D04FF5">
                <w:rPr>
                  <w:rStyle w:val="Hyperlink"/>
                  <w:rFonts w:asciiTheme="majorHAnsi" w:hAnsiTheme="majorHAnsi" w:cstheme="majorHAnsi"/>
                  <w:sz w:val="20"/>
                  <w:szCs w:val="20"/>
                </w:rPr>
                <w:t>Inventory of U.S. Greenhouse Gas Emissions and Sinks 1990-2021</w:t>
              </w:r>
            </w:hyperlink>
          </w:p>
        </w:tc>
      </w:tr>
      <w:tr w:rsidR="00CB0971" w14:paraId="40565E52"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lastRenderedPageBreak/>
              <w:t>TRANSPORTATION</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971FA" w14:textId="155123B9" w:rsidR="00CB0971" w:rsidRDefault="005D1844" w:rsidP="00A10076">
            <w:pPr>
              <w:spacing w:after="0" w:line="240" w:lineRule="auto"/>
              <w:rPr>
                <w:rStyle w:val="Hyperlink"/>
                <w:sz w:val="20"/>
                <w:szCs w:val="20"/>
              </w:rPr>
            </w:pPr>
            <w:r>
              <w:rPr>
                <w:sz w:val="20"/>
                <w:szCs w:val="20"/>
              </w:rPr>
              <w:t>T</w:t>
            </w:r>
            <w:r w:rsidR="00CB0971" w:rsidRPr="000F0B74">
              <w:rPr>
                <w:sz w:val="20"/>
                <w:szCs w:val="20"/>
              </w:rPr>
              <w:t>ransport demand</w:t>
            </w:r>
            <w:r w:rsidR="00386225">
              <w:rPr>
                <w:sz w:val="20"/>
                <w:szCs w:val="20"/>
              </w:rPr>
              <w:t xml:space="preserve">, </w:t>
            </w:r>
            <w:r w:rsidR="00E370D7">
              <w:rPr>
                <w:sz w:val="20"/>
                <w:szCs w:val="20"/>
              </w:rPr>
              <w:t xml:space="preserve">start year </w:t>
            </w:r>
            <w:r w:rsidR="00386225">
              <w:rPr>
                <w:sz w:val="20"/>
                <w:szCs w:val="20"/>
              </w:rPr>
              <w:t>vehicles,</w:t>
            </w:r>
            <w:r w:rsidR="00CB0971" w:rsidRPr="000F0B74">
              <w:rPr>
                <w:sz w:val="20"/>
                <w:szCs w:val="20"/>
              </w:rPr>
              <w:t xml:space="preserve"> and fuel economy: </w:t>
            </w:r>
            <w:hyperlink r:id="rId21" w:history="1">
              <w:r w:rsidR="00E370D7" w:rsidRPr="000F0B74">
                <w:rPr>
                  <w:rStyle w:val="Hyperlink"/>
                  <w:sz w:val="20"/>
                  <w:szCs w:val="20"/>
                </w:rPr>
                <w:t xml:space="preserve">EIA’s Annual Energy Outlook </w:t>
              </w:r>
              <w:r w:rsidR="00E370D7">
                <w:rPr>
                  <w:rStyle w:val="Hyperlink"/>
                  <w:sz w:val="20"/>
                  <w:szCs w:val="20"/>
                </w:rPr>
                <w:t>2023</w:t>
              </w:r>
            </w:hyperlink>
          </w:p>
          <w:p w14:paraId="75897E0B" w14:textId="77777777" w:rsidR="00E370D7" w:rsidRDefault="00E370D7" w:rsidP="00A10076">
            <w:pPr>
              <w:spacing w:after="0" w:line="240" w:lineRule="auto"/>
              <w:rPr>
                <w:rStyle w:val="Hyperlink"/>
                <w:sz w:val="20"/>
                <w:szCs w:val="20"/>
              </w:rPr>
            </w:pPr>
          </w:p>
          <w:p w14:paraId="7A524A55" w14:textId="4D0B2471" w:rsidR="00E370D7" w:rsidRPr="000F0B74" w:rsidRDefault="005D1844" w:rsidP="00A10076">
            <w:pPr>
              <w:spacing w:after="0" w:line="240" w:lineRule="auto"/>
              <w:rPr>
                <w:color w:val="000000"/>
                <w:sz w:val="20"/>
                <w:szCs w:val="20"/>
              </w:rPr>
            </w:pPr>
            <w:r>
              <w:rPr>
                <w:sz w:val="20"/>
                <w:szCs w:val="20"/>
              </w:rPr>
              <w:t>O</w:t>
            </w:r>
            <w:r w:rsidR="00E370D7" w:rsidRPr="00E370D7">
              <w:rPr>
                <w:sz w:val="20"/>
                <w:szCs w:val="20"/>
              </w:rPr>
              <w:t>n</w:t>
            </w:r>
            <w:r w:rsidR="00596B30">
              <w:rPr>
                <w:sz w:val="20"/>
                <w:szCs w:val="20"/>
              </w:rPr>
              <w:t>-</w:t>
            </w:r>
            <w:r w:rsidR="00E370D7" w:rsidRPr="00E370D7">
              <w:rPr>
                <w:sz w:val="20"/>
                <w:szCs w:val="20"/>
              </w:rPr>
              <w:t>road vehicle prices: Data provided by the International Council on Clean Transportation</w:t>
            </w:r>
          </w:p>
        </w:tc>
      </w:tr>
      <w:tr w:rsidR="00CB0971" w14:paraId="205F3F99"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3CB998DB" w14:textId="4F726EB3"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INTEGRATED INPUT-OUTPUT MODEL</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48410" w14:textId="77777777" w:rsidR="00CB0971" w:rsidRDefault="00CB0971" w:rsidP="00CB0971">
            <w:pPr>
              <w:spacing w:after="0" w:line="240" w:lineRule="auto"/>
              <w:rPr>
                <w:sz w:val="20"/>
                <w:szCs w:val="20"/>
              </w:rPr>
            </w:pPr>
            <w:r w:rsidRPr="000F0B74">
              <w:rPr>
                <w:sz w:val="20"/>
                <w:szCs w:val="20"/>
              </w:rPr>
              <w:t xml:space="preserve">Organisation for Economic Co-operation and Development </w:t>
            </w:r>
            <w:hyperlink r:id="rId22" w:history="1">
              <w:r w:rsidRPr="000F0B74">
                <w:rPr>
                  <w:rStyle w:val="Hyperlink"/>
                  <w:sz w:val="20"/>
                  <w:szCs w:val="20"/>
                </w:rPr>
                <w:t>Input-Output Tables</w:t>
              </w:r>
            </w:hyperlink>
            <w:r w:rsidRPr="000F0B74">
              <w:rPr>
                <w:sz w:val="20"/>
                <w:szCs w:val="20"/>
              </w:rPr>
              <w:t>, supplemented by data from the U.S. Bureau of Labor Statistics and the U.S. Bureau of Economic Analysis where necessary</w:t>
            </w:r>
          </w:p>
          <w:p w14:paraId="169AB986" w14:textId="77777777" w:rsidR="00E370D7" w:rsidRDefault="00E370D7" w:rsidP="00CB0971">
            <w:pPr>
              <w:spacing w:after="0" w:line="240" w:lineRule="auto"/>
              <w:rPr>
                <w:sz w:val="20"/>
                <w:szCs w:val="20"/>
              </w:rPr>
            </w:pPr>
          </w:p>
          <w:p w14:paraId="3729D8AF" w14:textId="7DF9FA20" w:rsidR="00E370D7" w:rsidRPr="000F0B74" w:rsidRDefault="00E370D7" w:rsidP="00CB0971">
            <w:pPr>
              <w:spacing w:after="0" w:line="240" w:lineRule="auto"/>
              <w:rPr>
                <w:sz w:val="20"/>
                <w:szCs w:val="20"/>
              </w:rPr>
            </w:pPr>
            <w:r>
              <w:rPr>
                <w:sz w:val="20"/>
                <w:szCs w:val="20"/>
              </w:rPr>
              <w:t xml:space="preserve">Growth rates for industrial output: </w:t>
            </w:r>
            <w:hyperlink r:id="rId23" w:history="1">
              <w:r w:rsidRPr="000F0B74">
                <w:rPr>
                  <w:rStyle w:val="Hyperlink"/>
                  <w:sz w:val="20"/>
                  <w:szCs w:val="20"/>
                </w:rPr>
                <w:t xml:space="preserve">EIA’s Annual Energy Outlook </w:t>
              </w:r>
              <w:r>
                <w:rPr>
                  <w:rStyle w:val="Hyperlink"/>
                  <w:sz w:val="20"/>
                  <w:szCs w:val="20"/>
                </w:rPr>
                <w:t>2023</w:t>
              </w:r>
            </w:hyperlink>
          </w:p>
        </w:tc>
      </w:tr>
      <w:tr w:rsidR="00CB0971" w14:paraId="4A8F3836" w14:textId="77777777" w:rsidTr="00CB0971">
        <w:trPr>
          <w:trHeight w:val="20"/>
        </w:trPr>
        <w:tc>
          <w:tcPr>
            <w:tcW w:w="25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175FB7A0" w14:textId="6214BEDE" w:rsidR="00CB0971" w:rsidRDefault="00CB0971">
            <w:pPr>
              <w:pBdr>
                <w:top w:val="nil"/>
                <w:left w:val="nil"/>
                <w:bottom w:val="nil"/>
                <w:right w:val="nil"/>
                <w:between w:val="nil"/>
              </w:pBdr>
              <w:spacing w:after="0" w:line="240" w:lineRule="auto"/>
              <w:rPr>
                <w:color w:val="000000"/>
                <w:sz w:val="20"/>
                <w:szCs w:val="20"/>
              </w:rPr>
            </w:pPr>
            <w:r>
              <w:rPr>
                <w:color w:val="000000"/>
                <w:sz w:val="20"/>
                <w:szCs w:val="20"/>
              </w:rPr>
              <w:t xml:space="preserve">HEALTH IMPACTS </w:t>
            </w:r>
          </w:p>
        </w:tc>
        <w:tc>
          <w:tcPr>
            <w:tcW w:w="1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42C6C" w14:textId="10AF9EA8" w:rsidR="00CB0971" w:rsidRPr="00386225" w:rsidRDefault="005D1844" w:rsidP="00CB0971">
            <w:pPr>
              <w:spacing w:after="0" w:line="240" w:lineRule="auto"/>
              <w:rPr>
                <w:sz w:val="20"/>
                <w:szCs w:val="20"/>
              </w:rPr>
            </w:pPr>
            <w:r>
              <w:rPr>
                <w:sz w:val="20"/>
                <w:szCs w:val="20"/>
              </w:rPr>
              <w:t>H</w:t>
            </w:r>
            <w:r w:rsidR="00CB0971" w:rsidRPr="00386225">
              <w:rPr>
                <w:sz w:val="20"/>
                <w:szCs w:val="20"/>
              </w:rPr>
              <w:t xml:space="preserve">ealth impacts per ton pollutant: EPA </w:t>
            </w:r>
            <w:hyperlink r:id="rId24" w:history="1">
              <w:r w:rsidR="00CB0971" w:rsidRPr="00386225">
                <w:rPr>
                  <w:rStyle w:val="Hyperlink"/>
                  <w:sz w:val="20"/>
                  <w:szCs w:val="20"/>
                </w:rPr>
                <w:t>Technical Support Document</w:t>
              </w:r>
            </w:hyperlink>
          </w:p>
        </w:tc>
      </w:tr>
    </w:tbl>
    <w:p w14:paraId="17389C77" w14:textId="09A6CDFB" w:rsidR="006148A5" w:rsidRDefault="0028153D" w:rsidP="00096107">
      <w:pPr>
        <w:pStyle w:val="Heading1"/>
      </w:pPr>
      <w:r>
        <w:t>Understanding the Business-as-Usual and Reference Projections</w:t>
      </w:r>
      <w:r>
        <w:tab/>
      </w:r>
      <w:r>
        <w:tab/>
      </w:r>
      <w:r>
        <w:tab/>
      </w:r>
      <w:r>
        <w:tab/>
      </w:r>
      <w:r>
        <w:tab/>
      </w:r>
      <w:r>
        <w:tab/>
      </w:r>
      <w:r>
        <w:tab/>
      </w:r>
      <w:r>
        <w:tab/>
      </w:r>
      <w:r>
        <w:tab/>
      </w:r>
      <w:r w:rsidR="00D70D03">
        <w:tab/>
      </w:r>
    </w:p>
    <w:p w14:paraId="0B0AB417" w14:textId="727EB415" w:rsidR="006148A5" w:rsidRDefault="0028153D">
      <w:r>
        <w:t xml:space="preserve">The </w:t>
      </w:r>
      <w:r w:rsidR="000F0B74">
        <w:t>United States EPS model includes t</w:t>
      </w:r>
      <w:r w:rsidR="00B52C6D">
        <w:t xml:space="preserve">wo </w:t>
      </w:r>
      <w:r>
        <w:t xml:space="preserve">scenarios. The first is a </w:t>
      </w:r>
      <w:r>
        <w:rPr>
          <w:b/>
        </w:rPr>
        <w:t>business-as-usual (BAU) scenario</w:t>
      </w:r>
      <w:r>
        <w:t xml:space="preserve">, which represents all </w:t>
      </w:r>
      <w:r w:rsidR="00B52C6D">
        <w:t xml:space="preserve">federal and state </w:t>
      </w:r>
      <w:r>
        <w:t xml:space="preserve">policy that is currently </w:t>
      </w:r>
      <w:r w:rsidR="00B52C6D">
        <w:t>finalized and binding</w:t>
      </w:r>
      <w:r>
        <w:t xml:space="preserve">. The BAU Scenario is the model’s foundation, capturing projected changes based on economic growth, technology and cost changes, and existing policy commitments. </w:t>
      </w:r>
      <w:r w:rsidR="00B52C6D">
        <w:t xml:space="preserve">Notably, EPS 4.0 now includes the Inflation Reduction Act (IRA) in the BAU scenario. See the </w:t>
      </w:r>
      <w:r w:rsidR="00141B5A">
        <w:t>Appendix</w:t>
      </w:r>
      <w:r w:rsidR="00B52C6D">
        <w:t xml:space="preserve"> for a full accounting of which sections of the IRA are included and the methodology for each. </w:t>
      </w:r>
    </w:p>
    <w:p w14:paraId="6C9EF455" w14:textId="1B5F4FA6" w:rsidR="006148A5" w:rsidRPr="00D70D03" w:rsidRDefault="00D70D03" w:rsidP="00D70D03">
      <w:pPr>
        <w:pStyle w:val="Heading2"/>
      </w:pPr>
      <w:r w:rsidRPr="00D70D03">
        <w:t xml:space="preserve">SUMMARY OF </w:t>
      </w:r>
      <w:r w:rsidR="00B52C6D">
        <w:t xml:space="preserve">MAJOR </w:t>
      </w:r>
      <w:r w:rsidRPr="00D70D03">
        <w:t>POLICY ASSUMPTIONS</w:t>
      </w:r>
    </w:p>
    <w:tbl>
      <w:tblPr>
        <w:tblStyle w:val="a0"/>
        <w:tblW w:w="14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1880"/>
      </w:tblGrid>
      <w:tr w:rsidR="000F0B74" w14:paraId="54A83A59" w14:textId="77777777" w:rsidTr="00996F8F">
        <w:trPr>
          <w:trHeight w:val="20"/>
        </w:trPr>
        <w:tc>
          <w:tcPr>
            <w:tcW w:w="2515" w:type="dxa"/>
            <w:shd w:val="clear" w:color="auto" w:fill="A8D08D"/>
            <w:vAlign w:val="center"/>
          </w:tcPr>
          <w:p w14:paraId="291063C8" w14:textId="77777777" w:rsidR="000F0B74" w:rsidRDefault="000F0B74">
            <w:pPr>
              <w:pBdr>
                <w:top w:val="nil"/>
                <w:left w:val="nil"/>
                <w:bottom w:val="nil"/>
                <w:right w:val="nil"/>
                <w:between w:val="nil"/>
              </w:pBdr>
              <w:jc w:val="center"/>
              <w:rPr>
                <w:b/>
                <w:color w:val="000000"/>
                <w:sz w:val="20"/>
                <w:szCs w:val="20"/>
              </w:rPr>
            </w:pPr>
            <w:r>
              <w:rPr>
                <w:b/>
                <w:color w:val="000000"/>
                <w:sz w:val="20"/>
                <w:szCs w:val="20"/>
              </w:rPr>
              <w:t>Sector</w:t>
            </w:r>
          </w:p>
        </w:tc>
        <w:tc>
          <w:tcPr>
            <w:tcW w:w="11880" w:type="dxa"/>
            <w:shd w:val="clear" w:color="auto" w:fill="A8D08D"/>
            <w:vAlign w:val="center"/>
          </w:tcPr>
          <w:p w14:paraId="74D0AFB8" w14:textId="77777777" w:rsidR="000F0B74" w:rsidRDefault="000F0B74">
            <w:pPr>
              <w:jc w:val="center"/>
              <w:rPr>
                <w:b/>
                <w:sz w:val="20"/>
                <w:szCs w:val="20"/>
              </w:rPr>
            </w:pPr>
            <w:r>
              <w:rPr>
                <w:b/>
                <w:sz w:val="20"/>
                <w:szCs w:val="20"/>
              </w:rPr>
              <w:t>BAU Scenario</w:t>
            </w:r>
          </w:p>
        </w:tc>
      </w:tr>
      <w:tr w:rsidR="000F0B74" w14:paraId="16AF82D6" w14:textId="77777777" w:rsidTr="00386225">
        <w:trPr>
          <w:trHeight w:val="935"/>
        </w:trPr>
        <w:tc>
          <w:tcPr>
            <w:tcW w:w="2515" w:type="dxa"/>
            <w:vAlign w:val="center"/>
          </w:tcPr>
          <w:p w14:paraId="54D35D12" w14:textId="77777777" w:rsidR="000F0B74" w:rsidRDefault="000F0B74" w:rsidP="00387313">
            <w:pPr>
              <w:rPr>
                <w:sz w:val="20"/>
                <w:szCs w:val="20"/>
              </w:rPr>
            </w:pPr>
            <w:r>
              <w:rPr>
                <w:sz w:val="20"/>
                <w:szCs w:val="20"/>
              </w:rPr>
              <w:t>Electricity</w:t>
            </w:r>
          </w:p>
        </w:tc>
        <w:tc>
          <w:tcPr>
            <w:tcW w:w="11880" w:type="dxa"/>
            <w:vAlign w:val="center"/>
          </w:tcPr>
          <w:p w14:paraId="14AA08DC" w14:textId="51D4AC5A" w:rsidR="000F0B74" w:rsidRDefault="000F0B74"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Expected retirements f</w:t>
            </w:r>
            <w:r w:rsidRPr="000F0B74">
              <w:rPr>
                <w:color w:val="000000"/>
                <w:sz w:val="20"/>
                <w:szCs w:val="20"/>
              </w:rPr>
              <w:t>rom EIA’s Annual Energy Outlook</w:t>
            </w:r>
          </w:p>
          <w:p w14:paraId="25098A39" w14:textId="488A16A8" w:rsidR="00386225" w:rsidRDefault="00B52C6D"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IRA t</w:t>
            </w:r>
            <w:r w:rsidR="00386225">
              <w:rPr>
                <w:color w:val="000000"/>
                <w:sz w:val="20"/>
                <w:szCs w:val="20"/>
              </w:rPr>
              <w:t>ax credit</w:t>
            </w:r>
            <w:r>
              <w:rPr>
                <w:color w:val="000000"/>
                <w:sz w:val="20"/>
                <w:szCs w:val="20"/>
              </w:rPr>
              <w:t>s and other provisions (e.g. support for rural co-operatives)</w:t>
            </w:r>
          </w:p>
          <w:p w14:paraId="277B0E17" w14:textId="30E4EA12" w:rsidR="00386225" w:rsidRPr="000F0B74" w:rsidRDefault="00B52C6D"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S</w:t>
            </w:r>
            <w:r w:rsidR="00386225">
              <w:rPr>
                <w:color w:val="000000"/>
                <w:sz w:val="20"/>
                <w:szCs w:val="20"/>
              </w:rPr>
              <w:t>tate</w:t>
            </w:r>
            <w:r>
              <w:rPr>
                <w:color w:val="000000"/>
                <w:sz w:val="20"/>
                <w:szCs w:val="20"/>
              </w:rPr>
              <w:t>-level</w:t>
            </w:r>
            <w:r w:rsidR="00386225">
              <w:rPr>
                <w:color w:val="000000"/>
                <w:sz w:val="20"/>
                <w:szCs w:val="20"/>
              </w:rPr>
              <w:t xml:space="preserve"> clean electricity standards and renewable portfolio standards</w:t>
            </w:r>
          </w:p>
        </w:tc>
      </w:tr>
      <w:tr w:rsidR="000F0B74" w14:paraId="4504EDE7" w14:textId="77777777" w:rsidTr="00386225">
        <w:trPr>
          <w:trHeight w:val="431"/>
        </w:trPr>
        <w:tc>
          <w:tcPr>
            <w:tcW w:w="2515" w:type="dxa"/>
            <w:vAlign w:val="center"/>
          </w:tcPr>
          <w:p w14:paraId="663B0416" w14:textId="77777777" w:rsidR="000F0B74" w:rsidRDefault="000F0B74" w:rsidP="00387313">
            <w:pPr>
              <w:rPr>
                <w:sz w:val="20"/>
                <w:szCs w:val="20"/>
              </w:rPr>
            </w:pPr>
            <w:r>
              <w:rPr>
                <w:sz w:val="20"/>
                <w:szCs w:val="20"/>
              </w:rPr>
              <w:t>Buildings</w:t>
            </w:r>
          </w:p>
        </w:tc>
        <w:tc>
          <w:tcPr>
            <w:tcW w:w="11880" w:type="dxa"/>
            <w:vAlign w:val="center"/>
          </w:tcPr>
          <w:p w14:paraId="2B3C2ABD" w14:textId="5896EDBE" w:rsidR="000F0B74" w:rsidRPr="00386225" w:rsidRDefault="00386225"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Efficiency improvements</w:t>
            </w:r>
            <w:r w:rsidR="00B52C6D">
              <w:rPr>
                <w:color w:val="000000"/>
                <w:sz w:val="20"/>
                <w:szCs w:val="20"/>
              </w:rPr>
              <w:t xml:space="preserve"> and IRA incentives</w:t>
            </w:r>
            <w:r>
              <w:rPr>
                <w:color w:val="000000"/>
                <w:sz w:val="20"/>
                <w:szCs w:val="20"/>
              </w:rPr>
              <w:t xml:space="preserve"> assumed in </w:t>
            </w:r>
            <w:r w:rsidR="000F0B74">
              <w:rPr>
                <w:color w:val="000000"/>
                <w:sz w:val="20"/>
                <w:szCs w:val="20"/>
              </w:rPr>
              <w:t>EIA’s Annual Energy Outlook</w:t>
            </w:r>
          </w:p>
        </w:tc>
      </w:tr>
      <w:tr w:rsidR="000F0B74" w14:paraId="548D13C3" w14:textId="77777777" w:rsidTr="00386225">
        <w:trPr>
          <w:trHeight w:val="800"/>
        </w:trPr>
        <w:tc>
          <w:tcPr>
            <w:tcW w:w="2515" w:type="dxa"/>
            <w:vAlign w:val="center"/>
          </w:tcPr>
          <w:p w14:paraId="692794E0" w14:textId="77777777" w:rsidR="000F0B74" w:rsidRDefault="000F0B74" w:rsidP="00387313">
            <w:pPr>
              <w:rPr>
                <w:sz w:val="20"/>
                <w:szCs w:val="20"/>
              </w:rPr>
            </w:pPr>
            <w:r>
              <w:rPr>
                <w:sz w:val="20"/>
                <w:szCs w:val="20"/>
              </w:rPr>
              <w:t>On-Road Transportation</w:t>
            </w:r>
          </w:p>
        </w:tc>
        <w:tc>
          <w:tcPr>
            <w:tcW w:w="11880" w:type="dxa"/>
            <w:vAlign w:val="center"/>
          </w:tcPr>
          <w:p w14:paraId="17A32F2F" w14:textId="0FB35727" w:rsidR="000F0B74" w:rsidRDefault="000F0B74"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 xml:space="preserve">Includes </w:t>
            </w:r>
            <w:r w:rsidR="00B52C6D">
              <w:rPr>
                <w:color w:val="000000"/>
                <w:sz w:val="20"/>
                <w:szCs w:val="20"/>
              </w:rPr>
              <w:t>current</w:t>
            </w:r>
            <w:r>
              <w:rPr>
                <w:color w:val="000000"/>
                <w:sz w:val="20"/>
                <w:szCs w:val="20"/>
              </w:rPr>
              <w:t xml:space="preserve"> Federal Corporate Average Fuel Economy Standards (CAFE) standards</w:t>
            </w:r>
          </w:p>
          <w:p w14:paraId="6A55DA8A" w14:textId="314ED455" w:rsidR="000F0B74" w:rsidRDefault="00B52C6D"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IRA</w:t>
            </w:r>
            <w:r w:rsidR="000F0B74">
              <w:rPr>
                <w:color w:val="000000"/>
                <w:sz w:val="20"/>
                <w:szCs w:val="20"/>
              </w:rPr>
              <w:t xml:space="preserve"> </w:t>
            </w:r>
            <w:r>
              <w:rPr>
                <w:color w:val="000000"/>
                <w:sz w:val="20"/>
                <w:szCs w:val="20"/>
              </w:rPr>
              <w:t>tax credits for zero-emission vehicles (passenger and commercial vehicles)</w:t>
            </w:r>
          </w:p>
          <w:p w14:paraId="7AADD05F" w14:textId="6141E674" w:rsidR="000F0B74" w:rsidRDefault="000F0B74"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 xml:space="preserve">Economic adoption of </w:t>
            </w:r>
            <w:r w:rsidR="00357C9B">
              <w:rPr>
                <w:color w:val="000000"/>
                <w:sz w:val="20"/>
                <w:szCs w:val="20"/>
              </w:rPr>
              <w:t>zero emission vehicles</w:t>
            </w:r>
            <w:r>
              <w:rPr>
                <w:color w:val="000000"/>
                <w:sz w:val="20"/>
                <w:szCs w:val="20"/>
                <w:vertAlign w:val="superscript"/>
              </w:rPr>
              <w:footnoteReference w:id="1"/>
            </w:r>
          </w:p>
        </w:tc>
      </w:tr>
      <w:tr w:rsidR="000F0B74" w14:paraId="1F09A487" w14:textId="77777777" w:rsidTr="00386225">
        <w:trPr>
          <w:trHeight w:val="629"/>
        </w:trPr>
        <w:tc>
          <w:tcPr>
            <w:tcW w:w="2515" w:type="dxa"/>
            <w:vAlign w:val="center"/>
          </w:tcPr>
          <w:p w14:paraId="433BF209" w14:textId="77777777" w:rsidR="000F0B74" w:rsidRDefault="000F0B74" w:rsidP="00387313">
            <w:pPr>
              <w:rPr>
                <w:sz w:val="20"/>
                <w:szCs w:val="20"/>
              </w:rPr>
            </w:pPr>
            <w:r>
              <w:rPr>
                <w:sz w:val="20"/>
                <w:szCs w:val="20"/>
              </w:rPr>
              <w:t>Industry</w:t>
            </w:r>
          </w:p>
        </w:tc>
        <w:tc>
          <w:tcPr>
            <w:tcW w:w="11880" w:type="dxa"/>
            <w:vAlign w:val="center"/>
          </w:tcPr>
          <w:p w14:paraId="7FE20409" w14:textId="3260FE37" w:rsidR="000F0B74" w:rsidRDefault="00B52C6D"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Includes the American Innovation and Manufacturing Act</w:t>
            </w:r>
          </w:p>
          <w:p w14:paraId="3D6BE44B" w14:textId="3AA0667D" w:rsidR="00B52C6D" w:rsidRDefault="00B52C6D"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IRA tax credits including credits for production of clean hydrogen</w:t>
            </w:r>
            <w:r w:rsidR="00357C9B">
              <w:rPr>
                <w:color w:val="000000"/>
                <w:sz w:val="20"/>
                <w:szCs w:val="20"/>
              </w:rPr>
              <w:t>,</w:t>
            </w:r>
            <w:r>
              <w:rPr>
                <w:color w:val="000000"/>
                <w:sz w:val="20"/>
                <w:szCs w:val="20"/>
              </w:rPr>
              <w:t xml:space="preserve"> advanced manufacturing, </w:t>
            </w:r>
            <w:r w:rsidR="00357C9B">
              <w:rPr>
                <w:color w:val="000000"/>
                <w:sz w:val="20"/>
                <w:szCs w:val="20"/>
              </w:rPr>
              <w:t>and carbon capture and sequestration, in addition to</w:t>
            </w:r>
            <w:r>
              <w:rPr>
                <w:color w:val="000000"/>
                <w:sz w:val="20"/>
                <w:szCs w:val="20"/>
              </w:rPr>
              <w:t xml:space="preserve"> other incentives such as the Advanced Industrial Facilities Deployment program </w:t>
            </w:r>
          </w:p>
          <w:p w14:paraId="236B1765" w14:textId="666423E8" w:rsidR="00386225" w:rsidRDefault="00386225"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 xml:space="preserve">Includes </w:t>
            </w:r>
            <w:r w:rsidR="00B52C6D">
              <w:rPr>
                <w:color w:val="000000"/>
                <w:sz w:val="20"/>
                <w:szCs w:val="20"/>
              </w:rPr>
              <w:t xml:space="preserve">EPA </w:t>
            </w:r>
            <w:r>
              <w:rPr>
                <w:color w:val="000000"/>
                <w:sz w:val="20"/>
                <w:szCs w:val="20"/>
              </w:rPr>
              <w:t xml:space="preserve">methane regulations for new and </w:t>
            </w:r>
            <w:r w:rsidR="00B52C6D">
              <w:rPr>
                <w:color w:val="000000"/>
                <w:sz w:val="20"/>
                <w:szCs w:val="20"/>
              </w:rPr>
              <w:t>existing</w:t>
            </w:r>
            <w:r>
              <w:rPr>
                <w:color w:val="000000"/>
                <w:sz w:val="20"/>
                <w:szCs w:val="20"/>
              </w:rPr>
              <w:t xml:space="preserve"> wells</w:t>
            </w:r>
          </w:p>
        </w:tc>
      </w:tr>
      <w:tr w:rsidR="000F0B74" w14:paraId="0B21D64E" w14:textId="77777777" w:rsidTr="00386225">
        <w:trPr>
          <w:trHeight w:val="341"/>
        </w:trPr>
        <w:tc>
          <w:tcPr>
            <w:tcW w:w="2515" w:type="dxa"/>
            <w:vAlign w:val="center"/>
          </w:tcPr>
          <w:p w14:paraId="4FF98AAF" w14:textId="77777777" w:rsidR="000F0B74" w:rsidRDefault="000F0B74" w:rsidP="00387313">
            <w:pPr>
              <w:rPr>
                <w:sz w:val="20"/>
                <w:szCs w:val="20"/>
              </w:rPr>
            </w:pPr>
            <w:r>
              <w:rPr>
                <w:sz w:val="20"/>
                <w:szCs w:val="20"/>
              </w:rPr>
              <w:lastRenderedPageBreak/>
              <w:t>Land use/Agriculture</w:t>
            </w:r>
          </w:p>
        </w:tc>
        <w:tc>
          <w:tcPr>
            <w:tcW w:w="11880" w:type="dxa"/>
            <w:vAlign w:val="center"/>
          </w:tcPr>
          <w:p w14:paraId="7E319D3E" w14:textId="77777777" w:rsidR="000F0B74" w:rsidRDefault="00386225"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Extrapolated data from Second Biennial Update Report</w:t>
            </w:r>
          </w:p>
          <w:p w14:paraId="334A4BE5" w14:textId="65907962" w:rsidR="00357C9B" w:rsidRDefault="00357C9B" w:rsidP="00386225">
            <w:pPr>
              <w:numPr>
                <w:ilvl w:val="0"/>
                <w:numId w:val="3"/>
              </w:numPr>
              <w:pBdr>
                <w:top w:val="nil"/>
                <w:left w:val="nil"/>
                <w:bottom w:val="nil"/>
                <w:right w:val="nil"/>
                <w:between w:val="nil"/>
              </w:pBdr>
              <w:contextualSpacing/>
              <w:rPr>
                <w:color w:val="000000"/>
                <w:sz w:val="20"/>
                <w:szCs w:val="20"/>
              </w:rPr>
            </w:pPr>
            <w:r>
              <w:rPr>
                <w:color w:val="000000"/>
                <w:sz w:val="20"/>
                <w:szCs w:val="20"/>
              </w:rPr>
              <w:t>IRA incentives for improved forestry practices and sustainable agriculture</w:t>
            </w:r>
          </w:p>
        </w:tc>
      </w:tr>
    </w:tbl>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43071E9F" w:rsidR="006148A5" w:rsidRPr="00D70D03" w:rsidRDefault="0028153D" w:rsidP="00D70D03">
      <w:pPr>
        <w:pStyle w:val="Heading2"/>
      </w:pPr>
      <w:bookmarkStart w:id="1" w:name="_8jz40w6mwo47" w:colFirst="0" w:colLast="0"/>
      <w:bookmarkEnd w:id="1"/>
      <w:r w:rsidRPr="00D70D03">
        <w:t>U</w:t>
      </w:r>
      <w:r w:rsidR="00996F8F">
        <w:t>.</w:t>
      </w:r>
      <w:r w:rsidRPr="00D70D03">
        <w:t>S</w:t>
      </w:r>
      <w:r w:rsidR="00996F8F">
        <w:t>.</w:t>
      </w:r>
      <w:r w:rsidRPr="00D70D03">
        <w:t xml:space="preserve"> 1.5 Degree Scenario</w:t>
      </w:r>
    </w:p>
    <w:p w14:paraId="14E5DF67" w14:textId="48837923" w:rsidR="00996F8F" w:rsidRDefault="0028153D">
      <w:r>
        <w:t xml:space="preserve">Energy Innovation developed a US </w:t>
      </w:r>
      <w:r w:rsidR="00357C9B">
        <w:t>NDC</w:t>
      </w:r>
      <w:r>
        <w:t xml:space="preserve"> Scenario, which is designed to put the US</w:t>
      </w:r>
      <w:r w:rsidR="00357C9B">
        <w:t xml:space="preserve"> </w:t>
      </w:r>
      <w:r>
        <w:t xml:space="preserve">on an emissions trajectory </w:t>
      </w:r>
      <w:r w:rsidR="00357C9B">
        <w:t>consistent with its stated climate goals.</w:t>
      </w:r>
      <w:r>
        <w:t xml:space="preserve"> </w:t>
      </w:r>
      <w:r w:rsidR="00A10076">
        <w:t xml:space="preserve">This scenario reduces greenhouse gas (GHG) emissions by </w:t>
      </w:r>
      <w:r w:rsidR="00357C9B" w:rsidRPr="00357C9B">
        <w:rPr>
          <w:highlight w:val="yellow"/>
        </w:rPr>
        <w:t>X</w:t>
      </w:r>
      <w:r w:rsidR="00A10076" w:rsidRPr="00357C9B">
        <w:rPr>
          <w:highlight w:val="yellow"/>
        </w:rPr>
        <w:t>%</w:t>
      </w:r>
      <w:r w:rsidR="00A10076">
        <w:t xml:space="preserve"> below 2005 levels by 2030, achieving the US NDC of 50%-52% below 2005 levels</w:t>
      </w:r>
      <w:r w:rsidR="00357C9B">
        <w:t>, and net zero GHGs by 2050</w:t>
      </w:r>
      <w:r w:rsidR="00A10076">
        <w:t xml:space="preserve">. </w:t>
      </w:r>
      <w:r w:rsidR="00357C9B" w:rsidRPr="00357C9B">
        <w:rPr>
          <w:highlight w:val="yellow"/>
        </w:rPr>
        <w:t>Details on policy assumptions and methodology are available on request.</w:t>
      </w:r>
    </w:p>
    <w:p w14:paraId="4346DB40" w14:textId="1DDDAAD6" w:rsidR="006148A5" w:rsidRDefault="0028153D" w:rsidP="00096107">
      <w:pPr>
        <w:pStyle w:val="Heading1"/>
      </w:pPr>
      <w:bookmarkStart w:id="2" w:name="_8lubx1z1i0m8" w:colFirst="0" w:colLast="0"/>
      <w:bookmarkStart w:id="3" w:name="_gtt7dp4jytw6" w:colFirst="0" w:colLast="0"/>
      <w:bookmarkEnd w:id="2"/>
      <w:bookmarkEnd w:id="3"/>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25">
        <w:r>
          <w:rPr>
            <w:color w:val="0563C1"/>
            <w:u w:val="single"/>
          </w:rPr>
          <w:t>here</w:t>
        </w:r>
      </w:hyperlink>
      <w:r>
        <w:t xml:space="preserve">. Detailed model documentation is also available </w:t>
      </w:r>
      <w:hyperlink r:id="rId26">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23ADA4BA" w:rsidR="00727C02" w:rsidRDefault="0028153D">
      <w:r>
        <w:t xml:space="preserve">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w:t>
      </w:r>
      <w:r w:rsidR="00357C9B">
        <w:t xml:space="preserve">US </w:t>
      </w:r>
      <w:r>
        <w:t xml:space="preserve">EPS model </w:t>
      </w:r>
      <w:r w:rsidR="00357C9B">
        <w:t>has been</w:t>
      </w:r>
      <w:r>
        <w:t xml:space="preserve"> used to assess the impact of </w:t>
      </w:r>
      <w:r w:rsidR="00357C9B">
        <w:t>the Inflation Reduction Act</w:t>
      </w:r>
      <w:r w:rsidR="00357C9B">
        <w:rPr>
          <w:rStyle w:val="FootnoteReference"/>
        </w:rPr>
        <w:footnoteReference w:id="2"/>
      </w:r>
      <w:r w:rsidR="00357C9B">
        <w:t xml:space="preserve"> and of </w:t>
      </w:r>
      <w:r>
        <w:t>climate policies for the U.S. House Select Committee on the Climate Crisis.</w:t>
      </w:r>
      <w:r>
        <w:rPr>
          <w:vertAlign w:val="superscript"/>
        </w:rPr>
        <w:footnoteReference w:id="3"/>
      </w:r>
      <w: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Energy Innovation</w:t>
      </w:r>
      <w:r w:rsidR="00357C9B">
        <w:t xml:space="preserve"> and RMI have also produced</w:t>
      </w:r>
      <w:r w:rsidR="00A10076">
        <w:t xml:space="preserve"> EPS models for </w:t>
      </w:r>
      <w:r w:rsidR="00357C9B">
        <w:t>the lower 48</w:t>
      </w:r>
      <w:r>
        <w:t xml:space="preserve"> U.S. states.</w:t>
      </w:r>
      <w:r w:rsidR="00727C02">
        <w:t xml:space="preserve"> </w:t>
      </w:r>
    </w:p>
    <w:p w14:paraId="3F952953" w14:textId="17D2A4D5" w:rsidR="006148A5" w:rsidRDefault="0028153D">
      <w:r>
        <w:t xml:space="preserve">The EPS model is available for download online </w:t>
      </w:r>
      <w:hyperlink r:id="rId27">
        <w:r>
          <w:rPr>
            <w:color w:val="0563C1"/>
            <w:u w:val="single"/>
          </w:rPr>
          <w:t>here</w:t>
        </w:r>
      </w:hyperlink>
      <w:r>
        <w:t>.</w:t>
      </w:r>
      <w:r>
        <w:rPr>
          <w:vertAlign w:val="superscript"/>
        </w:rPr>
        <w:footnoteReference w:id="4"/>
      </w:r>
      <w:r>
        <w:t xml:space="preserve"> And full documentation on methodology and assumptions are available online </w:t>
      </w:r>
      <w:hyperlink r:id="rId28">
        <w:r>
          <w:rPr>
            <w:color w:val="0563C1"/>
            <w:u w:val="single"/>
          </w:rPr>
          <w:t>here</w:t>
        </w:r>
      </w:hyperlink>
      <w:r>
        <w:t>.</w:t>
      </w:r>
      <w:r>
        <w:rPr>
          <w:vertAlign w:val="superscript"/>
        </w:rPr>
        <w:footnoteReference w:id="5"/>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E2BE446" w14:textId="1EE08772" w:rsidR="006148A5" w:rsidRDefault="0028153D">
      <w:r>
        <w:t xml:space="preserve">If you have questions about using the EPS, we recommend first watching our video series, available </w:t>
      </w:r>
      <w:hyperlink r:id="rId29">
        <w:r>
          <w:rPr>
            <w:color w:val="0563C1"/>
            <w:u w:val="single"/>
          </w:rPr>
          <w:t>here</w:t>
        </w:r>
      </w:hyperlink>
      <w:r>
        <w:t>.</w:t>
      </w:r>
      <w:r>
        <w:rPr>
          <w:vertAlign w:val="superscript"/>
        </w:rPr>
        <w:footnoteReference w:id="6"/>
      </w:r>
      <w:r>
        <w:t xml:space="preserve"> For further information on the EPS, contact us at </w:t>
      </w:r>
      <w:hyperlink r:id="rId30">
        <w:r>
          <w:rPr>
            <w:color w:val="0563C1"/>
            <w:u w:val="single"/>
          </w:rPr>
          <w:t>policy@energyinnovation.org</w:t>
        </w:r>
      </w:hyperlink>
      <w:r>
        <w:t xml:space="preserve">. </w:t>
      </w:r>
    </w:p>
    <w:p w14:paraId="6FE13CBA" w14:textId="77777777" w:rsidR="00141B5A" w:rsidRDefault="00141B5A"/>
    <w:p w14:paraId="6D8410A5" w14:textId="77777777" w:rsidR="00141B5A" w:rsidRDefault="00141B5A"/>
    <w:p w14:paraId="0424F941" w14:textId="34A6F582" w:rsidR="00141B5A" w:rsidRDefault="00141B5A" w:rsidP="00141B5A">
      <w:pPr>
        <w:pStyle w:val="Heading1"/>
      </w:pPr>
      <w:r>
        <w:lastRenderedPageBreak/>
        <w:t>Appendix: Full List of IRA Sections Included in BAU</w:t>
      </w:r>
      <w:r>
        <w:tab/>
      </w:r>
      <w:r>
        <w:tab/>
      </w:r>
      <w:r>
        <w:tab/>
      </w:r>
      <w:r>
        <w:tab/>
      </w:r>
      <w:r>
        <w:tab/>
      </w:r>
      <w:r>
        <w:tab/>
      </w:r>
      <w:r>
        <w:tab/>
      </w:r>
      <w:r>
        <w:tab/>
      </w:r>
      <w:r>
        <w:tab/>
      </w:r>
      <w:r>
        <w:tab/>
      </w:r>
      <w:r>
        <w:tab/>
      </w:r>
      <w:r>
        <w:tab/>
      </w:r>
    </w:p>
    <w:tbl>
      <w:tblPr>
        <w:tblW w:w="14420" w:type="dxa"/>
        <w:tblLook w:val="04A0" w:firstRow="1" w:lastRow="0" w:firstColumn="1" w:lastColumn="0" w:noHBand="0" w:noVBand="1"/>
      </w:tblPr>
      <w:tblGrid>
        <w:gridCol w:w="1540"/>
        <w:gridCol w:w="1620"/>
        <w:gridCol w:w="1200"/>
        <w:gridCol w:w="10060"/>
      </w:tblGrid>
      <w:tr w:rsidR="00141B5A" w:rsidRPr="00141B5A" w14:paraId="1289BA70" w14:textId="77777777" w:rsidTr="00141B5A">
        <w:trPr>
          <w:trHeight w:val="645"/>
        </w:trPr>
        <w:tc>
          <w:tcPr>
            <w:tcW w:w="1540" w:type="dxa"/>
            <w:tcBorders>
              <w:top w:val="single" w:sz="8" w:space="0" w:color="000000"/>
              <w:left w:val="single" w:sz="8" w:space="0" w:color="CCCCCC"/>
              <w:bottom w:val="single" w:sz="8" w:space="0" w:color="000000"/>
              <w:right w:val="single" w:sz="8" w:space="0" w:color="000000"/>
            </w:tcBorders>
            <w:shd w:val="clear" w:color="000000" w:fill="00B0F0"/>
            <w:vAlign w:val="bottom"/>
            <w:hideMark/>
          </w:tcPr>
          <w:p w14:paraId="2DB4DDD4" w14:textId="77777777" w:rsidR="00141B5A" w:rsidRPr="00141B5A" w:rsidRDefault="00141B5A" w:rsidP="00141B5A">
            <w:pPr>
              <w:spacing w:after="0" w:line="240" w:lineRule="auto"/>
              <w:jc w:val="center"/>
              <w:rPr>
                <w:rFonts w:eastAsia="Times New Roman"/>
                <w:b/>
                <w:bCs/>
                <w:color w:val="000000"/>
                <w:sz w:val="24"/>
                <w:szCs w:val="24"/>
              </w:rPr>
            </w:pPr>
            <w:r w:rsidRPr="00141B5A">
              <w:rPr>
                <w:rFonts w:eastAsia="Times New Roman"/>
                <w:b/>
                <w:bCs/>
                <w:color w:val="000000"/>
                <w:sz w:val="24"/>
                <w:szCs w:val="24"/>
              </w:rPr>
              <w:t>Senate</w:t>
            </w:r>
            <w:r w:rsidRPr="00141B5A">
              <w:rPr>
                <w:rFonts w:eastAsia="Times New Roman"/>
                <w:b/>
                <w:bCs/>
                <w:color w:val="000000"/>
                <w:sz w:val="24"/>
                <w:szCs w:val="24"/>
              </w:rPr>
              <w:br/>
              <w:t>Section</w:t>
            </w:r>
          </w:p>
        </w:tc>
        <w:tc>
          <w:tcPr>
            <w:tcW w:w="1620" w:type="dxa"/>
            <w:tcBorders>
              <w:top w:val="single" w:sz="8" w:space="0" w:color="000000"/>
              <w:left w:val="single" w:sz="8" w:space="0" w:color="CCCCCC"/>
              <w:bottom w:val="single" w:sz="8" w:space="0" w:color="000000"/>
              <w:right w:val="single" w:sz="8" w:space="0" w:color="000000"/>
            </w:tcBorders>
            <w:shd w:val="clear" w:color="000000" w:fill="00B0F0"/>
            <w:vAlign w:val="bottom"/>
            <w:hideMark/>
          </w:tcPr>
          <w:p w14:paraId="0EAEDBDF" w14:textId="77777777" w:rsidR="00141B5A" w:rsidRPr="00141B5A" w:rsidRDefault="00141B5A" w:rsidP="00141B5A">
            <w:pPr>
              <w:spacing w:after="0" w:line="240" w:lineRule="auto"/>
              <w:jc w:val="center"/>
              <w:rPr>
                <w:rFonts w:eastAsia="Times New Roman"/>
                <w:b/>
                <w:bCs/>
                <w:color w:val="000000"/>
                <w:sz w:val="24"/>
                <w:szCs w:val="24"/>
              </w:rPr>
            </w:pPr>
            <w:r w:rsidRPr="00141B5A">
              <w:rPr>
                <w:rFonts w:eastAsia="Times New Roman"/>
                <w:b/>
                <w:bCs/>
                <w:color w:val="000000"/>
                <w:sz w:val="24"/>
                <w:szCs w:val="24"/>
              </w:rPr>
              <w:t>Policy</w:t>
            </w:r>
          </w:p>
        </w:tc>
        <w:tc>
          <w:tcPr>
            <w:tcW w:w="1200" w:type="dxa"/>
            <w:tcBorders>
              <w:top w:val="single" w:sz="8" w:space="0" w:color="000000"/>
              <w:left w:val="single" w:sz="8" w:space="0" w:color="CCCCCC"/>
              <w:bottom w:val="single" w:sz="8" w:space="0" w:color="000000"/>
              <w:right w:val="single" w:sz="8" w:space="0" w:color="000000"/>
            </w:tcBorders>
            <w:shd w:val="clear" w:color="000000" w:fill="00B0F0"/>
            <w:vAlign w:val="bottom"/>
            <w:hideMark/>
          </w:tcPr>
          <w:p w14:paraId="6535A2EC" w14:textId="77777777" w:rsidR="00141B5A" w:rsidRPr="00141B5A" w:rsidRDefault="00141B5A" w:rsidP="00141B5A">
            <w:pPr>
              <w:spacing w:after="0" w:line="240" w:lineRule="auto"/>
              <w:jc w:val="center"/>
              <w:rPr>
                <w:rFonts w:eastAsia="Times New Roman"/>
                <w:b/>
                <w:bCs/>
                <w:color w:val="000000"/>
                <w:sz w:val="24"/>
                <w:szCs w:val="24"/>
              </w:rPr>
            </w:pPr>
            <w:r w:rsidRPr="00141B5A">
              <w:rPr>
                <w:rFonts w:eastAsia="Times New Roman"/>
                <w:b/>
                <w:bCs/>
                <w:color w:val="000000"/>
                <w:sz w:val="24"/>
                <w:szCs w:val="24"/>
              </w:rPr>
              <w:t>Included in BAU?</w:t>
            </w:r>
          </w:p>
        </w:tc>
        <w:tc>
          <w:tcPr>
            <w:tcW w:w="10060" w:type="dxa"/>
            <w:tcBorders>
              <w:top w:val="single" w:sz="8" w:space="0" w:color="000000"/>
              <w:left w:val="single" w:sz="8" w:space="0" w:color="CCCCCC"/>
              <w:bottom w:val="single" w:sz="8" w:space="0" w:color="000000"/>
              <w:right w:val="single" w:sz="8" w:space="0" w:color="000000"/>
            </w:tcBorders>
            <w:shd w:val="clear" w:color="000000" w:fill="00B0F0"/>
            <w:vAlign w:val="bottom"/>
            <w:hideMark/>
          </w:tcPr>
          <w:p w14:paraId="55B81851" w14:textId="77777777" w:rsidR="00141B5A" w:rsidRPr="00141B5A" w:rsidRDefault="00141B5A" w:rsidP="00141B5A">
            <w:pPr>
              <w:spacing w:after="0" w:line="240" w:lineRule="auto"/>
              <w:jc w:val="center"/>
              <w:rPr>
                <w:rFonts w:eastAsia="Times New Roman"/>
                <w:b/>
                <w:bCs/>
                <w:color w:val="000000"/>
                <w:sz w:val="24"/>
                <w:szCs w:val="24"/>
              </w:rPr>
            </w:pPr>
            <w:r w:rsidRPr="00141B5A">
              <w:rPr>
                <w:rFonts w:eastAsia="Times New Roman"/>
                <w:b/>
                <w:bCs/>
                <w:color w:val="000000"/>
                <w:sz w:val="24"/>
                <w:szCs w:val="24"/>
              </w:rPr>
              <w:t>Methodology</w:t>
            </w:r>
          </w:p>
        </w:tc>
      </w:tr>
      <w:tr w:rsidR="00141B5A" w:rsidRPr="00141B5A" w14:paraId="597D9DB8"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48C21A74"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Finance</w:t>
            </w:r>
          </w:p>
        </w:tc>
      </w:tr>
      <w:tr w:rsidR="00141B5A" w:rsidRPr="00141B5A" w14:paraId="1F65A3AE" w14:textId="77777777" w:rsidTr="00141B5A">
        <w:trPr>
          <w:trHeight w:val="46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1883E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13101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89B3A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and Modification of Credit for Electricity Produced from Certain Renewable Resources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BEBD8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78C68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First, we calculate the percentage of new plants that will qualify for a) the prevailing wage and apprenticeship requirements and b) the domestic content requirements. For part a, we only calculate the share of plants that would meet the apprenticeship requirement and assume all these plants would also meet the prevailing wage requirement (varying assumptions on the share of qualifying plants across scenarios based on data for the construction industry from the ACP Labor Supply Report). For part b, we calculate the domestic content share for each power plant type. For onshore and offshore wind, we assume 100% of plants qualify for the bonus credit, based on a Net Zero America analysis, which lists domestic content shares for various wind components at well over the 55% domestic content requirement. For solar, we use the cited domestic content values for cells, modules, and inverters to calculate a weighted domestic content share, given the percentage of solar capital costs by component from the JEDI model. We assume a mid-case between scenarios where domestic content for solar PV remains constant and where domestic content can gradually increase to meet the 55% requirement by 2026. For batteries, we assume 100% of grid batteries will qualify, based on the volume of announced battery manufacturing projects in the U.S.</w:t>
            </w:r>
            <w:r w:rsidRPr="00141B5A">
              <w:rPr>
                <w:rFonts w:eastAsia="Times New Roman"/>
                <w:color w:val="000000"/>
                <w:sz w:val="20"/>
                <w:szCs w:val="20"/>
              </w:rPr>
              <w:br/>
            </w:r>
            <w:r w:rsidRPr="00141B5A">
              <w:rPr>
                <w:rFonts w:eastAsia="Times New Roman"/>
                <w:color w:val="000000"/>
                <w:sz w:val="20"/>
                <w:szCs w:val="20"/>
              </w:rPr>
              <w:br/>
              <w:t xml:space="preserve">Next, we add in the energy community bonus, assuming that 50% of capacity additions qualify. We then calculate what the total credit value would be for each technology in each year for both the ITC and the PTC.  For the PTC values, we also adjust the calculated credit by the present value over 10 years divided by the present value over the plant financing period, because the PTC is only available for the first 10 years of a plant's lifetime. Finally, we apply a transferability multiplier of 7.5%. This value reduces the credit value available to developers to account for the fact tax credits are transferable. </w:t>
            </w:r>
            <w:r w:rsidRPr="00141B5A">
              <w:rPr>
                <w:rFonts w:eastAsia="Times New Roman"/>
                <w:color w:val="000000"/>
                <w:sz w:val="20"/>
                <w:szCs w:val="20"/>
              </w:rPr>
              <w:br/>
            </w:r>
            <w:r w:rsidRPr="00141B5A">
              <w:rPr>
                <w:rFonts w:eastAsia="Times New Roman"/>
                <w:color w:val="000000"/>
                <w:sz w:val="20"/>
                <w:szCs w:val="20"/>
              </w:rPr>
              <w:br/>
              <w:t>We begin phasing out tax credits once electricity emissions reach 25% of 2022 values, in the year 2039.</w:t>
            </w:r>
            <w:r w:rsidRPr="00141B5A">
              <w:rPr>
                <w:rFonts w:eastAsia="Times New Roman"/>
                <w:color w:val="000000"/>
                <w:sz w:val="20"/>
                <w:szCs w:val="20"/>
              </w:rPr>
              <w:br/>
            </w:r>
            <w:r w:rsidRPr="00141B5A">
              <w:rPr>
                <w:rFonts w:eastAsia="Times New Roman"/>
                <w:color w:val="000000"/>
                <w:sz w:val="20"/>
                <w:szCs w:val="20"/>
              </w:rPr>
              <w:br/>
              <w:t>We limit our analysis to onshore and offshore wind, solar PV, solar thermal, geothermal, municipal solid waste, and battery storage. We do not model credits for qualifying hydro or biogas plants. For solar PV, we calculate a LCOE for both the ITC and PTC settings to determine whether that resource elects the ITC or the PTC in each year.</w:t>
            </w:r>
          </w:p>
        </w:tc>
      </w:tr>
      <w:tr w:rsidR="00141B5A" w:rsidRPr="00141B5A" w14:paraId="5CD67587"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45143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13102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2653B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and Modification of Energy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652D2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81FD1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13101</w:t>
            </w:r>
          </w:p>
        </w:tc>
      </w:tr>
      <w:tr w:rsidR="00141B5A" w:rsidRPr="00141B5A" w14:paraId="4E753923" w14:textId="77777777" w:rsidTr="00141B5A">
        <w:trPr>
          <w:trHeight w:val="130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679BB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13103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CE06A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Increase in Energy Credit for Solar and Wind Facilities Placed in Service in Connection with </w:t>
            </w:r>
            <w:r w:rsidRPr="00141B5A">
              <w:rPr>
                <w:rFonts w:eastAsia="Times New Roman"/>
                <w:color w:val="000000"/>
                <w:sz w:val="20"/>
                <w:szCs w:val="20"/>
              </w:rPr>
              <w:lastRenderedPageBreak/>
              <w:t>Low Income Communities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E358C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9D228D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assume that 1.8 GW of distributed solar is deployed as a result of this section each year the clean energy tax credits are in effect.</w:t>
            </w:r>
          </w:p>
        </w:tc>
      </w:tr>
      <w:tr w:rsidR="00141B5A" w:rsidRPr="00141B5A" w14:paraId="111DFF39"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1DD1A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13104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01AB2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and Modification of Credit for Carbon Oxide Sequestration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0F875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C8818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For the power sector, we apply 45Q credits to all power plants with CCS. </w:t>
            </w:r>
            <w:r w:rsidRPr="00141B5A">
              <w:rPr>
                <w:rFonts w:eastAsia="Times New Roman"/>
                <w:color w:val="000000"/>
                <w:sz w:val="20"/>
                <w:szCs w:val="20"/>
              </w:rPr>
              <w:br/>
            </w:r>
            <w:r w:rsidRPr="00141B5A">
              <w:rPr>
                <w:rFonts w:eastAsia="Times New Roman"/>
                <w:color w:val="000000"/>
                <w:sz w:val="20"/>
                <w:szCs w:val="20"/>
              </w:rPr>
              <w:br/>
              <w:t>The EPS is not currently equipped with endogenous industrial CCS based on economics. For the industry sector, we use a Rhodium analysis of CCS deployment under the IRA to determine the amount of CCS by industry category. We keep industry CCS constant after 2035.</w:t>
            </w:r>
          </w:p>
        </w:tc>
      </w:tr>
      <w:tr w:rsidR="00141B5A" w:rsidRPr="00141B5A" w14:paraId="5B1117D1"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D4E5D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13105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81D1B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Zero-Emissions Nuclear Power Production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57B2F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7AC62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The nuclear PTC runs through 2032, and we assume the credits are sufficient to keep all existing nuclear without planned retirement dates online through that time. We determined the credit values using calibration to find the value that kept all nuclear online through 2032. </w:t>
            </w:r>
          </w:p>
        </w:tc>
      </w:tr>
      <w:tr w:rsidR="00141B5A" w:rsidRPr="00141B5A" w14:paraId="5B597641"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9CB8F9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13201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510F9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Extensions of Incentives for Biodiesel, Renewable Diesel and Alternative Fuels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D0DFD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28F55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473FC27A"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1A7F6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13202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97039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of Second Generation Biofuel Incentives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726C6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B5D1D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2F809D54"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14A3F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13203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E2951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Sustainable Aviation Fuel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7F72D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65A53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241AC207"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2071A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13204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B4570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Hydrogen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7C69A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EE4D5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assume a 76% displacement of gray hydrogen with electrolytic hydrogen, and assume electrolyzers are powered by new clean electricity. This represents replacement of merchant H2, covering ammonia and all non-by product refinery demand. The credit is applicable through 2032 before it expires. We  assume the same level of hydrogen production through electrolysis once the tax credits expire (considering producers will have already invested in the production process).</w:t>
            </w:r>
          </w:p>
        </w:tc>
      </w:tr>
      <w:tr w:rsidR="00141B5A" w:rsidRPr="00141B5A" w14:paraId="1D3E6340"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9246E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13301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B70D3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Extensions, Increase, and Modifications of Nonbusiness Energy Property Credit (25C)</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083F0F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C1289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Partially included in the Annual Energy Outlook, which we use as a primary source of input data</w:t>
            </w:r>
          </w:p>
        </w:tc>
      </w:tr>
      <w:tr w:rsidR="00141B5A" w:rsidRPr="00141B5A" w14:paraId="59E26CC7"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724B8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13302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C8DD4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Residential Clean Energy Credit (25D)</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DEA9A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1FBEA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Partially included in the Annual Energy Outlook, which we use as a primary source of input data</w:t>
            </w:r>
          </w:p>
        </w:tc>
      </w:tr>
      <w:tr w:rsidR="00141B5A" w:rsidRPr="00141B5A" w14:paraId="72F62BB2"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73F32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13303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43BF0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Energy Efficient Commercial Buildings Deduction (179D)</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03B77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A3621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commercial buildings.</w:t>
            </w:r>
          </w:p>
        </w:tc>
      </w:tr>
      <w:tr w:rsidR="00141B5A" w:rsidRPr="00141B5A" w14:paraId="5E039770"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F73FB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13304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54AA5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Extensions, Increase, and Modifications of New Energy Efficient Home Credit (45L)</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17E1C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3CCFF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Partially included in the Annual Energy Outlook, which we use as a primary source of input data</w:t>
            </w:r>
          </w:p>
        </w:tc>
      </w:tr>
      <w:tr w:rsidR="00141B5A" w:rsidRPr="00141B5A" w14:paraId="0A9FF3C4"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D599E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13401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7EE4B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Vehicle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188B6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A9E41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We calculate a weighted average incentive level based on the incentive amounst and the share of vehicles that would qualify based on manufacturing requirements, critical minerals, AGI cap, and MSRP cap. </w:t>
            </w:r>
          </w:p>
        </w:tc>
      </w:tr>
      <w:tr w:rsidR="00141B5A" w:rsidRPr="00141B5A" w14:paraId="2A5C5FA6"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5575C8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13402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8574F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Credit for Previously-owned Clean Vehicles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E5245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AFD3C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do not track used vehicle sales in the EPS</w:t>
            </w:r>
          </w:p>
        </w:tc>
      </w:tr>
      <w:tr w:rsidR="00141B5A" w:rsidRPr="00141B5A" w14:paraId="3FB388DB"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4CE1B6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13403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FF004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Qualified Commercial Clean Vehicles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BBBD2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535A1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For commercial vehicle credits, we find that the credit caps of $7,500 for vehicles under 14,000 pounds or $40,000 for vehicles over 14,000 pounds apply in all years. We apply the credit to all new sales of commercial trucks, using a weighted average credit value for our freight LDV category which covers both light and medium duty trucks. We also apply the credit to a fraction of buses, excluding buses purchased by the government. The credit runs from 2023-2032.</w:t>
            </w:r>
          </w:p>
        </w:tc>
      </w:tr>
      <w:tr w:rsidR="00141B5A" w:rsidRPr="00141B5A" w14:paraId="1C19B9CF"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96205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13404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644B5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Alternative Fuel Refueling Property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ABA50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E77FA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calculate an incremental number of chargers deployed based on funding and the model's weighted average charger cost. We take estimated funding from the released JCT scores and assume 80% of the spending is directed toward public chargers. We do not attempt to model the effects of private chargers. The number of additional chargers is then fed into our model's calculations for the shadow price used to represent range/charging anxiety for passenger LDV owners, which is partially determined by the ratio of charging infrastructure to gasoline pumps. This adjustment helps to drop the shadow price in response to additional infrastructure and increase consumer adoption of electric vehicles.</w:t>
            </w:r>
          </w:p>
        </w:tc>
      </w:tr>
      <w:tr w:rsidR="00141B5A" w:rsidRPr="00141B5A" w14:paraId="37558BBA"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FA094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13501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41A7E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of the Advanced Energy Project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D41A7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08529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13502.</w:t>
            </w:r>
          </w:p>
        </w:tc>
      </w:tr>
      <w:tr w:rsidR="00141B5A" w:rsidRPr="00141B5A" w14:paraId="2C06F820" w14:textId="77777777" w:rsidTr="00141B5A">
        <w:trPr>
          <w:trHeight w:val="18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DE37B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13502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0D127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Advanced Manufacturing Production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896F8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87D51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 EPS explictly tracks tax credits for vehicle battery production.  We therefore apply a credit of $35/kWh for battery cells and $10/kWh for assembly for onroad vehicle batteries. We use several external sources to determine the average kWh battery capacity for each vehicle type. We use ICCT research to determine what portion of the credits paid to producers is passed on to consumers in each year.</w:t>
            </w:r>
            <w:r w:rsidRPr="00141B5A">
              <w:rPr>
                <w:rFonts w:eastAsia="Times New Roman"/>
                <w:color w:val="000000"/>
                <w:sz w:val="20"/>
                <w:szCs w:val="20"/>
              </w:rPr>
              <w:br/>
            </w:r>
            <w:r w:rsidRPr="00141B5A">
              <w:rPr>
                <w:rFonts w:eastAsia="Times New Roman"/>
                <w:color w:val="000000"/>
                <w:sz w:val="20"/>
                <w:szCs w:val="20"/>
              </w:rPr>
              <w:br/>
              <w:t xml:space="preserve">For other tax credits, we manually adjust industrial energy demand from the Annual Energy Outlook based on our own calculations. We use the sector breakdowns from a Data for Progress analysis. We leverage the tax credits into total </w:t>
            </w:r>
            <w:r w:rsidRPr="00141B5A">
              <w:rPr>
                <w:rFonts w:eastAsia="Times New Roman"/>
                <w:color w:val="000000"/>
                <w:sz w:val="20"/>
                <w:szCs w:val="20"/>
              </w:rPr>
              <w:lastRenderedPageBreak/>
              <w:t>increased output of industries. Next, we use the model's 'buy in-region' policy to increase outputs of selected industries by the correct totals. We assume the stimulus results in permanent job creation, even after the tax credits expire.</w:t>
            </w:r>
          </w:p>
        </w:tc>
      </w:tr>
      <w:tr w:rsidR="00141B5A" w:rsidRPr="00141B5A" w14:paraId="402C5EBC"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69A78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13601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4C15C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Reinstatement of Superfund</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ECF85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001B8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7C244B2"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3B2C9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13701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2A4B9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Electricity Production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A386B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735CF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Sections 13101-13102.</w:t>
            </w:r>
          </w:p>
        </w:tc>
      </w:tr>
      <w:tr w:rsidR="00141B5A" w:rsidRPr="00141B5A" w14:paraId="0D190659"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D2601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13702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BE37B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Electricity Investment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6B3E3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3EB7A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Sections 13101-13102.</w:t>
            </w:r>
          </w:p>
        </w:tc>
      </w:tr>
      <w:tr w:rsidR="00141B5A" w:rsidRPr="00141B5A" w14:paraId="69DCDE68"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15351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13703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A3568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Cost Recovery for Qualified Facilities, Qualified Property, and Energy Storage Property</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3B4D5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12C35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Partially included in the Annual Energy Outlook, which we use as a primary source of input data</w:t>
            </w:r>
          </w:p>
        </w:tc>
      </w:tr>
      <w:tr w:rsidR="00141B5A" w:rsidRPr="00141B5A" w14:paraId="62D9D2A1"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4D3B0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13704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DDA5E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Fuel Production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32512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6034E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71B7C981" w14:textId="77777777" w:rsidTr="00141B5A">
        <w:trPr>
          <w:trHeight w:val="130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7243D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13801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A11C8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Elective Payment for Energy Property and Electricity Produced from Certain Renewable Resources, Etc.</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CFE18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0AB46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E64AB0A"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BA3DE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13802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E5408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IRS Appropriations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EA2A3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61E39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A99FA06"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02654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13901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F4ACB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Extension of tax to fund Black Lung Disability Trust Fund</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9394D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C2EA0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1E3CC57"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1987F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13902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826CD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R&amp;D Credit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95767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EE028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0B5A5E9"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1B22CA3F"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lastRenderedPageBreak/>
              <w:t>Agriculture</w:t>
            </w:r>
          </w:p>
        </w:tc>
      </w:tr>
      <w:tr w:rsidR="00141B5A" w:rsidRPr="00141B5A" w14:paraId="55A33CC1" w14:textId="77777777" w:rsidTr="00141B5A">
        <w:trPr>
          <w:trHeight w:val="16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AAB00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21001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2F512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Additional Agricultural Conservation investments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49654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BFA82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Our approach is to calculate the amount of the model's 'crop and rice measures,' 'livestock measures,'improved soil measures' emissions abatement potential that matches the total funding in this Section. The corresponding emissions are then removed from our BAU totals. The remaining emissions abatement potential possible through policy levers is also adjusted.</w:t>
            </w:r>
            <w:r w:rsidRPr="00141B5A">
              <w:rPr>
                <w:rFonts w:eastAsia="Times New Roman"/>
                <w:color w:val="000000"/>
                <w:sz w:val="20"/>
                <w:szCs w:val="20"/>
              </w:rPr>
              <w:br/>
            </w:r>
            <w:r w:rsidRPr="00141B5A">
              <w:rPr>
                <w:rFonts w:eastAsia="Times New Roman"/>
                <w:color w:val="000000"/>
                <w:sz w:val="20"/>
                <w:szCs w:val="20"/>
              </w:rPr>
              <w:br/>
              <w:t>The EPS assumes agricultural practices need to be consistently implemented in every year in order to maintain emissions reductions. To be conservative, we phase out agricultural practices incentivized by the IRA over a period of 4 years rather than assume permanent reductions.</w:t>
            </w:r>
          </w:p>
        </w:tc>
      </w:tr>
      <w:tr w:rsidR="00141B5A" w:rsidRPr="00141B5A" w14:paraId="72928460" w14:textId="77777777" w:rsidTr="00141B5A">
        <w:trPr>
          <w:trHeight w:val="16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5EAEB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21002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561DDA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Conservation Technical Assistance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811F9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A6C2F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Our approach is to calculate the amount of the model's 'crop and rice measures,' 'livestock measures,'improved soil measures' emissions abatement potential that matches the total funding in this Section. The corresponding emissions are then removed from our BAU totals. The remaining emissions abatement potential possible through policy levers is also adjusted.</w:t>
            </w:r>
            <w:r w:rsidRPr="00141B5A">
              <w:rPr>
                <w:rFonts w:eastAsia="Times New Roman"/>
                <w:color w:val="000000"/>
                <w:sz w:val="20"/>
                <w:szCs w:val="20"/>
              </w:rPr>
              <w:br/>
            </w:r>
            <w:r w:rsidRPr="00141B5A">
              <w:rPr>
                <w:rFonts w:eastAsia="Times New Roman"/>
                <w:color w:val="000000"/>
                <w:sz w:val="20"/>
                <w:szCs w:val="20"/>
              </w:rPr>
              <w:br/>
              <w:t>The EPS assumes agricultural practices need to be consistently implemented in every year in order to maintain emissions reductions. To be conservative, we phase out agricultural practices incentivized by the IRA over a period of 4 years rather than assume permanent reductions.</w:t>
            </w:r>
          </w:p>
        </w:tc>
      </w:tr>
      <w:tr w:rsidR="00141B5A" w:rsidRPr="00141B5A" w14:paraId="0B88F31D"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ED405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22001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CB732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Electric Loans for Renewable Energy (Sec. 317)</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0C5AC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03816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combine 22001 and 22002 (Forgiveable loans for Renewable Energy + Rural Energy for America Program). We take historical energy spend by the Rural Utilities Service and apportion the new funding as in the past. We assume all funding not earmarked for energy efficiency goes toward retiring coal and replacing it with clean electricity.</w:t>
            </w:r>
          </w:p>
        </w:tc>
      </w:tr>
      <w:tr w:rsidR="00141B5A" w:rsidRPr="00141B5A" w14:paraId="041E198F"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E3622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22002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3911A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Rural Energy for America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5667F2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287BB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22001</w:t>
            </w:r>
          </w:p>
        </w:tc>
      </w:tr>
      <w:tr w:rsidR="00141B5A" w:rsidRPr="00141B5A" w14:paraId="7E4CBD53"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C737C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22003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B382F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Biofuels Infrastructure and Agriculture Market Expansion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B3337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4CB176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do not track biofuel infrastructure in the EPS.</w:t>
            </w:r>
          </w:p>
        </w:tc>
      </w:tr>
      <w:tr w:rsidR="00141B5A" w:rsidRPr="00141B5A" w14:paraId="17980075"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08183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22004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966BA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USDA Assistance for Rural Electric Cooperatives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AD6FF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AD1F5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We assume a $500/kW incentive is enough to retire all majority owned co-op coal plants. We get data on co-op ownership shares from EIA 860. We exclude industrial CHP and non-CHP, because those facilities have different economics and offtakers (available on request; file is large). We also remove any plants that are already slated to be retired and therefore already included in our planned retirements data. Data on outstanding coal debt is taken from public sources as listed below. We allocate the reductions between 2023 and 2030. </w:t>
            </w:r>
          </w:p>
        </w:tc>
      </w:tr>
      <w:tr w:rsidR="00141B5A" w:rsidRPr="00141B5A" w14:paraId="2268C2FB"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5656A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22005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4472FD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Additional USDA Rural Development Administrative Funds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02350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B907B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587FF7C" w14:textId="77777777" w:rsidTr="00141B5A">
        <w:trPr>
          <w:trHeight w:val="156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80CDB1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23001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3D0AB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National Forest System Restoration and Fuels Reduction Projects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D206A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454D54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sum forestry funding that aligns with the scope of the Energy Policy Simulator's LULUCF sector, then assign it to either the model's 'forest management' or 'afforestation and reforestation' potential. We then find the policy setting that matches total government spend over the period of 2023-2031. For Section 23001, we only include the protection of old-growth forests funding and exclude hazardous fuels reduction and vegetation management, which are outside the scope of the model. We then adjust our BAU forestry projections and policy potential accordingly.</w:t>
            </w:r>
            <w:r w:rsidRPr="00141B5A">
              <w:rPr>
                <w:rFonts w:eastAsia="Times New Roman"/>
                <w:color w:val="000000"/>
                <w:sz w:val="20"/>
                <w:szCs w:val="20"/>
              </w:rPr>
              <w:br/>
            </w:r>
            <w:r w:rsidRPr="00141B5A">
              <w:rPr>
                <w:rFonts w:eastAsia="Times New Roman"/>
                <w:color w:val="000000"/>
                <w:sz w:val="20"/>
                <w:szCs w:val="20"/>
              </w:rPr>
              <w:br/>
              <w:t>The EPS assumes forest management practices need to be consistently implemented in every year in order to maintain emissions reductions. To be conservative, we phase out forest management practices incentivized by the IRA over a period of 4 years rather than assume permanent reductions.</w:t>
            </w:r>
          </w:p>
        </w:tc>
      </w:tr>
      <w:tr w:rsidR="00141B5A" w:rsidRPr="00141B5A" w14:paraId="56BC8D4F"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60EBF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23002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49849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Non-Federal Land Forest Restoration and Fuels Reduction Projects and Research</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6FE26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4E666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We sum forestry funding that aligns with the scope of the Energy Policy Simulator's LULUCF sector, then assign it to either the model's 'forest management' or 'afforestation and reforestation' levers. We then find the policy setting that matches total government spend over the period of 2023-2031. For Sections 23002 and 23003, we include all funding.</w:t>
            </w:r>
          </w:p>
        </w:tc>
      </w:tr>
      <w:tr w:rsidR="00141B5A" w:rsidRPr="00141B5A" w14:paraId="12B1AFF6"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85F98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23003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C1694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State and Private Forestry Conservation Programs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EFE6F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7B567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23002</w:t>
            </w:r>
          </w:p>
        </w:tc>
      </w:tr>
      <w:tr w:rsidR="00141B5A" w:rsidRPr="00141B5A" w14:paraId="647A6E52"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B82CD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23005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9CD79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Administrative Costs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08CC5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94472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8E01AE1"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47E720BF"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Banking</w:t>
            </w:r>
          </w:p>
        </w:tc>
      </w:tr>
      <w:tr w:rsidR="00141B5A" w:rsidRPr="00141B5A" w14:paraId="3F8FA7A4"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73D4E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30001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BB470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Enhanced Use of Defense Production Act of 1950</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9FEE3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81BF2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75957C4" w14:textId="77777777" w:rsidTr="00141B5A">
        <w:trPr>
          <w:trHeight w:val="130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1F225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30002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74017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Improving Energy Efficiency or Water Efficiency or Climate Resilience of Affordable Housing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69517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66A87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residential buildings.</w:t>
            </w:r>
          </w:p>
        </w:tc>
      </w:tr>
      <w:tr w:rsidR="00141B5A" w:rsidRPr="00141B5A" w14:paraId="59FD6F15"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0988A3B8"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Commerce</w:t>
            </w:r>
          </w:p>
        </w:tc>
      </w:tr>
      <w:tr w:rsidR="00141B5A" w:rsidRPr="00141B5A" w14:paraId="18E789B3"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9B5D0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4CE50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Investing in Coastal Communities and Climate Resilience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FB37A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93C48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224784D"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9A47E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40002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C56BB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Facilities of NOAA and National Marine Sanctuaries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C3376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31736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65E73D8"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280BE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5E306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NOAA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74C1A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37024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3F23231"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8F059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D6C08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Oceanic and Atmospheric Research and Forecasting for Weather and Climate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A413B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95412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A4BFE2F"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7C494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41433F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NOAA Computing Capacity and Research for Weather, Oceans, and Climate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193D6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56642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7F1C347"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6333C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40006</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C5556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Acquisition of Hurricane Forecasting Aircraft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6ACFB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AEDA1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F845067"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DD5EA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40007</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85CB3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Alternative Fuel And Low-Emission Aviation Technology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D1076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166DE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33A80C3"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520D4C72"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Energy and Natural Resources</w:t>
            </w:r>
          </w:p>
        </w:tc>
      </w:tr>
      <w:tr w:rsidR="00141B5A" w:rsidRPr="00141B5A" w14:paraId="48140547"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6AA06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50121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97F73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Home Energy Performance-Based, Whole-House Rebates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F3DF7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D15E1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residential buildings.</w:t>
            </w:r>
          </w:p>
        </w:tc>
      </w:tr>
      <w:tr w:rsidR="00141B5A" w:rsidRPr="00141B5A" w14:paraId="57586EA3"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1B5BF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50122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A4178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High-Efficiency Electric Home Rebate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26849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BA18D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residential buildings.</w:t>
            </w:r>
          </w:p>
        </w:tc>
      </w:tr>
      <w:tr w:rsidR="00141B5A" w:rsidRPr="00141B5A" w14:paraId="72B76029"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993E5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50123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F8F18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 xml:space="preserve">State-Based Home Energy Efficiency </w:t>
            </w:r>
            <w:r w:rsidRPr="00141B5A">
              <w:rPr>
                <w:rFonts w:eastAsia="Times New Roman"/>
                <w:color w:val="000000"/>
                <w:sz w:val="20"/>
                <w:szCs w:val="20"/>
              </w:rPr>
              <w:lastRenderedPageBreak/>
              <w:t>Contractor Training Grants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57DB1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7C904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49B2FC4"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F0EE7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50131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F948E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Assistance for Latest and Zero Building Energy Code Adoption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E6DF77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BB899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residential buildings.</w:t>
            </w:r>
          </w:p>
        </w:tc>
      </w:tr>
      <w:tr w:rsidR="00141B5A" w:rsidRPr="00141B5A" w14:paraId="73C9051A"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8442F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50141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0A435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Department of Energy Loan Programs Office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C553B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2A674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B279400"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D5AF6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50142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B5FCA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Advanced Technology Vehicle Manufacturing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AB238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80040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2F594C8"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65AFD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50143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16F3B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Domestic Manufacturing Conversion Grants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917B7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739797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DEDE854" w14:textId="77777777" w:rsidTr="00141B5A">
        <w:trPr>
          <w:trHeight w:val="141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59B2A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50144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28274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Energy Infrastructure Reinvestment Financing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76E05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4899A3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621511B"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F6A8C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50145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B567A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Tribal Energy Loan Guarantee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55721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05C34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346B8A0"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731829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50151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6C294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Transmission Facility Financing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78992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99546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 EPS now endogenously adds transmission infrastructure as new resources are added to the grid. Our back of the envelope calculations of transmission incentivisized by these sections is much lower than the amount of transmission already added to the grid in our BAU scenario.</w:t>
            </w:r>
          </w:p>
        </w:tc>
      </w:tr>
      <w:tr w:rsidR="00141B5A" w:rsidRPr="00141B5A" w14:paraId="021464D6"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258C1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50152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7D4B5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Grants to Facilitate the Siting of Interstate Electricity Transmission Lines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C1384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98E1A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 EPS now endogenously adds transmission infrastructure as new resources are added to the grid. Our back of the envelope calculations of transmission incentivisized by these sections is much lower than the amount of transmission already added to the grid in our BAU scenario.</w:t>
            </w:r>
          </w:p>
        </w:tc>
      </w:tr>
      <w:tr w:rsidR="00141B5A" w:rsidRPr="00141B5A" w14:paraId="4EE69A49"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6D119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50153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48183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Interregional and Offshore Wind Electricity Transmission Planning, Modeling, and Analysis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D597F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34FD5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 EPS now endogenously adds transmission infrastructure as new resources are added to the grid. Our back of the envelope calculations of transmission incentivisized by these sections is much lower than the amount of transmission already added to the grid in our BAU scenario.</w:t>
            </w:r>
          </w:p>
        </w:tc>
      </w:tr>
      <w:tr w:rsidR="00141B5A" w:rsidRPr="00141B5A" w14:paraId="69AA78B7" w14:textId="77777777" w:rsidTr="00141B5A">
        <w:trPr>
          <w:trHeight w:val="130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B9D38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50161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F41F2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Advanced Industrial Facilities Deployment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5B2D6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E977E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program has a maximum government spend of 50% of total project costs and $6 billion in funding. We assume 40% public/60% private. We also add in $3 billion from the 48C program for industry. We then use EPS data on the costs to implement industrial efficiency policies to calculate annual efficiency improvements. We manually adjust energy demand projections from the Annual Energy Outlook by the expected efficiency improvements.</w:t>
            </w:r>
            <w:r w:rsidRPr="00141B5A">
              <w:rPr>
                <w:rFonts w:eastAsia="Times New Roman"/>
                <w:color w:val="000000"/>
                <w:sz w:val="20"/>
                <w:szCs w:val="20"/>
              </w:rPr>
              <w:br/>
            </w:r>
            <w:r w:rsidRPr="00141B5A">
              <w:rPr>
                <w:rFonts w:eastAsia="Times New Roman"/>
                <w:color w:val="000000"/>
                <w:sz w:val="20"/>
                <w:szCs w:val="20"/>
              </w:rPr>
              <w:br/>
              <w:t>We assume industrial efficiency will improve through 2031 when the funding window ends.</w:t>
            </w:r>
          </w:p>
        </w:tc>
      </w:tr>
      <w:tr w:rsidR="00141B5A" w:rsidRPr="00141B5A" w14:paraId="469840CB"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E5F88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50171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7CD43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Department of Energy Oversight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E56AF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464A2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387D859"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FA783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50172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E3F42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National Laboratory Infrastructure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1B8D1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801438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CF53273"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83AD6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50173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A0A89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Availability of High-Assay Low-Enriched Uranium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7107C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43D2A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83F7B71"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9D413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50221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DABF5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National Parks and Public Lands Conservation and Resilience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EBD5A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6F7DF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78ACE97"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6F5F4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50222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A861E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National Parks and Public Lands Conservation and Ecosystem Restoration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C156E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2FB04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3FF4377"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244A2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50223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3E909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National Park Service Field Employees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3DCE7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25B0D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780F196"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CBE7A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50231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82A6B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Bureau of Reclamation Domestic Water Supply Projects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42AB6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B637A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14E1C56"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C0AFA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50232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1F814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Canal Improvement Projects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AFFC2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6A33B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24EF0FB"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A205E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50241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CA4A8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Office of Insular Affairs Climate Change Technical Assistance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994F4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82CF1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22D61DF"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7FA84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50251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6840A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Leasing on the Outer Continental Shelf</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78526B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2B822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5F906B1"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106EF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50261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7DFA7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Offshore Oil and Gas Royalty Rate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FE369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8121C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02C7E452"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82676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50262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C5AF9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Mineral Leasing Act Modernization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EEE1A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754297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595C26F9"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8EDDB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50263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DC19E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Royalties on All Extracted Methane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DAD01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6EEBE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Not included in the Annual Energy Outlook, which we use as a primary source for fuel prices</w:t>
            </w:r>
          </w:p>
        </w:tc>
      </w:tr>
      <w:tr w:rsidR="00141B5A" w:rsidRPr="00141B5A" w14:paraId="06C5DBEB" w14:textId="77777777" w:rsidTr="00141B5A">
        <w:trPr>
          <w:trHeight w:val="105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50118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50264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BE01B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Lease Sales Under The 2017-2022 Outer Continental Shelf Leasing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5401B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D2099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Included in the Annual Energy Outlook, which we use as a primary source of input data</w:t>
            </w:r>
          </w:p>
        </w:tc>
      </w:tr>
      <w:tr w:rsidR="00141B5A" w:rsidRPr="00141B5A" w14:paraId="450A0B1B"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926A7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50265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0C060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Ensuring Energy Security</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4FA1B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FCCB2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Not included in the Annual Energy Outlook, which we use as a primary source for fuel prices</w:t>
            </w:r>
          </w:p>
        </w:tc>
      </w:tr>
      <w:tr w:rsidR="00141B5A" w:rsidRPr="00141B5A" w14:paraId="251C9B19"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58DB4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50271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4E1362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United States Geological Survey 3D Elevation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E6ECE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1A397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D97B24D"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76DF6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50281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64692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Department of the Interior Oversight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22B9A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386C1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F24A4B6"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A02F2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50301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3DDCA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Department of Energy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48068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2F6AE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3C75300"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CFCBE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50302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CF665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Federal Energy Regulatory Commission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96F62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6CD22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0C6293B"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C7F44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50303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F21F8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Department of the Interior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AF730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DD95B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E1EB34C"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2D28B7C4"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Environment and Public Works</w:t>
            </w:r>
          </w:p>
        </w:tc>
      </w:tr>
      <w:tr w:rsidR="00141B5A" w:rsidRPr="00141B5A" w14:paraId="527C1A1F"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D11CF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350E59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Clean Heavy-Duty Vehicles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8535C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4E6D4EF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Our back of the envelope calculations indicate that incremental vehicle sales due to this section will be lower than the amount of heavy-duty vehicles deployed in the BAU case (due to a combination of economics and sales requirements through Advanced Clean Trucks states). Therefore, we do not make any manual adjustments to vehicle sales, which are calculated endogenously in the model.</w:t>
            </w:r>
          </w:p>
        </w:tc>
      </w:tr>
      <w:tr w:rsidR="00141B5A" w:rsidRPr="00141B5A" w14:paraId="6434EE11"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030BC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60102</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5E7961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Grants to Reduce Air Pollution at Ports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0754D8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1F2B890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21B3176" w14:textId="77777777" w:rsidTr="00141B5A">
        <w:trPr>
          <w:trHeight w:val="129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9DED2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60103</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0EA0998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Greenhouse Gas Reduction Fund (Technology Accelerator)</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2DF8F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Partial</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78B5661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Using the cost for distributed solar, we calculate the capacity of distributed solar deployed each year due to the $7 billion carve-out for zero-emission technologies in low-income and disadvantaged communities.</w:t>
            </w:r>
            <w:r w:rsidRPr="00141B5A">
              <w:rPr>
                <w:rFonts w:eastAsia="Times New Roman"/>
                <w:color w:val="000000"/>
                <w:sz w:val="20"/>
                <w:szCs w:val="20"/>
              </w:rPr>
              <w:br/>
            </w:r>
            <w:r w:rsidRPr="00141B5A">
              <w:rPr>
                <w:rFonts w:eastAsia="Times New Roman"/>
                <w:color w:val="000000"/>
                <w:sz w:val="20"/>
                <w:szCs w:val="20"/>
              </w:rPr>
              <w:br/>
              <w:t>We do not attempt to calculate the energy and emissions impacts of the remaining funding. The EPA has not yet announced the criteria for qualifying projects, making it difficult to predict which types of projects will be funded.</w:t>
            </w:r>
          </w:p>
        </w:tc>
      </w:tr>
      <w:tr w:rsidR="00141B5A" w:rsidRPr="00141B5A" w14:paraId="0D9F0B80"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456E4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60104</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2AA4A80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Diesel Emissions Reductions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9CE252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447312A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There is not enough specificity in this section to determine what types of projects will be funded or what their impact will be.</w:t>
            </w:r>
          </w:p>
        </w:tc>
      </w:tr>
      <w:tr w:rsidR="00141B5A" w:rsidRPr="00141B5A" w14:paraId="5801A1FD"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88F2E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60105</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05DAA99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Air Pollution Monitoring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0A89F0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4FE9D0F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5FD643D"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B04B1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60106</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733D859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to Address Air Pollution at Schools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3A388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4697BB6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F70EC30"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FB61B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60107</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AE1408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Low Emissions Electricity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74CBE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31BFA02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5D31A83"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21C15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60108</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0C03AAA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Section 211(O) of the Clean Air Act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B7C14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3B7DD7F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EF76471" w14:textId="77777777" w:rsidTr="00141B5A">
        <w:trPr>
          <w:trHeight w:val="103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EACF02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60109</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7B84E1F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Implementation of the American Innovation and Manufacturing Act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DE127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976D5D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The American Innovation and Manufacturing Act is assumed to be met in our BAU.</w:t>
            </w:r>
          </w:p>
        </w:tc>
      </w:tr>
      <w:tr w:rsidR="00141B5A" w:rsidRPr="00141B5A" w14:paraId="45DE6E81" w14:textId="77777777" w:rsidTr="00141B5A">
        <w:trPr>
          <w:trHeight w:val="7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D4FEC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60110</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D3E9C7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Enforcement Technology and Public Information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0647D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79FEFA8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C525C79"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4213C6"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EFD3C4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Greenhouse Gas Corporate Reporting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FEC6E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5021D0C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74D74C2" w14:textId="77777777" w:rsidTr="00141B5A">
        <w:trPr>
          <w:trHeight w:val="180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B2581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60112</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AE929F0"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Environmental Product Declaration Assistance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FACB0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594AD801"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 xml:space="preserve">We rely on external research reporting a range of emissions outcomes for cement as a result of these initiatives. We implement these in the EPS as energy efficiency (i.e. a reduction in energy consumption in our industrial energy demand file). The estimates include ranges for the combined impact from both procurement pilots and EPD programs. We do not include spillover effects. </w:t>
            </w:r>
            <w:r w:rsidRPr="00141B5A">
              <w:rPr>
                <w:rFonts w:eastAsia="Times New Roman"/>
                <w:color w:val="000000"/>
              </w:rPr>
              <w:br/>
            </w:r>
            <w:r w:rsidRPr="00141B5A">
              <w:rPr>
                <w:rFonts w:eastAsia="Times New Roman"/>
                <w:color w:val="000000"/>
              </w:rPr>
              <w:br/>
              <w:t xml:space="preserve">For concrete, it is assumed that the primary way of lower emissions is through different mixing ratios. For example, existing EPDs suggest significant reductions are possible through using less cement in ready-mixed concrete. Because the concrete and cement sectors are the same in the EPS, this is approximated as a reduction in energy consumption and process emissions rather than a reduction in product demand. </w:t>
            </w:r>
          </w:p>
        </w:tc>
      </w:tr>
      <w:tr w:rsidR="00141B5A" w:rsidRPr="00141B5A" w14:paraId="09526774" w14:textId="77777777" w:rsidTr="00141B5A">
        <w:trPr>
          <w:trHeight w:val="141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84FA8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60113(a) &amp; (b)</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458B4ABB"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Methane Emissions Reduction Program (Spending)</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BECB4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nil"/>
              <w:left w:val="nil"/>
              <w:bottom w:val="nil"/>
              <w:right w:val="nil"/>
            </w:tcBorders>
            <w:shd w:val="clear" w:color="auto" w:fill="auto"/>
            <w:vAlign w:val="bottom"/>
            <w:hideMark/>
          </w:tcPr>
          <w:p w14:paraId="3189AA2E"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The BAU scenario inlcudes EPA's Oil and Gas Methane Rules, finalized in December 2023. The Regulatory Impact Assessment for the Oil and Gas Rules do not appear to account for the Methane Fee included in the Inflation Reduction Act, which is still being finalized. To avoid double counting emissions reductions between the programs, we currently only inlcude the effect of oil and gas rules. It is likely there is a very large overlap between the methane emissions reductions we estimated from the Methane Emissions Reduction Program in our 2022 IRA analysis and the EPA's estimated emissions reductions from the Oil and Gas Methane Rules.</w:t>
            </w:r>
          </w:p>
        </w:tc>
      </w:tr>
      <w:tr w:rsidR="00141B5A" w:rsidRPr="00141B5A" w14:paraId="042BD5C2" w14:textId="77777777" w:rsidTr="00141B5A">
        <w:trPr>
          <w:trHeight w:val="7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9577E38"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60113(e)</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6C920335"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Methane Emissions Reduction Program (Revenue)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91F26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520E2846" w14:textId="77777777" w:rsidR="00141B5A" w:rsidRPr="00141B5A" w:rsidRDefault="00141B5A" w:rsidP="00141B5A">
            <w:pPr>
              <w:spacing w:after="0" w:line="240" w:lineRule="auto"/>
              <w:rPr>
                <w:rFonts w:eastAsia="Times New Roman"/>
                <w:color w:val="000000"/>
              </w:rPr>
            </w:pPr>
            <w:r w:rsidRPr="00141B5A">
              <w:rPr>
                <w:rFonts w:eastAsia="Times New Roman"/>
                <w:color w:val="000000"/>
              </w:rPr>
              <w:t>Out of scope for model</w:t>
            </w:r>
          </w:p>
        </w:tc>
      </w:tr>
      <w:tr w:rsidR="00141B5A" w:rsidRPr="00141B5A" w14:paraId="4D1B22C4"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B41C2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60114</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38A942F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Climate Pollution Reduction Grants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79B63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84F812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90F356F"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11925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60115</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2E28FFD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Environmental Protection Agency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EB667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2C7E0F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966BBC0" w14:textId="77777777" w:rsidTr="00141B5A">
        <w:trPr>
          <w:trHeight w:val="7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781AFE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60116</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5545FCD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Low-Embodied Carbon Labeling for Construction Materials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00DE3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3159498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60112</w:t>
            </w:r>
          </w:p>
        </w:tc>
      </w:tr>
      <w:tr w:rsidR="00141B5A" w:rsidRPr="00141B5A" w14:paraId="788484F0" w14:textId="77777777" w:rsidTr="00141B5A">
        <w:trPr>
          <w:trHeight w:val="7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3D8A5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60201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24F02FE7"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Environmental and Climate Justice Block Grants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6A68A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63E20F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01EF6584"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ECF52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60301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3384DC4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Endangered Species Act Recovery Plans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02D80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072718C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C485C9E" w14:textId="77777777" w:rsidTr="00141B5A">
        <w:trPr>
          <w:trHeight w:val="103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1621C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60302</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641B1BF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Funding for the United States Fish and Wildlife Service to Address Climate-Induced Weather Events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0DFFC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571A0540"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CD48D40"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15D040"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60401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22E2D93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Environmental and Climate Data Collection</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B465D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AB3551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3ACC3E6F"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3BC30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60402</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6CB63AF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Council on Environmental Quality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00D18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0872E51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3DF9C01"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840B4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60501</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0CB2872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Neighborhood Access and Equity Grant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F7B88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356E4F2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1FE9C530"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70B07A"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60502</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422EF13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Assistance for Federal Buildings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E7B97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5DC3142C"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This section is not covered in the Annual Energy Outlook. Our back of the envelope calculations indicate the emissions savings from this program are quite small, and we therefore opt not to manually adjust Annual Energy Outlook energy demand projections for commercial buildings.</w:t>
            </w:r>
          </w:p>
        </w:tc>
      </w:tr>
      <w:tr w:rsidR="00141B5A" w:rsidRPr="00141B5A" w14:paraId="2C8DD12B" w14:textId="77777777" w:rsidTr="00141B5A">
        <w:trPr>
          <w:trHeight w:val="52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3E76C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60503</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0560E22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Use of Low-Carbon Materials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CFDA4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70F61B9A"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60112</w:t>
            </w:r>
          </w:p>
        </w:tc>
      </w:tr>
      <w:tr w:rsidR="00141B5A" w:rsidRPr="00141B5A" w14:paraId="001D4503" w14:textId="77777777" w:rsidTr="00141B5A">
        <w:trPr>
          <w:trHeight w:val="78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9E199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60504</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67488DD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General Services Administration Emerging Technologies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75949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6AD1725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92B24CC" w14:textId="77777777" w:rsidTr="00141B5A">
        <w:trPr>
          <w:trHeight w:val="103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ED34D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60505</w:t>
            </w:r>
          </w:p>
        </w:tc>
        <w:tc>
          <w:tcPr>
            <w:tcW w:w="1620" w:type="dxa"/>
            <w:tcBorders>
              <w:top w:val="single" w:sz="8" w:space="0" w:color="CCCCCC"/>
              <w:left w:val="single" w:sz="8" w:space="0" w:color="CCCCCC"/>
              <w:bottom w:val="single" w:sz="8" w:space="0" w:color="000000"/>
              <w:right w:val="single" w:sz="8" w:space="0" w:color="000000"/>
            </w:tcBorders>
            <w:shd w:val="clear" w:color="auto" w:fill="auto"/>
            <w:hideMark/>
          </w:tcPr>
          <w:p w14:paraId="10120C02"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Department of Transportation - Federal Highway Administration NEPA</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63650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hideMark/>
          </w:tcPr>
          <w:p w14:paraId="4328394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45D1F01"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2FA08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lastRenderedPageBreak/>
              <w:t>60506</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2EC6D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Low-Carbon Transportation Materials Grants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8F17D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Yes</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92AF5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See methodology for section 60112</w:t>
            </w:r>
          </w:p>
        </w:tc>
      </w:tr>
      <w:tr w:rsidR="00141B5A" w:rsidRPr="00141B5A" w14:paraId="49B9FFFA"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237B3C03"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Homeland Security and Government Affairs</w:t>
            </w:r>
          </w:p>
        </w:tc>
      </w:tr>
      <w:tr w:rsidR="00141B5A" w:rsidRPr="00141B5A" w14:paraId="7BB5A95D" w14:textId="77777777" w:rsidTr="00141B5A">
        <w:trPr>
          <w:trHeight w:val="79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9DFF3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54182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DHS Office of Chief Readiness Support Officer (Clean Procurement)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2F54B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D2453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03BDECD"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2F4E1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D3CB8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USPS Clean Fleets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34E27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E03AC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Our back of the envelope calculations indicate that incremental vehicle sales due to this section will be lower than the amount of heavy-duty vehicles deployed in the BAU case (due to a combination of economics and sales requirements through Advanced Clean Trucks states). Therefore, we do not make any manual adjustments to vehicle sales, which are calculated endogenously in the model.</w:t>
            </w:r>
          </w:p>
        </w:tc>
      </w:tr>
      <w:tr w:rsidR="00141B5A" w:rsidRPr="00141B5A" w14:paraId="0622B38B"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DF4603"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8DD30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USPS Oversight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E6A47D"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9413888"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67800EE0"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4E91D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3CF33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GAO Oversight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4B5B39"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F7763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2386167B"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C785DC"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70005</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6724A3"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OMB Oversight</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F5414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D6263F"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7199A02"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192D1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70006</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E4E031"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FEMA Building Materials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79A12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28177B"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7F9EF12F"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361947"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70007</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74932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FPISC</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3E419E"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682D4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44F7DD6" w14:textId="77777777" w:rsidTr="00141B5A">
        <w:trPr>
          <w:trHeight w:val="315"/>
        </w:trPr>
        <w:tc>
          <w:tcPr>
            <w:tcW w:w="14420" w:type="dxa"/>
            <w:gridSpan w:val="4"/>
            <w:tcBorders>
              <w:top w:val="single" w:sz="8" w:space="0" w:color="000000"/>
              <w:left w:val="single" w:sz="8" w:space="0" w:color="CCCCCC"/>
              <w:bottom w:val="single" w:sz="8" w:space="0" w:color="000000"/>
              <w:right w:val="single" w:sz="8" w:space="0" w:color="000000"/>
            </w:tcBorders>
            <w:shd w:val="clear" w:color="000000" w:fill="9BC2E6"/>
            <w:vAlign w:val="bottom"/>
            <w:hideMark/>
          </w:tcPr>
          <w:p w14:paraId="0F978ED7" w14:textId="77777777" w:rsidR="00141B5A" w:rsidRPr="00141B5A" w:rsidRDefault="00141B5A" w:rsidP="00141B5A">
            <w:pPr>
              <w:spacing w:after="0" w:line="240" w:lineRule="auto"/>
              <w:jc w:val="center"/>
              <w:rPr>
                <w:rFonts w:eastAsia="Times New Roman"/>
                <w:b/>
                <w:bCs/>
                <w:color w:val="000000"/>
              </w:rPr>
            </w:pPr>
            <w:r w:rsidRPr="00141B5A">
              <w:rPr>
                <w:rFonts w:eastAsia="Times New Roman"/>
                <w:b/>
                <w:bCs/>
                <w:color w:val="000000"/>
              </w:rPr>
              <w:t>Indian Affairs</w:t>
            </w:r>
          </w:p>
        </w:tc>
      </w:tr>
      <w:tr w:rsidR="00141B5A" w:rsidRPr="00141B5A" w14:paraId="426D46B3" w14:textId="77777777" w:rsidTr="00141B5A">
        <w:trPr>
          <w:trHeight w:val="315"/>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9B494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80001</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569D54"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Tribal Climate Resilience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DE815F"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15FBE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B5D2A70"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3E17F1"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80002</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296D5D"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Native Hawaiian Climate Resilience</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556984"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BDD9E6"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5E02C988"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31FB6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80003</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85994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Tribal Electrification Program</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55CE85"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E0B815"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r w:rsidR="00141B5A" w:rsidRPr="00141B5A" w14:paraId="4D7CF280" w14:textId="77777777" w:rsidTr="00141B5A">
        <w:trPr>
          <w:trHeight w:val="540"/>
        </w:trPr>
        <w:tc>
          <w:tcPr>
            <w:tcW w:w="15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FA4052"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80004</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82626E"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Emergency Drought Relief for Tribes</w:t>
            </w:r>
          </w:p>
        </w:tc>
        <w:tc>
          <w:tcPr>
            <w:tcW w:w="12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06EB3B" w14:textId="77777777" w:rsidR="00141B5A" w:rsidRPr="00141B5A" w:rsidRDefault="00141B5A" w:rsidP="00141B5A">
            <w:pPr>
              <w:spacing w:after="0" w:line="240" w:lineRule="auto"/>
              <w:jc w:val="center"/>
              <w:rPr>
                <w:rFonts w:eastAsia="Times New Roman"/>
                <w:color w:val="000000"/>
              </w:rPr>
            </w:pPr>
            <w:r w:rsidRPr="00141B5A">
              <w:rPr>
                <w:rFonts w:eastAsia="Times New Roman"/>
                <w:color w:val="000000"/>
              </w:rPr>
              <w:t>No</w:t>
            </w:r>
          </w:p>
        </w:tc>
        <w:tc>
          <w:tcPr>
            <w:tcW w:w="10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7B0509" w14:textId="77777777" w:rsidR="00141B5A" w:rsidRPr="00141B5A" w:rsidRDefault="00141B5A" w:rsidP="00141B5A">
            <w:pPr>
              <w:spacing w:after="0" w:line="240" w:lineRule="auto"/>
              <w:rPr>
                <w:rFonts w:eastAsia="Times New Roman"/>
                <w:color w:val="000000"/>
                <w:sz w:val="20"/>
                <w:szCs w:val="20"/>
              </w:rPr>
            </w:pPr>
            <w:r w:rsidRPr="00141B5A">
              <w:rPr>
                <w:rFonts w:eastAsia="Times New Roman"/>
                <w:color w:val="000000"/>
                <w:sz w:val="20"/>
                <w:szCs w:val="20"/>
              </w:rPr>
              <w:t>Out of scope for model</w:t>
            </w:r>
          </w:p>
        </w:tc>
      </w:tr>
    </w:tbl>
    <w:p w14:paraId="7BCFB72F" w14:textId="77777777" w:rsidR="00141B5A" w:rsidRDefault="00141B5A"/>
    <w:p w14:paraId="0580948B" w14:textId="77777777" w:rsidR="00141B5A" w:rsidRPr="000F0B74" w:rsidRDefault="00141B5A"/>
    <w:sectPr w:rsidR="00141B5A" w:rsidRPr="000F0B74">
      <w:headerReference w:type="default" r:id="rId31"/>
      <w:footerReference w:type="default" r:id="rId32"/>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9EF3" w14:textId="77777777" w:rsidR="00B563CB" w:rsidRDefault="00B563CB">
      <w:pPr>
        <w:spacing w:after="0" w:line="240" w:lineRule="auto"/>
      </w:pPr>
      <w:r>
        <w:separator/>
      </w:r>
    </w:p>
  </w:endnote>
  <w:endnote w:type="continuationSeparator" w:id="0">
    <w:p w14:paraId="1152030E" w14:textId="77777777" w:rsidR="00B563CB" w:rsidRDefault="00B5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9475" w14:textId="77777777" w:rsidR="00B563CB" w:rsidRDefault="00B563CB">
      <w:pPr>
        <w:spacing w:after="0" w:line="240" w:lineRule="auto"/>
      </w:pPr>
      <w:r>
        <w:separator/>
      </w:r>
    </w:p>
  </w:footnote>
  <w:footnote w:type="continuationSeparator" w:id="0">
    <w:p w14:paraId="5F417787" w14:textId="77777777" w:rsidR="00B563CB" w:rsidRDefault="00B563CB">
      <w:pPr>
        <w:spacing w:after="0" w:line="240" w:lineRule="auto"/>
      </w:pPr>
      <w:r>
        <w:continuationSeparator/>
      </w:r>
    </w:p>
  </w:footnote>
  <w:footnote w:id="1">
    <w:p w14:paraId="26395F7D" w14:textId="491D180C" w:rsidR="000F0B74" w:rsidRPr="00821229" w:rsidRDefault="000F0B74">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w:t>
      </w:r>
      <w:r w:rsidR="00357C9B">
        <w:rPr>
          <w:color w:val="000000"/>
          <w:sz w:val="20"/>
          <w:szCs w:val="20"/>
        </w:rPr>
        <w:t>Zero-emission</w:t>
      </w:r>
      <w:r w:rsidRPr="00821229">
        <w:rPr>
          <w:color w:val="000000"/>
          <w:sz w:val="20"/>
          <w:szCs w:val="20"/>
        </w:rPr>
        <w:t xml:space="preserve"> vehicle adoption in the BAU case is based on economic adoption modeled in the EPS, detailed info available here: </w:t>
      </w:r>
      <w:hyperlink r:id="rId1">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transportation data, such as vehicle prices, is largely taken from EIA</w:t>
      </w:r>
      <w:r w:rsidR="00B52C6D">
        <w:rPr>
          <w:color w:val="000000"/>
          <w:sz w:val="20"/>
          <w:szCs w:val="20"/>
        </w:rPr>
        <w:t xml:space="preserve"> and the ICCT</w:t>
      </w:r>
      <w:r w:rsidRPr="00821229">
        <w:rPr>
          <w:color w:val="000000"/>
          <w:sz w:val="20"/>
          <w:szCs w:val="20"/>
        </w:rPr>
        <w:t xml:space="preserve">, and the resulting </w:t>
      </w:r>
      <w:r w:rsidR="00357C9B">
        <w:rPr>
          <w:color w:val="000000"/>
          <w:sz w:val="20"/>
          <w:szCs w:val="20"/>
        </w:rPr>
        <w:t>zero-emission vehicle</w:t>
      </w:r>
      <w:r w:rsidRPr="00821229">
        <w:rPr>
          <w:color w:val="000000"/>
          <w:sz w:val="20"/>
          <w:szCs w:val="20"/>
        </w:rPr>
        <w:t xml:space="preserve"> adoption curve rates are similar to other studies, including the “Electric Vehicle Outlook 202</w:t>
      </w:r>
      <w:r w:rsidR="00B52C6D">
        <w:rPr>
          <w:color w:val="000000"/>
          <w:sz w:val="20"/>
          <w:szCs w:val="20"/>
        </w:rPr>
        <w:t>3</w:t>
      </w:r>
      <w:r w:rsidRPr="00821229">
        <w:rPr>
          <w:color w:val="000000"/>
          <w:sz w:val="20"/>
          <w:szCs w:val="20"/>
        </w:rPr>
        <w:t xml:space="preserve">”: </w:t>
      </w:r>
      <w:r w:rsidR="00B52C6D" w:rsidRPr="00B52C6D">
        <w:rPr>
          <w:color w:val="0563C1"/>
          <w:sz w:val="20"/>
          <w:szCs w:val="20"/>
          <w:u w:val="single"/>
        </w:rPr>
        <w:t>https://assets.bbhub.io/professional/sites/24/2431510_BNEFElectricVehicleOutlook2023_ExecSummary.pdf</w:t>
      </w:r>
      <w:r w:rsidRPr="00B52C6D">
        <w:rPr>
          <w:color w:val="0563C1"/>
          <w:sz w:val="20"/>
          <w:szCs w:val="20"/>
          <w:u w:val="single"/>
        </w:rPr>
        <w:t>.</w:t>
      </w:r>
    </w:p>
  </w:footnote>
  <w:footnote w:id="2">
    <w:p w14:paraId="55A1D4AE" w14:textId="57D9C7F7" w:rsidR="00357C9B" w:rsidRDefault="00357C9B">
      <w:pPr>
        <w:pStyle w:val="FootnoteText"/>
      </w:pPr>
      <w:r>
        <w:rPr>
          <w:rStyle w:val="FootnoteReference"/>
        </w:rPr>
        <w:footnoteRef/>
      </w:r>
      <w:r>
        <w:t xml:space="preserve"> </w:t>
      </w:r>
      <w:r w:rsidRPr="00357C9B">
        <w:t>https://energyinnovation.org/wp-content/uploads/2022/08/Updated-Inflation-Reduction-Act-Modeling-Using-the-Energy-Policy-Simulator.pdf</w:t>
      </w:r>
    </w:p>
  </w:footnote>
  <w:footnote w:id="3">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4">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https://us.energypolicy.solutions/docs/download.html</w:t>
      </w:r>
    </w:p>
  </w:footnote>
  <w:footnote w:id="5">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6">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208A"/>
    <w:multiLevelType w:val="multilevel"/>
    <w:tmpl w:val="4E521060"/>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5611335">
    <w:abstractNumId w:val="0"/>
  </w:num>
  <w:num w:numId="2" w16cid:durableId="236139145">
    <w:abstractNumId w:val="2"/>
  </w:num>
  <w:num w:numId="3" w16cid:durableId="1309674833">
    <w:abstractNumId w:val="3"/>
  </w:num>
  <w:num w:numId="4" w16cid:durableId="40908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4326B"/>
    <w:rsid w:val="00075EE6"/>
    <w:rsid w:val="00096107"/>
    <w:rsid w:val="000D253B"/>
    <w:rsid w:val="000F0B74"/>
    <w:rsid w:val="001056CE"/>
    <w:rsid w:val="00133879"/>
    <w:rsid w:val="00141B5A"/>
    <w:rsid w:val="0019491D"/>
    <w:rsid w:val="001D14CD"/>
    <w:rsid w:val="0025284B"/>
    <w:rsid w:val="00252D88"/>
    <w:rsid w:val="00276F71"/>
    <w:rsid w:val="0028153D"/>
    <w:rsid w:val="002B7CE1"/>
    <w:rsid w:val="00357C9B"/>
    <w:rsid w:val="00386225"/>
    <w:rsid w:val="00387313"/>
    <w:rsid w:val="00390DAE"/>
    <w:rsid w:val="003965BA"/>
    <w:rsid w:val="003C3772"/>
    <w:rsid w:val="003F33AD"/>
    <w:rsid w:val="003F6116"/>
    <w:rsid w:val="00411715"/>
    <w:rsid w:val="005147F0"/>
    <w:rsid w:val="00534462"/>
    <w:rsid w:val="00596B30"/>
    <w:rsid w:val="005B4154"/>
    <w:rsid w:val="005D1844"/>
    <w:rsid w:val="005E13DE"/>
    <w:rsid w:val="006148A5"/>
    <w:rsid w:val="00652472"/>
    <w:rsid w:val="006C5EBB"/>
    <w:rsid w:val="00727C02"/>
    <w:rsid w:val="00821229"/>
    <w:rsid w:val="008A26DF"/>
    <w:rsid w:val="008C21A9"/>
    <w:rsid w:val="008E6315"/>
    <w:rsid w:val="00996F8F"/>
    <w:rsid w:val="009C7E5F"/>
    <w:rsid w:val="009F5D0B"/>
    <w:rsid w:val="00A10076"/>
    <w:rsid w:val="00A13684"/>
    <w:rsid w:val="00A76F16"/>
    <w:rsid w:val="00AA505A"/>
    <w:rsid w:val="00B16D03"/>
    <w:rsid w:val="00B52C6D"/>
    <w:rsid w:val="00B563CB"/>
    <w:rsid w:val="00BD1316"/>
    <w:rsid w:val="00C65901"/>
    <w:rsid w:val="00CB0971"/>
    <w:rsid w:val="00D04FF5"/>
    <w:rsid w:val="00D57074"/>
    <w:rsid w:val="00D70D03"/>
    <w:rsid w:val="00D93D38"/>
    <w:rsid w:val="00DC4A6D"/>
    <w:rsid w:val="00E03336"/>
    <w:rsid w:val="00E370D7"/>
    <w:rsid w:val="00F31327"/>
    <w:rsid w:val="00F42289"/>
    <w:rsid w:val="00F654F8"/>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D70D03"/>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 w:type="character" w:styleId="Hyperlink">
    <w:name w:val="Hyperlink"/>
    <w:basedOn w:val="DefaultParagraphFont"/>
    <w:uiPriority w:val="99"/>
    <w:unhideWhenUsed/>
    <w:rsid w:val="009C7E5F"/>
    <w:rPr>
      <w:color w:val="0000FF" w:themeColor="hyperlink"/>
      <w:u w:val="single"/>
    </w:rPr>
  </w:style>
  <w:style w:type="character" w:customStyle="1" w:styleId="UnresolvedMention1">
    <w:name w:val="Unresolved Mention1"/>
    <w:basedOn w:val="DefaultParagraphFont"/>
    <w:uiPriority w:val="99"/>
    <w:semiHidden/>
    <w:unhideWhenUsed/>
    <w:rsid w:val="009C7E5F"/>
    <w:rPr>
      <w:color w:val="605E5C"/>
      <w:shd w:val="clear" w:color="auto" w:fill="E1DFDD"/>
    </w:rPr>
  </w:style>
  <w:style w:type="character" w:styleId="UnresolvedMention">
    <w:name w:val="Unresolved Mention"/>
    <w:basedOn w:val="DefaultParagraphFont"/>
    <w:uiPriority w:val="99"/>
    <w:semiHidden/>
    <w:unhideWhenUsed/>
    <w:rsid w:val="00D04FF5"/>
    <w:rPr>
      <w:color w:val="605E5C"/>
      <w:shd w:val="clear" w:color="auto" w:fill="E1DFDD"/>
    </w:rPr>
  </w:style>
  <w:style w:type="paragraph" w:styleId="FootnoteText">
    <w:name w:val="footnote text"/>
    <w:basedOn w:val="Normal"/>
    <w:link w:val="FootnoteTextChar"/>
    <w:uiPriority w:val="99"/>
    <w:semiHidden/>
    <w:unhideWhenUsed/>
    <w:rsid w:val="00357C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C9B"/>
    <w:rPr>
      <w:sz w:val="20"/>
      <w:szCs w:val="20"/>
    </w:rPr>
  </w:style>
  <w:style w:type="character" w:styleId="FootnoteReference">
    <w:name w:val="footnote reference"/>
    <w:basedOn w:val="DefaultParagraphFont"/>
    <w:uiPriority w:val="99"/>
    <w:semiHidden/>
    <w:unhideWhenUsed/>
    <w:rsid w:val="0035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7428">
      <w:bodyDiv w:val="1"/>
      <w:marLeft w:val="0"/>
      <w:marRight w:val="0"/>
      <w:marTop w:val="0"/>
      <w:marBottom w:val="0"/>
      <w:divBdr>
        <w:top w:val="none" w:sz="0" w:space="0" w:color="auto"/>
        <w:left w:val="none" w:sz="0" w:space="0" w:color="auto"/>
        <w:bottom w:val="none" w:sz="0" w:space="0" w:color="auto"/>
        <w:right w:val="none" w:sz="0" w:space="0" w:color="auto"/>
      </w:divBdr>
    </w:div>
    <w:div w:id="75944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ia.gov/outlooks/aeo/" TargetMode="External"/><Relationship Id="rId18" Type="http://schemas.openxmlformats.org/officeDocument/2006/relationships/hyperlink" Target="https://www.eia.gov/outlooks/aeo/" TargetMode="External"/><Relationship Id="rId26" Type="http://schemas.openxmlformats.org/officeDocument/2006/relationships/hyperlink" Target="https://us.energypolicy.solutions/docs/" TargetMode="External"/><Relationship Id="rId3" Type="http://schemas.openxmlformats.org/officeDocument/2006/relationships/styles" Target="styles.xml"/><Relationship Id="rId21" Type="http://schemas.openxmlformats.org/officeDocument/2006/relationships/hyperlink" Target="https://www.eia.gov/outlooks/ae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enarioviewer.nrel.gov/?project=82460f06-548c-4954-b2d9-b84ba92d63e2&amp;mode=download&amp;layout=Default" TargetMode="External"/><Relationship Id="rId17" Type="http://schemas.openxmlformats.org/officeDocument/2006/relationships/hyperlink" Target="https://www.epa.gov/ghgemissions/inventory-us-greenhouse-gas-emissions-and-sinks-1990-2021" TargetMode="External"/><Relationship Id="rId25" Type="http://schemas.openxmlformats.org/officeDocument/2006/relationships/hyperlink" Target="https://us.energypolicy.solutions/docs/video-seri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ia.gov/outlooks/aeo/" TargetMode="External"/><Relationship Id="rId20" Type="http://schemas.openxmlformats.org/officeDocument/2006/relationships/hyperlink" Target="https://www.epa.gov/ghgemissions/inventory-us-greenhouse-gas-emissions-and-sinks-1990-2021" TargetMode="External"/><Relationship Id="rId29" Type="http://schemas.openxmlformats.org/officeDocument/2006/relationships/hyperlink" Target="https://us.energypolicy.solutions/docs/video-se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rel.gov/submissions/126" TargetMode="External"/><Relationship Id="rId24" Type="http://schemas.openxmlformats.org/officeDocument/2006/relationships/hyperlink" Target="https://www.epa.gov/sites/production/files/2018-02/documents/sourceapportionmentbpttsd_2018.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ia.gov/outlooks/aeo/" TargetMode="External"/><Relationship Id="rId23" Type="http://schemas.openxmlformats.org/officeDocument/2006/relationships/hyperlink" Target="https://www.eia.gov/outlooks/aeo/" TargetMode="External"/><Relationship Id="rId28" Type="http://schemas.openxmlformats.org/officeDocument/2006/relationships/hyperlink" Target="https://us.energypolicy.solutions/docs/index.html" TargetMode="External"/><Relationship Id="rId10" Type="http://schemas.openxmlformats.org/officeDocument/2006/relationships/hyperlink" Target="https://www.eia.gov/electricity/data/eia860/" TargetMode="External"/><Relationship Id="rId19" Type="http://schemas.openxmlformats.org/officeDocument/2006/relationships/hyperlink" Target="https://www.epa.gov/global-mitigation-non-co2-greenhouse-gases/global-non-co2-greenhouse-gas-emission-projection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ia.gov/electricity/data/eia923/" TargetMode="External"/><Relationship Id="rId14" Type="http://schemas.openxmlformats.org/officeDocument/2006/relationships/hyperlink" Target="https://atb.nrel.gov/" TargetMode="External"/><Relationship Id="rId22" Type="http://schemas.openxmlformats.org/officeDocument/2006/relationships/hyperlink" Target="https://stats.oecd.org/Index.aspx?DataSetCode=IOTSI4_2018" TargetMode="External"/><Relationship Id="rId27" Type="http://schemas.openxmlformats.org/officeDocument/2006/relationships/hyperlink" Target="https://us.energypolicy.solutions/docs/download.html" TargetMode="External"/><Relationship Id="rId30" Type="http://schemas.openxmlformats.org/officeDocument/2006/relationships/hyperlink" Target="mailto:policy@energyinnovation.org" TargetMode="External"/><Relationship Id="rId8" Type="http://schemas.openxmlformats.org/officeDocument/2006/relationships/hyperlink" Target="https://www.eia.gov/outlooks/ae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s.energypolicy.solutions/docs/transportation-sector-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99B5-3657-4C4E-A80A-6CB6DDF5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17</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Megan Mahajan</cp:lastModifiedBy>
  <cp:revision>5</cp:revision>
  <dcterms:created xsi:type="dcterms:W3CDTF">2024-03-17T03:41:00Z</dcterms:created>
  <dcterms:modified xsi:type="dcterms:W3CDTF">2024-03-18T02:50:00Z</dcterms:modified>
</cp:coreProperties>
</file>