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897E86" w14:textId="77777777" w:rsidR="00E97402" w:rsidRDefault="00E97402">
      <w:pPr>
        <w:pStyle w:val="Text"/>
        <w:ind w:firstLine="0"/>
        <w:rPr>
          <w:sz w:val="18"/>
          <w:szCs w:val="18"/>
        </w:rPr>
      </w:pPr>
      <w:r>
        <w:rPr>
          <w:sz w:val="18"/>
          <w:szCs w:val="18"/>
        </w:rPr>
        <w:footnoteReference w:customMarkFollows="1" w:id="1"/>
        <w:sym w:font="Symbol" w:char="F020"/>
      </w:r>
    </w:p>
    <w:p w14:paraId="7CC7E1C6" w14:textId="77777777" w:rsidR="004A2200" w:rsidRDefault="004A2200" w:rsidP="004A2200">
      <w:pPr>
        <w:pStyle w:val="Title"/>
        <w:framePr w:wrap="notBeside"/>
      </w:pPr>
      <w:r w:rsidRPr="0083214C">
        <w:t>Common Transactive Services</w:t>
      </w:r>
    </w:p>
    <w:p w14:paraId="1B2D55F4" w14:textId="77777777" w:rsidR="00E97402" w:rsidRDefault="004A2200" w:rsidP="00BC2694">
      <w:pPr>
        <w:pStyle w:val="Authors"/>
        <w:framePr w:w="10368" w:wrap="notBeside"/>
      </w:pPr>
      <w:r w:rsidRPr="0083214C">
        <w:t>William Cox</w:t>
      </w:r>
      <w:r>
        <w:t xml:space="preserve"> (The Energy Mashup Lab)</w:t>
      </w:r>
      <w:r w:rsidRPr="0083214C">
        <w:t>, Edward Cazalet</w:t>
      </w:r>
      <w:r>
        <w:t xml:space="preserve"> (TeMIX Inc)</w:t>
      </w:r>
      <w:r w:rsidRPr="0083214C">
        <w:t>, Alexander Krstulovic</w:t>
      </w:r>
      <w:r>
        <w:t xml:space="preserve"> (Alliander)</w:t>
      </w:r>
      <w:r w:rsidRPr="0083214C">
        <w:t xml:space="preserve">, </w:t>
      </w:r>
      <w:r>
        <w:br/>
      </w:r>
      <w:r w:rsidRPr="0083214C">
        <w:t>William Miller</w:t>
      </w:r>
      <w:r>
        <w:t xml:space="preserve"> (MACT)</w:t>
      </w:r>
      <w:r w:rsidRPr="0083214C">
        <w:t>, Wilco Wijbrandi</w:t>
      </w:r>
      <w:r>
        <w:t xml:space="preserve"> (TNO)</w:t>
      </w:r>
    </w:p>
    <w:p w14:paraId="35473035" w14:textId="77777777" w:rsidR="004A2200" w:rsidRPr="00C61B0D" w:rsidRDefault="004A2200" w:rsidP="004A2200">
      <w:pPr>
        <w:pStyle w:val="BodyText"/>
      </w:pPr>
      <w:r w:rsidRPr="00DE5654">
        <w:rPr>
          <w:rStyle w:val="Un-numberedHeading1Char"/>
        </w:rPr>
        <w:t>Keywords:</w:t>
      </w:r>
      <w:r w:rsidRPr="00C61B0D">
        <w:t xml:space="preserve"> </w:t>
      </w:r>
      <w:r w:rsidR="009A2F89">
        <w:t>Transactive Energy, Interoperation, Service-Oriented Architecture, Power Matcher, Energy Interoperation</w:t>
      </w:r>
    </w:p>
    <w:p w14:paraId="07112E6F" w14:textId="77777777" w:rsidR="004A2200" w:rsidRDefault="004A2200" w:rsidP="004A2200">
      <w:pPr>
        <w:pStyle w:val="Un-numberedHeading1"/>
      </w:pPr>
      <w:r w:rsidRPr="00527A8D">
        <w:t>Abstract</w:t>
      </w:r>
    </w:p>
    <w:p w14:paraId="392F0F3F" w14:textId="07D4A218" w:rsidR="004A2200" w:rsidRDefault="004F10E3" w:rsidP="004A2200">
      <w:pPr>
        <w:pStyle w:val="BodyText"/>
      </w:pPr>
      <w:r>
        <w:t xml:space="preserve">The NIST Transactive Energy Challenge Common Transactive Services (CTS) Team identified common services for transactive energy </w:t>
      </w:r>
      <w:r w:rsidR="00254D6F">
        <w:t xml:space="preserve">based on the </w:t>
      </w:r>
      <w:r w:rsidR="00846849">
        <w:t xml:space="preserve">NIST and SGIP-driven </w:t>
      </w:r>
      <w:r w:rsidR="00254D6F">
        <w:t xml:space="preserve">OASIS Energy Interoperation Standard (IEC 62939-3 in progress) </w:t>
      </w:r>
      <w:r>
        <w:t>that are minimal and complete for</w:t>
      </w:r>
      <w:r w:rsidR="00097763">
        <w:t xml:space="preserve"> bridging between</w:t>
      </w:r>
      <w:r>
        <w:t xml:space="preserve"> a set of deployed Transactive Energy Systems:</w:t>
      </w:r>
    </w:p>
    <w:p w14:paraId="5D68C332" w14:textId="77777777" w:rsidR="005868F9" w:rsidRDefault="005868F9" w:rsidP="00A73AC4">
      <w:pPr>
        <w:pStyle w:val="BodyText"/>
        <w:numPr>
          <w:ilvl w:val="0"/>
          <w:numId w:val="12"/>
        </w:numPr>
        <w:spacing w:after="0"/>
      </w:pPr>
      <w:r>
        <w:t>Pacific Northwest Smart Grid Demonstration Project</w:t>
      </w:r>
    </w:p>
    <w:p w14:paraId="171530CE" w14:textId="77777777" w:rsidR="004F10E3" w:rsidRDefault="004F10E3" w:rsidP="00A73AC4">
      <w:pPr>
        <w:pStyle w:val="BodyText"/>
        <w:numPr>
          <w:ilvl w:val="0"/>
          <w:numId w:val="12"/>
        </w:numPr>
        <w:spacing w:after="0"/>
      </w:pPr>
      <w:r>
        <w:t>Power Matcher</w:t>
      </w:r>
    </w:p>
    <w:p w14:paraId="22FE07EF" w14:textId="77777777" w:rsidR="00254D6F" w:rsidRDefault="005868F9" w:rsidP="00A73AC4">
      <w:pPr>
        <w:pStyle w:val="BodyText"/>
        <w:numPr>
          <w:ilvl w:val="0"/>
          <w:numId w:val="12"/>
        </w:numPr>
        <w:spacing w:after="0"/>
      </w:pPr>
      <w:r>
        <w:t>IEC 62325 national and regional markets</w:t>
      </w:r>
    </w:p>
    <w:p w14:paraId="2B6BD822" w14:textId="74902AD7" w:rsidR="00A73AC4" w:rsidRDefault="005868F9" w:rsidP="00A73AC4">
      <w:pPr>
        <w:pStyle w:val="BodyText"/>
        <w:numPr>
          <w:ilvl w:val="0"/>
          <w:numId w:val="12"/>
        </w:numPr>
      </w:pPr>
      <w:r>
        <w:t>TeMIX</w:t>
      </w:r>
    </w:p>
    <w:p w14:paraId="6F4A737C" w14:textId="388DFF38" w:rsidR="004F10E3" w:rsidRPr="00794236" w:rsidRDefault="00D80CBF" w:rsidP="004A2200">
      <w:pPr>
        <w:pStyle w:val="BodyText"/>
      </w:pPr>
      <w:r>
        <w:t xml:space="preserve">The results </w:t>
      </w:r>
      <w:r w:rsidR="00FC19CD">
        <w:t>show</w:t>
      </w:r>
      <w:r>
        <w:t xml:space="preserve"> that the</w:t>
      </w:r>
      <w:r w:rsidR="005868F9">
        <w:t xml:space="preserve"> CTS allow integration and interoperation, e.g. deploying a PowerMatcher node with</w:t>
      </w:r>
      <w:r w:rsidR="004E7805">
        <w:t xml:space="preserve">in a </w:t>
      </w:r>
      <w:r w:rsidR="00AD28E3">
        <w:t>containing</w:t>
      </w:r>
      <w:bookmarkStart w:id="0" w:name="_GoBack"/>
      <w:bookmarkEnd w:id="0"/>
      <w:r w:rsidR="004E7805">
        <w:t xml:space="preserve"> transactive system, or a TeMIX node in a PNWSG system that in turn interoperates with an IEC regional market.</w:t>
      </w:r>
    </w:p>
    <w:p w14:paraId="163D465F" w14:textId="77777777" w:rsidR="004A2200" w:rsidRPr="00157EBB" w:rsidRDefault="004A2200" w:rsidP="00157EBB">
      <w:pPr>
        <w:pStyle w:val="Heading1"/>
      </w:pPr>
      <w:r w:rsidRPr="00157EBB">
        <w:t>Purpose</w:t>
      </w:r>
    </w:p>
    <w:p w14:paraId="47C17AC3" w14:textId="77777777" w:rsidR="004A2200" w:rsidRPr="009712C3" w:rsidRDefault="004A2200" w:rsidP="004A2200">
      <w:pPr>
        <w:pStyle w:val="BodyText"/>
        <w:rPr>
          <w:lang w:val="en-GB"/>
        </w:rPr>
      </w:pPr>
      <w:r w:rsidRPr="009712C3">
        <w:t>As Transactive Energy system deployments proliferate, they need to work together at boundaries between systems. The Software Engineering Bridge Pattern</w:t>
      </w:r>
      <w:sdt>
        <w:sdtPr>
          <w:id w:val="273675118"/>
          <w:citation/>
        </w:sdtPr>
        <w:sdtContent>
          <w:r w:rsidRPr="009712C3">
            <w:fldChar w:fldCharType="begin"/>
          </w:r>
          <w:r>
            <w:instrText xml:space="preserve">CITATION Placeholder1 \l 1033 </w:instrText>
          </w:r>
          <w:r w:rsidRPr="009712C3">
            <w:fldChar w:fldCharType="separate"/>
          </w:r>
          <w:r w:rsidR="006D47C2">
            <w:rPr>
              <w:noProof/>
            </w:rPr>
            <w:t xml:space="preserve"> [</w:t>
          </w:r>
          <w:hyperlink w:anchor="Placeholder1" w:history="1">
            <w:r w:rsidR="006D47C2">
              <w:rPr>
                <w:rStyle w:val="Authors"/>
                <w:noProof/>
              </w:rPr>
              <w:t>1</w:t>
            </w:r>
          </w:hyperlink>
          <w:r w:rsidR="006D47C2">
            <w:rPr>
              <w:noProof/>
            </w:rPr>
            <w:t>]</w:t>
          </w:r>
          <w:r w:rsidRPr="009712C3">
            <w:fldChar w:fldCharType="end"/>
          </w:r>
        </w:sdtContent>
      </w:sdt>
      <w:r w:rsidRPr="009712C3">
        <w:t xml:space="preserve"> describes</w:t>
      </w:r>
      <w:r w:rsidRPr="009712C3">
        <w:rPr>
          <w:lang w:val="en-GB"/>
        </w:rPr>
        <w:t xml:space="preserve"> how to connect independently evolved and independently evolving technologies without re-implementing the systems at the ends of the bridge. Per the IEC Smart Grid User Interface </w:t>
      </w:r>
      <w:sdt>
        <w:sdtPr>
          <w:rPr>
            <w:lang w:val="en-GB"/>
          </w:rPr>
          <w:id w:val="-1870296548"/>
          <w:citation/>
        </w:sdtPr>
        <w:sdtContent>
          <w:r w:rsidRPr="009712C3">
            <w:rPr>
              <w:lang w:val="en-GB"/>
            </w:rPr>
            <w:fldChar w:fldCharType="begin"/>
          </w:r>
          <w:r w:rsidRPr="009712C3">
            <w:instrText xml:space="preserve"> CITATION Int14 \l 1033 </w:instrText>
          </w:r>
          <w:r w:rsidRPr="009712C3">
            <w:rPr>
              <w:lang w:val="en-GB"/>
            </w:rPr>
            <w:fldChar w:fldCharType="separate"/>
          </w:r>
          <w:r w:rsidR="006D47C2">
            <w:rPr>
              <w:noProof/>
            </w:rPr>
            <w:t>[</w:t>
          </w:r>
          <w:hyperlink w:anchor="Int14" w:history="1">
            <w:r w:rsidR="006D47C2">
              <w:rPr>
                <w:rStyle w:val="Authors"/>
                <w:noProof/>
              </w:rPr>
              <w:t>2</w:t>
            </w:r>
          </w:hyperlink>
          <w:r w:rsidR="006D47C2">
            <w:rPr>
              <w:noProof/>
            </w:rPr>
            <w:t>]</w:t>
          </w:r>
          <w:r w:rsidRPr="009712C3">
            <w:fldChar w:fldCharType="end"/>
          </w:r>
        </w:sdtContent>
      </w:sdt>
      <w:r w:rsidRPr="009712C3">
        <w:rPr>
          <w:lang w:val="en-GB"/>
        </w:rPr>
        <w:t xml:space="preserve"> and the NIST Framework and Roadmap for Smart Grid Interoperability Standards </w:t>
      </w:r>
      <w:sdt>
        <w:sdtPr>
          <w:rPr>
            <w:lang w:val="en-GB"/>
          </w:rPr>
          <w:id w:val="1004010620"/>
          <w:citation/>
        </w:sdtPr>
        <w:sdtContent>
          <w:r w:rsidRPr="009712C3">
            <w:rPr>
              <w:lang w:val="en-GB"/>
            </w:rPr>
            <w:fldChar w:fldCharType="begin"/>
          </w:r>
          <w:r w:rsidRPr="009712C3">
            <w:instrText xml:space="preserve"> CITATION Nat141 \l 1033 </w:instrText>
          </w:r>
          <w:r w:rsidRPr="009712C3">
            <w:rPr>
              <w:lang w:val="en-GB"/>
            </w:rPr>
            <w:fldChar w:fldCharType="separate"/>
          </w:r>
          <w:r w:rsidR="006D47C2">
            <w:rPr>
              <w:noProof/>
            </w:rPr>
            <w:t>[</w:t>
          </w:r>
          <w:hyperlink w:anchor="Nat141" w:history="1">
            <w:r w:rsidR="006D47C2">
              <w:rPr>
                <w:rStyle w:val="Authors"/>
                <w:noProof/>
              </w:rPr>
              <w:t>3</w:t>
            </w:r>
          </w:hyperlink>
          <w:r w:rsidR="006D47C2">
            <w:rPr>
              <w:noProof/>
            </w:rPr>
            <w:t>]</w:t>
          </w:r>
          <w:r w:rsidRPr="009712C3">
            <w:fldChar w:fldCharType="end"/>
          </w:r>
        </w:sdtContent>
      </w:sdt>
      <w:r w:rsidRPr="009712C3">
        <w:rPr>
          <w:lang w:val="en-GB"/>
        </w:rPr>
        <w:t xml:space="preserve"> this protects investment and decouples to simplify evolution.</w:t>
      </w:r>
    </w:p>
    <w:p w14:paraId="648F52EB" w14:textId="689E871E" w:rsidR="004A2200" w:rsidRPr="009712C3" w:rsidRDefault="004A2200" w:rsidP="004A2200">
      <w:pPr>
        <w:pStyle w:val="BodyText"/>
      </w:pPr>
      <w:r w:rsidRPr="009712C3">
        <w:t>We identified common services for transactive energy that are both minimal and complete with respect to a set of deployed transactive energy systems. These Common Transactive Services can be used as a basis for interoperability among existing</w:t>
      </w:r>
      <w:r w:rsidR="002A7D3A">
        <w:t xml:space="preserve"> and future</w:t>
      </w:r>
      <w:r w:rsidRPr="009712C3">
        <w:t xml:space="preserve"> TE systems.</w:t>
      </w:r>
    </w:p>
    <w:p w14:paraId="696CF788" w14:textId="56BB53A7" w:rsidR="004A2200" w:rsidRPr="009712C3" w:rsidRDefault="004A2200" w:rsidP="004A2200">
      <w:pPr>
        <w:pStyle w:val="BodyText"/>
        <w:rPr>
          <w:lang w:val="en-GB"/>
        </w:rPr>
      </w:pPr>
      <w:r w:rsidRPr="009712C3">
        <w:rPr>
          <w:lang w:val="en-GB"/>
        </w:rPr>
        <w:t xml:space="preserve">These services semantically interoperate with all of our systems </w:t>
      </w:r>
      <w:r w:rsidR="00097763">
        <w:rPr>
          <w:lang w:val="en-GB"/>
        </w:rPr>
        <w:t>examined</w:t>
      </w:r>
      <w:r w:rsidRPr="009712C3">
        <w:rPr>
          <w:lang w:val="en-GB"/>
        </w:rPr>
        <w:t xml:space="preserve"> to</w:t>
      </w:r>
    </w:p>
    <w:p w14:paraId="14610768" w14:textId="77777777" w:rsidR="004A2200" w:rsidRPr="009712C3" w:rsidRDefault="004A2200" w:rsidP="00A1045E">
      <w:pPr>
        <w:pStyle w:val="BodyText"/>
        <w:numPr>
          <w:ilvl w:val="0"/>
          <w:numId w:val="7"/>
        </w:numPr>
        <w:rPr>
          <w:lang w:val="en-GB"/>
        </w:rPr>
      </w:pPr>
      <w:r w:rsidRPr="009712C3">
        <w:rPr>
          <w:lang w:val="en-GB"/>
        </w:rPr>
        <w:t>Simplify interoperation and integration between transactive systems</w:t>
      </w:r>
    </w:p>
    <w:p w14:paraId="6965E2F1" w14:textId="77777777" w:rsidR="004A2200" w:rsidRPr="009712C3" w:rsidRDefault="004A2200" w:rsidP="00A1045E">
      <w:pPr>
        <w:pStyle w:val="BodyText"/>
        <w:numPr>
          <w:ilvl w:val="0"/>
          <w:numId w:val="7"/>
        </w:numPr>
      </w:pPr>
      <w:r w:rsidRPr="009712C3">
        <w:t xml:space="preserve">Allow </w:t>
      </w:r>
      <w:r w:rsidRPr="009712C3">
        <w:rPr>
          <w:i/>
        </w:rPr>
        <w:t>mix and match</w:t>
      </w:r>
      <w:r w:rsidRPr="009712C3">
        <w:t xml:space="preserve"> combining of systems—for example, deploying PowerMatcher and other microgrids inside a TEMIX system inside a CIM Markets system</w:t>
      </w:r>
    </w:p>
    <w:p w14:paraId="04C0204E" w14:textId="77777777" w:rsidR="004A2200" w:rsidRPr="009712C3" w:rsidRDefault="004A2200" w:rsidP="00A1045E">
      <w:pPr>
        <w:pStyle w:val="BodyText"/>
        <w:numPr>
          <w:ilvl w:val="0"/>
          <w:numId w:val="7"/>
        </w:numPr>
      </w:pPr>
      <w:r w:rsidRPr="009712C3">
        <w:t>Simplify design of simulations by using the Common Transactive Services</w:t>
      </w:r>
    </w:p>
    <w:p w14:paraId="59A40143" w14:textId="77777777" w:rsidR="004A2200" w:rsidRPr="009712C3" w:rsidRDefault="004A2200" w:rsidP="00A1045E">
      <w:pPr>
        <w:pStyle w:val="BodyText"/>
        <w:numPr>
          <w:ilvl w:val="0"/>
          <w:numId w:val="7"/>
        </w:numPr>
      </w:pPr>
      <w:r w:rsidRPr="009712C3">
        <w:t>Allow straightforward generalization of simulation results to other transactive systems</w:t>
      </w:r>
    </w:p>
    <w:p w14:paraId="03D158A3" w14:textId="77777777" w:rsidR="004A2200" w:rsidRPr="009712C3" w:rsidRDefault="004A2200" w:rsidP="004A2200">
      <w:pPr>
        <w:pStyle w:val="BodyText"/>
      </w:pPr>
      <w:r w:rsidRPr="009712C3">
        <w:t>This work builds on the work of the GridWise Architecture Council (GWAC), the Transactive Energy Association, and the SGIP-supported and OASIS-produced Energy Interoperation and Energy Market Information Exchange.</w:t>
      </w:r>
    </w:p>
    <w:p w14:paraId="11420AE8" w14:textId="77777777" w:rsidR="004A2200" w:rsidRPr="009712C3" w:rsidRDefault="004A2200" w:rsidP="004A2200">
      <w:pPr>
        <w:pStyle w:val="BodyText"/>
      </w:pPr>
      <w:r w:rsidRPr="009712C3">
        <w:t>We were fortunate to have team members and additional contributors that were experts in, architects of, interoperation with, and/or implementers of the transactive systems examined.</w:t>
      </w:r>
    </w:p>
    <w:p w14:paraId="2DA927C5" w14:textId="5BD89E0B" w:rsidR="004A2200" w:rsidRPr="009712C3" w:rsidRDefault="004A2200" w:rsidP="004A2200">
      <w:pPr>
        <w:pStyle w:val="BodyText"/>
      </w:pPr>
      <w:r w:rsidRPr="009712C3">
        <w:t>The team plans to release t</w:t>
      </w:r>
      <w:r w:rsidR="00097763">
        <w:t xml:space="preserve">he full report under the Apache </w:t>
      </w:r>
      <w:r w:rsidRPr="009712C3">
        <w:t xml:space="preserve">2 license allowing broad application and reuse of this work. </w:t>
      </w:r>
    </w:p>
    <w:p w14:paraId="4D6780F7" w14:textId="77777777" w:rsidR="004A2200" w:rsidRPr="00157EBB" w:rsidRDefault="004A2200" w:rsidP="00157EBB">
      <w:pPr>
        <w:pStyle w:val="Heading1"/>
      </w:pPr>
      <w:r w:rsidRPr="00157EBB">
        <w:t>Common Transactive Services Requirements</w:t>
      </w:r>
    </w:p>
    <w:p w14:paraId="16CB59C0" w14:textId="77777777" w:rsidR="004A2200" w:rsidRPr="009712C3" w:rsidRDefault="004A2200" w:rsidP="004A2200">
      <w:pPr>
        <w:pStyle w:val="BodyText"/>
      </w:pPr>
      <w:r w:rsidRPr="009712C3">
        <w:t xml:space="preserve">By </w:t>
      </w:r>
      <w:r w:rsidRPr="009712C3">
        <w:rPr>
          <w:i/>
        </w:rPr>
        <w:t>Common Transactive Services</w:t>
      </w:r>
      <w:r w:rsidRPr="009712C3">
        <w:t xml:space="preserve"> we mean a minimal set of standardized services that can interoperate with each of the existing transactive systems, possibly with extensions, and at an architectural level appropriate to the semantics of all transactive systems. Message payloads need to be standardized as well to allow decoupled evolution. </w:t>
      </w:r>
    </w:p>
    <w:p w14:paraId="123EE24F" w14:textId="77777777" w:rsidR="004A2200" w:rsidRPr="009712C3" w:rsidRDefault="004A2200" w:rsidP="004A2200">
      <w:pPr>
        <w:pStyle w:val="BodyText"/>
      </w:pPr>
      <w:r w:rsidRPr="009712C3">
        <w:t>The Common Transactive Services (CTS) should be</w:t>
      </w:r>
    </w:p>
    <w:p w14:paraId="117CB616" w14:textId="77777777" w:rsidR="004A2200" w:rsidRPr="009712C3" w:rsidRDefault="004A2200" w:rsidP="00A1045E">
      <w:pPr>
        <w:pStyle w:val="BodyText"/>
        <w:numPr>
          <w:ilvl w:val="0"/>
          <w:numId w:val="8"/>
        </w:numPr>
      </w:pPr>
      <w:r w:rsidRPr="009712C3">
        <w:t>Standard, providing service requests and responses that are clearly defined and standardized</w:t>
      </w:r>
    </w:p>
    <w:p w14:paraId="7862251C" w14:textId="13F91C5C" w:rsidR="004A2200" w:rsidRPr="009712C3" w:rsidRDefault="004A2200" w:rsidP="00A1045E">
      <w:pPr>
        <w:pStyle w:val="BodyText"/>
        <w:numPr>
          <w:ilvl w:val="0"/>
          <w:numId w:val="8"/>
        </w:numPr>
      </w:pPr>
      <w:r w:rsidRPr="009712C3">
        <w:t>Extensible and adaptable, with standard models for pric</w:t>
      </w:r>
      <w:r w:rsidR="001C5FC0">
        <w:t>e (in any currency)</w:t>
      </w:r>
      <w:r w:rsidRPr="009712C3">
        <w:t xml:space="preserve"> and product definition </w:t>
      </w:r>
    </w:p>
    <w:p w14:paraId="68368912" w14:textId="77777777" w:rsidR="004A2200" w:rsidRPr="009712C3" w:rsidRDefault="004A2200" w:rsidP="00A1045E">
      <w:pPr>
        <w:pStyle w:val="BodyText"/>
        <w:numPr>
          <w:ilvl w:val="0"/>
          <w:numId w:val="8"/>
        </w:numPr>
      </w:pPr>
      <w:r w:rsidRPr="009712C3">
        <w:t>Open (free to read and use)</w:t>
      </w:r>
    </w:p>
    <w:p w14:paraId="0F3578F2" w14:textId="77777777" w:rsidR="004A2200" w:rsidRPr="009712C3" w:rsidRDefault="004A2200" w:rsidP="00A1045E">
      <w:pPr>
        <w:pStyle w:val="BodyText"/>
        <w:numPr>
          <w:ilvl w:val="0"/>
          <w:numId w:val="8"/>
        </w:numPr>
      </w:pPr>
      <w:r w:rsidRPr="009712C3">
        <w:t>Amenable to open source implementations</w:t>
      </w:r>
    </w:p>
    <w:p w14:paraId="116D83A1" w14:textId="77777777" w:rsidR="004A2200" w:rsidRPr="009712C3" w:rsidRDefault="004A2200" w:rsidP="00A1045E">
      <w:pPr>
        <w:pStyle w:val="BodyText"/>
        <w:numPr>
          <w:ilvl w:val="0"/>
          <w:numId w:val="8"/>
        </w:numPr>
      </w:pPr>
      <w:r w:rsidRPr="009712C3">
        <w:t>As simple and minimal as possible</w:t>
      </w:r>
    </w:p>
    <w:p w14:paraId="315F754E" w14:textId="77777777" w:rsidR="004A2200" w:rsidRPr="009712C3" w:rsidRDefault="004A2200" w:rsidP="004A2200">
      <w:pPr>
        <w:pStyle w:val="BodyText"/>
      </w:pPr>
      <w:r w:rsidRPr="009712C3">
        <w:t>CTS should be capable of implementing transactive energy and</w:t>
      </w:r>
    </w:p>
    <w:p w14:paraId="3624058E" w14:textId="77777777" w:rsidR="004A2200" w:rsidRPr="009712C3" w:rsidRDefault="004A2200" w:rsidP="00A1045E">
      <w:pPr>
        <w:pStyle w:val="BodyText"/>
        <w:numPr>
          <w:ilvl w:val="0"/>
          <w:numId w:val="9"/>
        </w:numPr>
      </w:pPr>
      <w:r w:rsidRPr="009712C3">
        <w:t xml:space="preserve">Supporting GWAC’s Transactive Energy Principle 1 </w:t>
      </w:r>
      <w:sdt>
        <w:sdtPr>
          <w:id w:val="2146316055"/>
          <w:citation/>
        </w:sdtPr>
        <w:sdtContent>
          <w:r w:rsidRPr="009712C3">
            <w:fldChar w:fldCharType="begin"/>
          </w:r>
          <w:r w:rsidRPr="009712C3">
            <w:instrText xml:space="preserve"> CITATION Gri14 \l 1033 </w:instrText>
          </w:r>
          <w:r w:rsidRPr="009712C3">
            <w:fldChar w:fldCharType="separate"/>
          </w:r>
          <w:r w:rsidR="006D47C2">
            <w:rPr>
              <w:noProof/>
            </w:rPr>
            <w:t>[</w:t>
          </w:r>
          <w:hyperlink w:anchor="Gri14" w:history="1">
            <w:r w:rsidR="006D47C2">
              <w:rPr>
                <w:rStyle w:val="Authors"/>
                <w:noProof/>
              </w:rPr>
              <w:t>4</w:t>
            </w:r>
          </w:hyperlink>
          <w:r w:rsidR="006D47C2">
            <w:rPr>
              <w:noProof/>
            </w:rPr>
            <w:t>]</w:t>
          </w:r>
          <w:r w:rsidRPr="009712C3">
            <w:fldChar w:fldCharType="end"/>
          </w:r>
        </w:sdtContent>
      </w:sdt>
      <w:r w:rsidRPr="009712C3">
        <w:t xml:space="preserve"> to allow “highly automated coordinated self-optimization”.</w:t>
      </w:r>
    </w:p>
    <w:p w14:paraId="1EF5F8B9" w14:textId="77777777" w:rsidR="004A2200" w:rsidRPr="009712C3" w:rsidRDefault="004A2200" w:rsidP="00A1045E">
      <w:pPr>
        <w:pStyle w:val="BodyText"/>
        <w:numPr>
          <w:ilvl w:val="0"/>
          <w:numId w:val="9"/>
        </w:numPr>
      </w:pPr>
      <w:r w:rsidRPr="009712C3">
        <w:t>Bridging to and from each transactive system studied, and preferably to most transactive system</w:t>
      </w:r>
    </w:p>
    <w:p w14:paraId="5D538668" w14:textId="77777777" w:rsidR="004A2200" w:rsidRPr="009712C3" w:rsidRDefault="004A2200" w:rsidP="004A2200">
      <w:pPr>
        <w:pStyle w:val="BodyText"/>
      </w:pPr>
      <w:r w:rsidRPr="009712C3">
        <w:t>The ability to integrate and interoperate is key to obtaining widespread benefit from transactive energy.</w:t>
      </w:r>
    </w:p>
    <w:p w14:paraId="68581C45" w14:textId="77777777" w:rsidR="004A2200" w:rsidRPr="00157EBB" w:rsidRDefault="004A2200" w:rsidP="00157EBB">
      <w:pPr>
        <w:pStyle w:val="Heading1"/>
      </w:pPr>
      <w:r w:rsidRPr="00157EBB">
        <w:lastRenderedPageBreak/>
        <w:t>Common Transactive Service Definitions</w:t>
      </w:r>
    </w:p>
    <w:p w14:paraId="174170C4" w14:textId="77777777" w:rsidR="004A2200" w:rsidRPr="009712C3" w:rsidRDefault="004A2200" w:rsidP="004A2200">
      <w:pPr>
        <w:pStyle w:val="BodyText"/>
      </w:pPr>
      <w:r w:rsidRPr="009712C3">
        <w:t>The services are listed in</w:t>
      </w:r>
      <w:r>
        <w:t xml:space="preserve"> Table 1</w:t>
      </w:r>
      <w:r w:rsidRPr="009712C3">
        <w:t>. There are active open source projects implementing the Common Transactive Services.</w:t>
      </w:r>
    </w:p>
    <w:p w14:paraId="448FBFAF" w14:textId="69B575BC" w:rsidR="004A2200" w:rsidRPr="009712C3" w:rsidRDefault="004A2200" w:rsidP="004A2200">
      <w:pPr>
        <w:pStyle w:val="BodyText"/>
      </w:pPr>
      <w:r w:rsidRPr="009712C3">
        <w:t xml:space="preserve">Not all TE systems use these names for their various services and may omit one or more of these concepts. We use names and definitions drawn from economics and markets to describe Transactive Services, as standardized in OASIS Energy Interoperation. </w:t>
      </w:r>
      <w:sdt>
        <w:sdtPr>
          <w:id w:val="-61491966"/>
          <w:citation/>
        </w:sdtPr>
        <w:sdtContent>
          <w:r w:rsidRPr="009712C3">
            <w:fldChar w:fldCharType="begin"/>
          </w:r>
          <w:r w:rsidRPr="009712C3">
            <w:instrText xml:space="preserve"> CITATION Org12 \l 1033 </w:instrText>
          </w:r>
          <w:r w:rsidRPr="009712C3">
            <w:fldChar w:fldCharType="separate"/>
          </w:r>
          <w:r w:rsidR="006D47C2">
            <w:rPr>
              <w:noProof/>
            </w:rPr>
            <w:t>[</w:t>
          </w:r>
          <w:hyperlink w:anchor="Org12" w:history="1">
            <w:r w:rsidR="006D47C2">
              <w:rPr>
                <w:rStyle w:val="Authors"/>
                <w:noProof/>
              </w:rPr>
              <w:t>5</w:t>
            </w:r>
          </w:hyperlink>
          <w:r w:rsidR="006D47C2">
            <w:rPr>
              <w:noProof/>
            </w:rPr>
            <w:t>]</w:t>
          </w:r>
          <w:r w:rsidRPr="009712C3">
            <w:fldChar w:fldCharType="end"/>
          </w:r>
        </w:sdtContent>
      </w:sdt>
      <w:bookmarkStart w:id="1" w:name="_Ref317353444"/>
      <w:sdt>
        <w:sdtPr>
          <w:id w:val="1500317692"/>
          <w:citation/>
        </w:sdtPr>
        <w:sdtContent>
          <w:r w:rsidR="00413098">
            <w:fldChar w:fldCharType="begin"/>
          </w:r>
          <w:r w:rsidR="00413098">
            <w:instrText xml:space="preserve"> CITATION Int1 \l 1033 </w:instrText>
          </w:r>
          <w:r w:rsidR="00413098">
            <w:fldChar w:fldCharType="separate"/>
          </w:r>
          <w:r w:rsidR="006D47C2">
            <w:rPr>
              <w:noProof/>
            </w:rPr>
            <w:t xml:space="preserve"> [</w:t>
          </w:r>
          <w:hyperlink w:anchor="Int1" w:history="1">
            <w:r w:rsidR="006D47C2">
              <w:rPr>
                <w:rStyle w:val="Authors"/>
                <w:noProof/>
              </w:rPr>
              <w:t>6</w:t>
            </w:r>
          </w:hyperlink>
          <w:r w:rsidR="006D47C2">
            <w:rPr>
              <w:noProof/>
            </w:rPr>
            <w:t>]</w:t>
          </w:r>
          <w:r w:rsidR="00413098">
            <w:fldChar w:fldCharType="end"/>
          </w:r>
        </w:sdtContent>
      </w:sdt>
      <w:r w:rsidRPr="009712C3">
        <w:t xml:space="preserve"> Each service has several Service Operations; we omit the </w:t>
      </w:r>
      <w:r w:rsidRPr="009712C3">
        <w:rPr>
          <w:i/>
        </w:rPr>
        <w:t>Ei</w:t>
      </w:r>
      <w:r w:rsidRPr="009712C3">
        <w:t xml:space="preserve"> </w:t>
      </w:r>
      <w:r w:rsidR="00846849">
        <w:t>prefix for the standard service descriptions</w:t>
      </w:r>
      <w:r w:rsidRPr="009712C3">
        <w:t>.</w:t>
      </w:r>
    </w:p>
    <w:p w14:paraId="59B9640E" w14:textId="77777777" w:rsidR="004A2200" w:rsidRPr="009712C3" w:rsidRDefault="004A2200" w:rsidP="004A2200">
      <w:pPr>
        <w:pStyle w:val="BodyText"/>
        <w:rPr>
          <w:b/>
          <w:bCs/>
        </w:rPr>
      </w:pPr>
      <w:r w:rsidRPr="009712C3">
        <w:rPr>
          <w:b/>
          <w:bCs/>
        </w:rPr>
        <w:t xml:space="preserve">Table </w:t>
      </w:r>
      <w:r>
        <w:rPr>
          <w:b/>
          <w:bCs/>
        </w:rPr>
        <w:t>1</w:t>
      </w:r>
      <w:r w:rsidRPr="009712C3">
        <w:rPr>
          <w:b/>
          <w:bCs/>
        </w:rPr>
        <w:t xml:space="preserve"> </w:t>
      </w:r>
      <w:r>
        <w:rPr>
          <w:b/>
          <w:bCs/>
        </w:rPr>
        <w:t xml:space="preserve">-- </w:t>
      </w:r>
      <w:r w:rsidRPr="009712C3">
        <w:rPr>
          <w:b/>
          <w:bCs/>
        </w:rPr>
        <w:t>Common Transactive Services</w:t>
      </w:r>
    </w:p>
    <w:tbl>
      <w:tblPr>
        <w:tblStyle w:val="TableGrid"/>
        <w:tblW w:w="0" w:type="auto"/>
        <w:jc w:val="center"/>
        <w:tblLook w:val="04A0" w:firstRow="1" w:lastRow="0" w:firstColumn="1" w:lastColumn="0" w:noHBand="0" w:noVBand="1"/>
      </w:tblPr>
      <w:tblGrid>
        <w:gridCol w:w="1469"/>
        <w:gridCol w:w="1884"/>
        <w:gridCol w:w="1903"/>
      </w:tblGrid>
      <w:tr w:rsidR="004A2200" w:rsidRPr="009712C3" w14:paraId="19B483D6" w14:textId="77777777" w:rsidTr="009A2F89">
        <w:trPr>
          <w:cantSplit/>
          <w:jc w:val="center"/>
        </w:trPr>
        <w:tc>
          <w:tcPr>
            <w:tcW w:w="2160" w:type="dxa"/>
            <w:vAlign w:val="center"/>
          </w:tcPr>
          <w:p w14:paraId="384051DE" w14:textId="77777777" w:rsidR="004A2200" w:rsidRPr="009712C3" w:rsidRDefault="004A2200" w:rsidP="009A2F89">
            <w:pPr>
              <w:pStyle w:val="BodyText"/>
              <w:rPr>
                <w:b/>
                <w:i/>
              </w:rPr>
            </w:pPr>
            <w:r w:rsidRPr="009712C3">
              <w:rPr>
                <w:b/>
                <w:i/>
              </w:rPr>
              <w:t xml:space="preserve">Common Transactive Service </w:t>
            </w:r>
          </w:p>
        </w:tc>
        <w:tc>
          <w:tcPr>
            <w:tcW w:w="3600" w:type="dxa"/>
            <w:vAlign w:val="center"/>
          </w:tcPr>
          <w:p w14:paraId="169170E4" w14:textId="77777777" w:rsidR="004A2200" w:rsidRPr="009712C3" w:rsidRDefault="004A2200" w:rsidP="009A2F89">
            <w:pPr>
              <w:pStyle w:val="BodyText"/>
              <w:rPr>
                <w:b/>
                <w:i/>
              </w:rPr>
            </w:pPr>
            <w:r w:rsidRPr="009712C3">
              <w:rPr>
                <w:b/>
                <w:i/>
              </w:rPr>
              <w:t>Description</w:t>
            </w:r>
          </w:p>
        </w:tc>
        <w:tc>
          <w:tcPr>
            <w:tcW w:w="3600" w:type="dxa"/>
            <w:vAlign w:val="center"/>
          </w:tcPr>
          <w:p w14:paraId="64A499FE" w14:textId="77777777" w:rsidR="004A2200" w:rsidRPr="009712C3" w:rsidRDefault="004A2200" w:rsidP="009A2F89">
            <w:pPr>
              <w:pStyle w:val="BodyText"/>
              <w:rPr>
                <w:b/>
                <w:i/>
              </w:rPr>
            </w:pPr>
            <w:r w:rsidRPr="009712C3">
              <w:rPr>
                <w:b/>
                <w:i/>
              </w:rPr>
              <w:t>Other Names Used</w:t>
            </w:r>
          </w:p>
        </w:tc>
      </w:tr>
      <w:tr w:rsidR="004A2200" w:rsidRPr="009712C3" w14:paraId="0789C0A0" w14:textId="77777777" w:rsidTr="009A2F89">
        <w:trPr>
          <w:cantSplit/>
          <w:jc w:val="center"/>
        </w:trPr>
        <w:tc>
          <w:tcPr>
            <w:tcW w:w="2160" w:type="dxa"/>
            <w:vAlign w:val="center"/>
          </w:tcPr>
          <w:p w14:paraId="3D32650F" w14:textId="77777777" w:rsidR="004A2200" w:rsidRPr="009712C3" w:rsidRDefault="004A2200" w:rsidP="009A2F89">
            <w:pPr>
              <w:pStyle w:val="BodyText"/>
            </w:pPr>
            <w:r w:rsidRPr="009712C3">
              <w:t>Quote</w:t>
            </w:r>
          </w:p>
        </w:tc>
        <w:tc>
          <w:tcPr>
            <w:tcW w:w="3600" w:type="dxa"/>
          </w:tcPr>
          <w:p w14:paraId="515BD2C1" w14:textId="77777777" w:rsidR="004A2200" w:rsidRPr="009712C3" w:rsidRDefault="004A2200" w:rsidP="001F2EAB">
            <w:pPr>
              <w:pStyle w:val="BodyText"/>
              <w:jc w:val="left"/>
            </w:pPr>
            <w:r w:rsidRPr="009712C3">
              <w:t>Provide or request a price quotation on a product</w:t>
            </w:r>
          </w:p>
        </w:tc>
        <w:tc>
          <w:tcPr>
            <w:tcW w:w="3600" w:type="dxa"/>
          </w:tcPr>
          <w:p w14:paraId="4AB11BF1" w14:textId="77777777" w:rsidR="004A2200" w:rsidRPr="009712C3" w:rsidRDefault="004A2200" w:rsidP="001F2EAB">
            <w:pPr>
              <w:pStyle w:val="BodyText"/>
              <w:jc w:val="left"/>
            </w:pPr>
            <w:r w:rsidRPr="009712C3">
              <w:t>Price quote, quote</w:t>
            </w:r>
          </w:p>
        </w:tc>
      </w:tr>
      <w:tr w:rsidR="004A2200" w:rsidRPr="009712C3" w14:paraId="16C0BAEE" w14:textId="77777777" w:rsidTr="009A2F89">
        <w:trPr>
          <w:cantSplit/>
          <w:jc w:val="center"/>
        </w:trPr>
        <w:tc>
          <w:tcPr>
            <w:tcW w:w="2160" w:type="dxa"/>
            <w:vAlign w:val="center"/>
          </w:tcPr>
          <w:p w14:paraId="4AAF65F5" w14:textId="77777777" w:rsidR="004A2200" w:rsidRPr="009712C3" w:rsidRDefault="004A2200" w:rsidP="009A2F89">
            <w:pPr>
              <w:pStyle w:val="BodyText"/>
            </w:pPr>
            <w:r w:rsidRPr="009712C3">
              <w:t>Tender</w:t>
            </w:r>
          </w:p>
        </w:tc>
        <w:tc>
          <w:tcPr>
            <w:tcW w:w="3600" w:type="dxa"/>
          </w:tcPr>
          <w:p w14:paraId="45E74BCF" w14:textId="77777777" w:rsidR="004A2200" w:rsidRPr="009712C3" w:rsidRDefault="004A2200" w:rsidP="001F2EAB">
            <w:pPr>
              <w:pStyle w:val="BodyText"/>
              <w:jc w:val="left"/>
            </w:pPr>
            <w:r w:rsidRPr="009712C3">
              <w:t>Make a tender to buy or sell a product. Tenders may be binding or non-binding.</w:t>
            </w:r>
          </w:p>
        </w:tc>
        <w:tc>
          <w:tcPr>
            <w:tcW w:w="3600" w:type="dxa"/>
          </w:tcPr>
          <w:p w14:paraId="55541BF0" w14:textId="77777777" w:rsidR="004A2200" w:rsidRPr="009712C3" w:rsidRDefault="004A2200" w:rsidP="001F2EAB">
            <w:pPr>
              <w:pStyle w:val="BodyText"/>
              <w:jc w:val="left"/>
            </w:pPr>
            <w:r w:rsidRPr="009712C3">
              <w:t>Offer, bid</w:t>
            </w:r>
          </w:p>
        </w:tc>
      </w:tr>
      <w:tr w:rsidR="004A2200" w:rsidRPr="009712C3" w14:paraId="2BE7CAE2" w14:textId="77777777" w:rsidTr="009A2F89">
        <w:trPr>
          <w:cantSplit/>
          <w:jc w:val="center"/>
        </w:trPr>
        <w:tc>
          <w:tcPr>
            <w:tcW w:w="2160" w:type="dxa"/>
            <w:vAlign w:val="center"/>
          </w:tcPr>
          <w:p w14:paraId="7ACFEFC9" w14:textId="77777777" w:rsidR="004A2200" w:rsidRPr="009712C3" w:rsidRDefault="004A2200" w:rsidP="009A2F89">
            <w:pPr>
              <w:pStyle w:val="BodyText"/>
            </w:pPr>
            <w:r w:rsidRPr="009712C3">
              <w:t>Transaction</w:t>
            </w:r>
          </w:p>
        </w:tc>
        <w:tc>
          <w:tcPr>
            <w:tcW w:w="3600" w:type="dxa"/>
          </w:tcPr>
          <w:p w14:paraId="162EDC1F" w14:textId="77777777" w:rsidR="004A2200" w:rsidRPr="009712C3" w:rsidRDefault="004A2200" w:rsidP="001F2EAB">
            <w:pPr>
              <w:pStyle w:val="BodyText"/>
              <w:jc w:val="left"/>
            </w:pPr>
            <w:r w:rsidRPr="009712C3">
              <w:t>Accept a Tender, agreeing to and creating a Transaction binding on the parties.</w:t>
            </w:r>
          </w:p>
        </w:tc>
        <w:tc>
          <w:tcPr>
            <w:tcW w:w="3600" w:type="dxa"/>
          </w:tcPr>
          <w:p w14:paraId="1EBF4C88" w14:textId="77777777" w:rsidR="004A2200" w:rsidRPr="009712C3" w:rsidRDefault="004A2200" w:rsidP="001F2EAB">
            <w:pPr>
              <w:pStyle w:val="BodyText"/>
              <w:jc w:val="left"/>
            </w:pPr>
            <w:r w:rsidRPr="009712C3">
              <w:t>Acceptance, contract, clearing</w:t>
            </w:r>
            <w:r w:rsidRPr="009712C3">
              <w:rPr>
                <w:vertAlign w:val="superscript"/>
              </w:rPr>
              <w:footnoteReference w:id="2"/>
            </w:r>
          </w:p>
        </w:tc>
      </w:tr>
      <w:tr w:rsidR="004A2200" w:rsidRPr="009712C3" w14:paraId="69EA923F" w14:textId="77777777" w:rsidTr="009A2F89">
        <w:trPr>
          <w:cantSplit/>
          <w:jc w:val="center"/>
        </w:trPr>
        <w:tc>
          <w:tcPr>
            <w:tcW w:w="2160" w:type="dxa"/>
            <w:vAlign w:val="center"/>
          </w:tcPr>
          <w:p w14:paraId="765F12E5" w14:textId="77777777" w:rsidR="004A2200" w:rsidRPr="009712C3" w:rsidRDefault="004A2200" w:rsidP="009A2F89">
            <w:pPr>
              <w:pStyle w:val="BodyText"/>
            </w:pPr>
            <w:r w:rsidRPr="009712C3">
              <w:t>Delivery</w:t>
            </w:r>
          </w:p>
        </w:tc>
        <w:tc>
          <w:tcPr>
            <w:tcW w:w="3600" w:type="dxa"/>
          </w:tcPr>
          <w:p w14:paraId="3864D061" w14:textId="77777777" w:rsidR="004A2200" w:rsidRPr="009712C3" w:rsidRDefault="004A2200" w:rsidP="001F2EAB">
            <w:pPr>
              <w:pStyle w:val="BodyText"/>
              <w:jc w:val="left"/>
            </w:pPr>
            <w:r w:rsidRPr="009712C3">
              <w:t>Meter the actual delivery quantity</w:t>
            </w:r>
            <w:r w:rsidRPr="009712C3">
              <w:rPr>
                <w:vertAlign w:val="superscript"/>
              </w:rPr>
              <w:footnoteReference w:id="3"/>
            </w:r>
          </w:p>
        </w:tc>
        <w:tc>
          <w:tcPr>
            <w:tcW w:w="3600" w:type="dxa"/>
          </w:tcPr>
          <w:p w14:paraId="0E9AF661" w14:textId="77777777" w:rsidR="004A2200" w:rsidRPr="009712C3" w:rsidRDefault="004A2200" w:rsidP="001F2EAB">
            <w:pPr>
              <w:pStyle w:val="BodyText"/>
              <w:jc w:val="left"/>
            </w:pPr>
            <w:r w:rsidRPr="009712C3">
              <w:t>Verify, certify, meter, read meter</w:t>
            </w:r>
          </w:p>
        </w:tc>
      </w:tr>
    </w:tbl>
    <w:p w14:paraId="66F95EC4" w14:textId="77777777" w:rsidR="004A2200" w:rsidRPr="00157EBB" w:rsidRDefault="004A2200" w:rsidP="00157EBB">
      <w:pPr>
        <w:pStyle w:val="Heading1"/>
      </w:pPr>
      <w:bookmarkStart w:id="2" w:name="_Ref317956809"/>
      <w:bookmarkEnd w:id="1"/>
      <w:r w:rsidRPr="00157EBB">
        <w:t>Semantic and System Interoperability</w:t>
      </w:r>
      <w:bookmarkEnd w:id="2"/>
    </w:p>
    <w:p w14:paraId="07B563EB" w14:textId="77777777" w:rsidR="004A2200" w:rsidRPr="009712C3" w:rsidRDefault="004A2200" w:rsidP="004A2200">
      <w:pPr>
        <w:pStyle w:val="BodyText"/>
      </w:pPr>
      <w:r w:rsidRPr="009712C3">
        <w:t>S</w:t>
      </w:r>
      <w:r w:rsidRPr="009712C3">
        <w:rPr>
          <w:i/>
        </w:rPr>
        <w:t>emantic interoperability</w:t>
      </w:r>
      <w:r w:rsidRPr="009712C3">
        <w:t xml:space="preserve"> suggests that core transactive functions can be mapped between transactive systems. </w:t>
      </w:r>
      <w:r w:rsidRPr="009712C3">
        <w:rPr>
          <w:i/>
        </w:rPr>
        <w:t>Semantic interoperability</w:t>
      </w:r>
      <w:r w:rsidRPr="009712C3">
        <w:t xml:space="preserve"> is necessary but not sufficient for </w:t>
      </w:r>
      <w:r w:rsidRPr="009712C3">
        <w:rPr>
          <w:i/>
        </w:rPr>
        <w:t>system interoperability</w:t>
      </w:r>
      <w:r w:rsidRPr="009712C3">
        <w:t xml:space="preserve">; there is a broader set of </w:t>
      </w:r>
      <w:r w:rsidRPr="009712C3">
        <w:rPr>
          <w:i/>
        </w:rPr>
        <w:t>system interoperability</w:t>
      </w:r>
      <w:r w:rsidRPr="009712C3">
        <w:t xml:space="preserve"> requirements described in the GridWise Architecture Council stack. </w:t>
      </w:r>
      <w:sdt>
        <w:sdtPr>
          <w:id w:val="-544133610"/>
          <w:citation/>
        </w:sdtPr>
        <w:sdtContent>
          <w:r w:rsidRPr="009712C3">
            <w:fldChar w:fldCharType="begin"/>
          </w:r>
          <w:r w:rsidRPr="009712C3">
            <w:instrText xml:space="preserve">CITATION Gri08 \l 1033 </w:instrText>
          </w:r>
          <w:r w:rsidRPr="009712C3">
            <w:fldChar w:fldCharType="separate"/>
          </w:r>
          <w:r w:rsidR="006D47C2">
            <w:rPr>
              <w:noProof/>
            </w:rPr>
            <w:t>[</w:t>
          </w:r>
          <w:hyperlink w:anchor="Gri08" w:history="1">
            <w:r w:rsidR="006D47C2">
              <w:rPr>
                <w:rStyle w:val="Authors"/>
                <w:noProof/>
              </w:rPr>
              <w:t>7</w:t>
            </w:r>
          </w:hyperlink>
          <w:r w:rsidR="006D47C2">
            <w:rPr>
              <w:noProof/>
            </w:rPr>
            <w:t>]</w:t>
          </w:r>
          <w:r w:rsidRPr="009712C3">
            <w:fldChar w:fldCharType="end"/>
          </w:r>
        </w:sdtContent>
      </w:sdt>
    </w:p>
    <w:p w14:paraId="54C6D243" w14:textId="77777777" w:rsidR="004A2200" w:rsidRPr="009712C3" w:rsidRDefault="004A2200" w:rsidP="004A2200">
      <w:pPr>
        <w:pStyle w:val="BodyText"/>
      </w:pPr>
      <w:r w:rsidRPr="009712C3">
        <w:t xml:space="preserve">We focus on the </w:t>
      </w:r>
      <w:r w:rsidRPr="009712C3">
        <w:rPr>
          <w:i/>
        </w:rPr>
        <w:t>Semantic Understanding</w:t>
      </w:r>
      <w:r w:rsidRPr="009712C3">
        <w:t xml:space="preserve"> layer; this layer and lower layers must be bridged for communication to take place by applying the aptly named Bridge software engineering pattern </w:t>
      </w:r>
      <w:sdt>
        <w:sdtPr>
          <w:id w:val="1357469892"/>
          <w:citation/>
        </w:sdtPr>
        <w:sdtContent>
          <w:r w:rsidRPr="009712C3">
            <w:fldChar w:fldCharType="begin"/>
          </w:r>
          <w:r w:rsidRPr="009712C3">
            <w:instrText xml:space="preserve">CITATION Gam94 \l 1033 </w:instrText>
          </w:r>
          <w:r w:rsidRPr="009712C3">
            <w:fldChar w:fldCharType="separate"/>
          </w:r>
          <w:r w:rsidR="006D47C2">
            <w:rPr>
              <w:noProof/>
            </w:rPr>
            <w:t>[</w:t>
          </w:r>
          <w:hyperlink w:anchor="Gam94" w:history="1">
            <w:r w:rsidR="006D47C2">
              <w:rPr>
                <w:rStyle w:val="Authors"/>
                <w:noProof/>
              </w:rPr>
              <w:t>8</w:t>
            </w:r>
          </w:hyperlink>
          <w:r w:rsidR="006D47C2">
            <w:rPr>
              <w:noProof/>
            </w:rPr>
            <w:t>]</w:t>
          </w:r>
          <w:r w:rsidRPr="009712C3">
            <w:fldChar w:fldCharType="end"/>
          </w:r>
        </w:sdtContent>
      </w:sdt>
      <w:r w:rsidRPr="009712C3">
        <w:t>.</w:t>
      </w:r>
    </w:p>
    <w:p w14:paraId="6A7D2E67" w14:textId="77777777" w:rsidR="004A2200" w:rsidRPr="009712C3" w:rsidRDefault="004A2200" w:rsidP="004A2200">
      <w:pPr>
        <w:pStyle w:val="BodyText"/>
      </w:pPr>
      <w:r w:rsidRPr="009712C3">
        <w:t>The Common Transactive Services define what needs to be mutually understood</w:t>
      </w:r>
      <w:sdt>
        <w:sdtPr>
          <w:id w:val="-1453938438"/>
          <w:citation/>
        </w:sdtPr>
        <w:sdtContent>
          <w:r w:rsidRPr="009712C3">
            <w:fldChar w:fldCharType="begin"/>
          </w:r>
          <w:r w:rsidRPr="009712C3">
            <w:instrText xml:space="preserve"> CITATION Lib04 \l 1033 </w:instrText>
          </w:r>
          <w:r w:rsidRPr="009712C3">
            <w:fldChar w:fldCharType="separate"/>
          </w:r>
          <w:r w:rsidR="006D47C2">
            <w:rPr>
              <w:noProof/>
            </w:rPr>
            <w:t xml:space="preserve"> [</w:t>
          </w:r>
          <w:hyperlink w:anchor="Lib04" w:history="1">
            <w:r w:rsidR="006D47C2">
              <w:rPr>
                <w:rStyle w:val="Authors"/>
                <w:noProof/>
              </w:rPr>
              <w:t>9</w:t>
            </w:r>
          </w:hyperlink>
          <w:r w:rsidR="006D47C2">
            <w:rPr>
              <w:noProof/>
            </w:rPr>
            <w:t>]</w:t>
          </w:r>
          <w:r w:rsidRPr="009712C3">
            <w:fldChar w:fldCharType="end"/>
          </w:r>
        </w:sdtContent>
      </w:sdt>
      <w:r w:rsidRPr="009712C3">
        <w:t xml:space="preserve"> by the parties to a transaction: </w:t>
      </w:r>
    </w:p>
    <w:p w14:paraId="5F6A0BFE" w14:textId="77777777" w:rsidR="004A2200" w:rsidRPr="009712C3" w:rsidRDefault="004A2200" w:rsidP="00A1045E">
      <w:pPr>
        <w:pStyle w:val="BodyText"/>
        <w:numPr>
          <w:ilvl w:val="0"/>
          <w:numId w:val="5"/>
        </w:numPr>
      </w:pPr>
      <w:r w:rsidRPr="009712C3">
        <w:t xml:space="preserve">Transactions are energy-economic exchanges between parties. The exchanges between parties necessarily include information exchange including </w:t>
      </w:r>
      <w:r w:rsidRPr="009712C3">
        <w:lastRenderedPageBreak/>
        <w:t>product definition, delivery location, and time interval</w:t>
      </w:r>
    </w:p>
    <w:p w14:paraId="025B02AB" w14:textId="77777777" w:rsidR="004A2200" w:rsidRPr="009712C3" w:rsidRDefault="004A2200" w:rsidP="00A1045E">
      <w:pPr>
        <w:pStyle w:val="BodyText"/>
        <w:numPr>
          <w:ilvl w:val="0"/>
          <w:numId w:val="5"/>
        </w:numPr>
      </w:pPr>
      <w:r w:rsidRPr="009712C3">
        <w:t>Transactions reference products and services (such as energy, transport, reserves, frequency support)</w:t>
      </w:r>
    </w:p>
    <w:p w14:paraId="7882031B" w14:textId="77777777" w:rsidR="004A2200" w:rsidRPr="009712C3" w:rsidRDefault="004A2200" w:rsidP="00A1045E">
      <w:pPr>
        <w:pStyle w:val="BodyText"/>
        <w:numPr>
          <w:ilvl w:val="0"/>
          <w:numId w:val="5"/>
        </w:numPr>
      </w:pPr>
      <w:r w:rsidRPr="009712C3">
        <w:t>Participants determine value to them of energy they may produce or consume. Value is reflected in willingness to buy or sell. Automatable systems typically mediate transactions with price</w:t>
      </w:r>
    </w:p>
    <w:p w14:paraId="2EBE0A5D" w14:textId="77777777" w:rsidR="004A2200" w:rsidRPr="009712C3" w:rsidRDefault="004A2200" w:rsidP="00A1045E">
      <w:pPr>
        <w:pStyle w:val="BodyText"/>
        <w:numPr>
          <w:ilvl w:val="0"/>
          <w:numId w:val="5"/>
        </w:numPr>
      </w:pPr>
      <w:r w:rsidRPr="009712C3">
        <w:t>Participants typically have different objectives</w:t>
      </w:r>
      <w:r w:rsidRPr="009712C3">
        <w:rPr>
          <w:vertAlign w:val="superscript"/>
        </w:rPr>
        <w:footnoteReference w:id="4"/>
      </w:r>
      <w:r w:rsidRPr="009712C3">
        <w:t xml:space="preserve"> </w:t>
      </w:r>
    </w:p>
    <w:p w14:paraId="4BA05D63" w14:textId="77777777" w:rsidR="004A2200" w:rsidRPr="009712C3" w:rsidRDefault="004A2200" w:rsidP="004A2200">
      <w:pPr>
        <w:pStyle w:val="BodyText"/>
      </w:pPr>
      <w:r w:rsidRPr="009712C3">
        <w:t xml:space="preserve">The Common Transactive Services semantically support the services in any transactive system also support semantic and syntactic interoperability between systems—by going from the first system to the common services to the second system.  So at the boundaries—system or grid or microgrid—we can connect diverse transactive systems using the CTS. For example, a PowerMatcher node can interoperate with an IEC Markets system or a TransactiveADR or TEMIX system. </w:t>
      </w:r>
    </w:p>
    <w:p w14:paraId="622B835E" w14:textId="77777777" w:rsidR="004A2200" w:rsidRPr="00157EBB" w:rsidRDefault="004A2200" w:rsidP="00157EBB">
      <w:pPr>
        <w:pStyle w:val="Heading1"/>
      </w:pPr>
      <w:r w:rsidRPr="00157EBB">
        <w:t>Transactive Energy Background</w:t>
      </w:r>
    </w:p>
    <w:p w14:paraId="3A5B9646" w14:textId="77777777" w:rsidR="004A2200" w:rsidRPr="009712C3" w:rsidRDefault="004A2200" w:rsidP="00A1045E">
      <w:pPr>
        <w:pStyle w:val="Heading2"/>
        <w:numPr>
          <w:ilvl w:val="1"/>
          <w:numId w:val="3"/>
        </w:numPr>
        <w:tabs>
          <w:tab w:val="clear" w:pos="792"/>
        </w:tabs>
        <w:spacing w:before="240" w:after="0"/>
        <w:ind w:left="490" w:hanging="490"/>
      </w:pPr>
      <w:r w:rsidRPr="009712C3">
        <w:t>Transactive Energy General Considerations</w:t>
      </w:r>
    </w:p>
    <w:p w14:paraId="66A0CF33" w14:textId="77777777" w:rsidR="004A2200" w:rsidRPr="009712C3" w:rsidRDefault="004A2200" w:rsidP="004A2200">
      <w:pPr>
        <w:pStyle w:val="BodyText"/>
      </w:pPr>
      <w:r w:rsidRPr="009712C3">
        <w:t xml:space="preserve">The GridWise Architecture Council Transactive Energy Framework defines Transactive Energy as </w:t>
      </w:r>
    </w:p>
    <w:p w14:paraId="4239B437" w14:textId="77777777" w:rsidR="004A2200" w:rsidRPr="009712C3" w:rsidRDefault="004A2200" w:rsidP="004A2200">
      <w:pPr>
        <w:pStyle w:val="BodyText"/>
      </w:pPr>
      <w:r w:rsidRPr="009712C3">
        <w:t xml:space="preserve">A system of economic and control mechanisms that allows the dynamic balance of supply and demand across the entire electrical infrastructure using value as a key operational parameter. </w:t>
      </w:r>
      <w:sdt>
        <w:sdtPr>
          <w:id w:val="1949970254"/>
          <w:citation/>
        </w:sdtPr>
        <w:sdtContent>
          <w:r w:rsidRPr="009712C3">
            <w:fldChar w:fldCharType="begin"/>
          </w:r>
          <w:r w:rsidRPr="009712C3">
            <w:instrText xml:space="preserve"> CITATION Gri15 \l 1033 </w:instrText>
          </w:r>
          <w:r w:rsidRPr="009712C3">
            <w:fldChar w:fldCharType="separate"/>
          </w:r>
          <w:r w:rsidR="006D47C2">
            <w:rPr>
              <w:noProof/>
            </w:rPr>
            <w:t>[</w:t>
          </w:r>
          <w:hyperlink w:anchor="Gri15" w:history="1">
            <w:r w:rsidR="006D47C2">
              <w:rPr>
                <w:rStyle w:val="Authors"/>
                <w:noProof/>
              </w:rPr>
              <w:t>10</w:t>
            </w:r>
          </w:hyperlink>
          <w:r w:rsidR="006D47C2">
            <w:rPr>
              <w:noProof/>
            </w:rPr>
            <w:t>]</w:t>
          </w:r>
          <w:r w:rsidRPr="009712C3">
            <w:fldChar w:fldCharType="end"/>
          </w:r>
        </w:sdtContent>
      </w:sdt>
    </w:p>
    <w:p w14:paraId="3AC36FE8" w14:textId="77777777" w:rsidR="004A2200" w:rsidRPr="009712C3" w:rsidRDefault="004A2200" w:rsidP="004A2200">
      <w:pPr>
        <w:pStyle w:val="BodyText"/>
      </w:pPr>
      <w:r w:rsidRPr="009712C3">
        <w:t>The Transactive Energy Association describes Transactive Energy as follows:</w:t>
      </w:r>
    </w:p>
    <w:p w14:paraId="76A8ED85" w14:textId="77777777" w:rsidR="004A2200" w:rsidRPr="009712C3" w:rsidRDefault="004A2200" w:rsidP="004A2200">
      <w:pPr>
        <w:pStyle w:val="BodyText"/>
      </w:pPr>
      <w:r w:rsidRPr="009712C3">
        <w:t xml:space="preserve">Transactive Energy engages customers and suppliers as participants in decentralized markets for energy transactions that strive towards the three goals of economic efficiency, reliability, and environmental enhancement </w:t>
      </w:r>
      <w:sdt>
        <w:sdtPr>
          <w:id w:val="-1709171589"/>
          <w:citation/>
        </w:sdtPr>
        <w:sdtContent>
          <w:r w:rsidRPr="009712C3">
            <w:fldChar w:fldCharType="begin"/>
          </w:r>
          <w:r w:rsidRPr="009712C3">
            <w:instrText xml:space="preserve"> CITATION Tra16 \l 1033 </w:instrText>
          </w:r>
          <w:r w:rsidRPr="009712C3">
            <w:fldChar w:fldCharType="separate"/>
          </w:r>
          <w:r w:rsidR="006D47C2">
            <w:rPr>
              <w:noProof/>
            </w:rPr>
            <w:t>[</w:t>
          </w:r>
          <w:hyperlink w:anchor="Tra16" w:history="1">
            <w:r w:rsidR="006D47C2">
              <w:rPr>
                <w:rStyle w:val="Authors"/>
                <w:noProof/>
              </w:rPr>
              <w:t>11</w:t>
            </w:r>
          </w:hyperlink>
          <w:r w:rsidR="006D47C2">
            <w:rPr>
              <w:noProof/>
            </w:rPr>
            <w:t>]</w:t>
          </w:r>
          <w:r w:rsidRPr="009712C3">
            <w:fldChar w:fldCharType="end"/>
          </w:r>
        </w:sdtContent>
      </w:sdt>
    </w:p>
    <w:p w14:paraId="49AD0A24" w14:textId="77777777" w:rsidR="004A2200" w:rsidRPr="009712C3" w:rsidRDefault="004A2200" w:rsidP="004A2200">
      <w:pPr>
        <w:pStyle w:val="BodyText"/>
      </w:pPr>
      <w:r w:rsidRPr="009712C3">
        <w:t xml:space="preserve">The transactive systems studied fit within these definitions and descriptions. </w:t>
      </w:r>
    </w:p>
    <w:p w14:paraId="0E6AE69D" w14:textId="77777777" w:rsidR="004A2200" w:rsidRPr="009712C3" w:rsidRDefault="004A2200" w:rsidP="004A2200">
      <w:pPr>
        <w:pStyle w:val="BodyText"/>
      </w:pPr>
      <w:r w:rsidRPr="009712C3">
        <w:t>We note the following common elements, interconnection features, and functions of TE systems:</w:t>
      </w:r>
    </w:p>
    <w:p w14:paraId="361DDF37" w14:textId="77777777" w:rsidR="004A2200" w:rsidRPr="009712C3" w:rsidRDefault="004A2200" w:rsidP="00A1045E">
      <w:pPr>
        <w:pStyle w:val="BodyText"/>
        <w:numPr>
          <w:ilvl w:val="0"/>
          <w:numId w:val="5"/>
        </w:numPr>
      </w:pPr>
      <w:r w:rsidRPr="009712C3">
        <w:t>TE systems use transactions to help manage grid reliability and improve system efficiency</w:t>
      </w:r>
    </w:p>
    <w:p w14:paraId="33091414" w14:textId="77777777" w:rsidR="004A2200" w:rsidRPr="009712C3" w:rsidRDefault="004A2200" w:rsidP="00A1045E">
      <w:pPr>
        <w:pStyle w:val="BodyText"/>
        <w:numPr>
          <w:ilvl w:val="0"/>
          <w:numId w:val="5"/>
        </w:numPr>
      </w:pPr>
      <w:r w:rsidRPr="009712C3">
        <w:t>TE systems primarily use transactions that are economic and energy-related to coordinate customer resource operations and investment; and grid resource operations and investments</w:t>
      </w:r>
    </w:p>
    <w:p w14:paraId="7E540799" w14:textId="77777777" w:rsidR="004A2200" w:rsidRPr="009712C3" w:rsidRDefault="004A2200" w:rsidP="00A1045E">
      <w:pPr>
        <w:pStyle w:val="BodyText"/>
        <w:numPr>
          <w:ilvl w:val="0"/>
          <w:numId w:val="5"/>
        </w:numPr>
      </w:pPr>
      <w:r w:rsidRPr="009712C3">
        <w:t xml:space="preserve">TE systems engage multiple parties (system operators, generators, markets, customers, aggregators, etc.) </w:t>
      </w:r>
    </w:p>
    <w:p w14:paraId="78B46B98" w14:textId="77777777" w:rsidR="004A2200" w:rsidRPr="009712C3" w:rsidRDefault="004A2200" w:rsidP="004A2200">
      <w:pPr>
        <w:pStyle w:val="BodyText"/>
      </w:pPr>
      <w:r w:rsidRPr="009712C3">
        <w:lastRenderedPageBreak/>
        <w:t>The authors recognize that the CTS are universal in only a limited way, and do not cover the entire TE process, providing pre-transaction (Quote), transaction (Tender and Transaction), and post-transaction (Delivery) services, but do not cover all information exchanges, nor address communications. Nonetheless, the CTS provide a minimal set of common transactional services semantically consistent with and capable of mapping to and from other transactive systems.</w:t>
      </w:r>
    </w:p>
    <w:p w14:paraId="3C909F87" w14:textId="77777777" w:rsidR="004A2200" w:rsidRPr="009712C3" w:rsidRDefault="004A2200" w:rsidP="004A2200">
      <w:pPr>
        <w:pStyle w:val="BodyText"/>
      </w:pPr>
      <w:r w:rsidRPr="009712C3">
        <w:t xml:space="preserve">To summarize, Transactive Energy enables the use of economic constructs for grid and energy management. We indicate how the CTS work with a variety of TE systems. </w:t>
      </w:r>
    </w:p>
    <w:p w14:paraId="1344DAE2" w14:textId="77777777" w:rsidR="004A2200" w:rsidRPr="009712C3" w:rsidRDefault="004A2200" w:rsidP="00A1045E">
      <w:pPr>
        <w:pStyle w:val="Heading2"/>
        <w:numPr>
          <w:ilvl w:val="1"/>
          <w:numId w:val="3"/>
        </w:numPr>
        <w:tabs>
          <w:tab w:val="clear" w:pos="792"/>
        </w:tabs>
        <w:spacing w:before="240" w:after="0"/>
        <w:ind w:left="490" w:hanging="490"/>
      </w:pPr>
      <w:r w:rsidRPr="009712C3">
        <w:t>A Market Interoperation Perspective</w:t>
      </w:r>
    </w:p>
    <w:p w14:paraId="538DC599" w14:textId="77777777" w:rsidR="004A2200" w:rsidRPr="009712C3" w:rsidRDefault="004A2200" w:rsidP="004A2200">
      <w:pPr>
        <w:pStyle w:val="BodyText"/>
      </w:pPr>
      <w:r w:rsidRPr="009712C3">
        <w:t xml:space="preserve">There are significant similarities and significant differences across Transactive Energy Systems.  The North American wholesale markets are transactive in nature, as are systems proposed for more local use such as forward delivery contracts, transactive balancing of microgrids, and more. In fact, markets and algorithmic resolution of competing tenders take many forms. </w:t>
      </w:r>
    </w:p>
    <w:p w14:paraId="00E272F3" w14:textId="77777777" w:rsidR="004A2200" w:rsidRPr="009712C3" w:rsidRDefault="004A2200" w:rsidP="004A2200">
      <w:pPr>
        <w:pStyle w:val="BodyText"/>
      </w:pPr>
      <w:r w:rsidRPr="009712C3">
        <w:t>Using the Common Transactive Services allows transactive participants to interact with any market that supports the broadest interpretation of Tender, Transaction, and Delivery. This enables the use of TE in hardware/firmware devices such as appliances using the Common Transactive Services</w:t>
      </w:r>
      <w:r w:rsidRPr="009712C3">
        <w:rPr>
          <w:vertAlign w:val="superscript"/>
        </w:rPr>
        <w:footnoteReference w:id="5"/>
      </w:r>
      <w:r w:rsidRPr="009712C3">
        <w:t xml:space="preserve"> and also enables</w:t>
      </w:r>
    </w:p>
    <w:p w14:paraId="0A608B21" w14:textId="77777777" w:rsidR="004A2200" w:rsidRPr="009712C3" w:rsidRDefault="004A2200" w:rsidP="00A1045E">
      <w:pPr>
        <w:pStyle w:val="BodyText"/>
        <w:numPr>
          <w:ilvl w:val="0"/>
          <w:numId w:val="4"/>
        </w:numPr>
      </w:pPr>
      <w:r w:rsidRPr="009712C3">
        <w:t>Use of Common Transactive Services for more broadly applicable simulations of transactive systems</w:t>
      </w:r>
    </w:p>
    <w:p w14:paraId="34C622F8" w14:textId="77777777" w:rsidR="004A2200" w:rsidRPr="009712C3" w:rsidRDefault="004A2200" w:rsidP="00A1045E">
      <w:pPr>
        <w:pStyle w:val="BodyText"/>
        <w:numPr>
          <w:ilvl w:val="0"/>
          <w:numId w:val="4"/>
        </w:numPr>
      </w:pPr>
      <w:r w:rsidRPr="009712C3">
        <w:t>Common understanding, terminology, and training for software architects and engineers</w:t>
      </w:r>
    </w:p>
    <w:p w14:paraId="303848FE" w14:textId="77777777" w:rsidR="004A2200" w:rsidRPr="00157EBB" w:rsidRDefault="004A2200" w:rsidP="00157EBB">
      <w:pPr>
        <w:pStyle w:val="Heading1"/>
      </w:pPr>
      <w:bookmarkStart w:id="3" w:name="_Ref315355838"/>
      <w:r w:rsidRPr="00157EBB">
        <w:t>Transactive Systems</w:t>
      </w:r>
      <w:bookmarkEnd w:id="3"/>
    </w:p>
    <w:p w14:paraId="7A54FFA4" w14:textId="77777777" w:rsidR="004A2200" w:rsidRPr="009712C3" w:rsidRDefault="004A2200" w:rsidP="004A2200">
      <w:pPr>
        <w:pStyle w:val="BodyText"/>
      </w:pPr>
      <w:r w:rsidRPr="009712C3">
        <w:t>More information and detailed references are in the CTS Team Report.</w:t>
      </w:r>
      <w:sdt>
        <w:sdtPr>
          <w:id w:val="-1793280405"/>
          <w:citation/>
        </w:sdtPr>
        <w:sdtContent>
          <w:r w:rsidRPr="009712C3">
            <w:fldChar w:fldCharType="begin"/>
          </w:r>
          <w:r w:rsidRPr="009712C3">
            <w:instrText xml:space="preserve">CITATION NIS161 \l 1033 </w:instrText>
          </w:r>
          <w:r w:rsidRPr="009712C3">
            <w:fldChar w:fldCharType="separate"/>
          </w:r>
          <w:r w:rsidR="006D47C2">
            <w:rPr>
              <w:noProof/>
            </w:rPr>
            <w:t xml:space="preserve"> [</w:t>
          </w:r>
          <w:hyperlink w:anchor="NIS161" w:history="1">
            <w:r w:rsidR="006D47C2">
              <w:rPr>
                <w:rStyle w:val="Authors"/>
                <w:noProof/>
              </w:rPr>
              <w:t>12</w:t>
            </w:r>
          </w:hyperlink>
          <w:r w:rsidR="006D47C2">
            <w:rPr>
              <w:noProof/>
            </w:rPr>
            <w:t>]</w:t>
          </w:r>
          <w:r w:rsidRPr="009712C3">
            <w:fldChar w:fldCharType="end"/>
          </w:r>
        </w:sdtContent>
      </w:sdt>
      <w:r w:rsidRPr="009712C3">
        <w:t xml:space="preserve"> The Team was fortunate to have members that were experts in, architects of, and/or implementers of the transactive systems examined.</w:t>
      </w:r>
    </w:p>
    <w:p w14:paraId="29E02416" w14:textId="77777777" w:rsidR="004A2200" w:rsidRPr="009712C3" w:rsidRDefault="004A2200" w:rsidP="00A1045E">
      <w:pPr>
        <w:pStyle w:val="Heading2"/>
        <w:numPr>
          <w:ilvl w:val="1"/>
          <w:numId w:val="3"/>
        </w:numPr>
        <w:tabs>
          <w:tab w:val="clear" w:pos="792"/>
        </w:tabs>
        <w:spacing w:before="240" w:after="0"/>
        <w:ind w:left="490" w:hanging="490"/>
      </w:pPr>
      <w:r w:rsidRPr="009712C3">
        <w:t>Overview</w:t>
      </w:r>
    </w:p>
    <w:p w14:paraId="16D538A3" w14:textId="77777777" w:rsidR="004A2200" w:rsidRPr="009712C3" w:rsidRDefault="004A2200" w:rsidP="004A2200">
      <w:pPr>
        <w:pStyle w:val="BodyText"/>
      </w:pPr>
      <w:r w:rsidRPr="009712C3">
        <w:t>The transactive systems examined were:</w:t>
      </w:r>
    </w:p>
    <w:p w14:paraId="0CEA7420" w14:textId="77777777" w:rsidR="004A2200" w:rsidRPr="009712C3" w:rsidRDefault="004A2200" w:rsidP="00A1045E">
      <w:pPr>
        <w:pStyle w:val="BodyText"/>
        <w:numPr>
          <w:ilvl w:val="0"/>
          <w:numId w:val="10"/>
        </w:numPr>
      </w:pPr>
      <w:r w:rsidRPr="009712C3">
        <w:t>OASIS Energy Interoperation— designed as a bridge between diverse systems; profiles include TEMIX and OpenADR2.</w:t>
      </w:r>
      <w:sdt>
        <w:sdtPr>
          <w:id w:val="-482166868"/>
          <w:citation/>
        </w:sdtPr>
        <w:sdtContent>
          <w:r w:rsidRPr="009712C3">
            <w:fldChar w:fldCharType="begin"/>
          </w:r>
          <w:r w:rsidRPr="009712C3">
            <w:instrText xml:space="preserve"> CITATION Org12 \l 1033 </w:instrText>
          </w:r>
          <w:r w:rsidRPr="009712C3">
            <w:fldChar w:fldCharType="separate"/>
          </w:r>
          <w:r w:rsidR="006D47C2">
            <w:rPr>
              <w:noProof/>
            </w:rPr>
            <w:t xml:space="preserve"> [</w:t>
          </w:r>
          <w:hyperlink w:anchor="Org12" w:history="1">
            <w:r w:rsidR="006D47C2">
              <w:rPr>
                <w:rStyle w:val="Authors"/>
                <w:noProof/>
              </w:rPr>
              <w:t>5</w:t>
            </w:r>
          </w:hyperlink>
          <w:r w:rsidR="006D47C2">
            <w:rPr>
              <w:noProof/>
            </w:rPr>
            <w:t>]</w:t>
          </w:r>
          <w:r w:rsidRPr="009712C3">
            <w:fldChar w:fldCharType="end"/>
          </w:r>
        </w:sdtContent>
      </w:sdt>
      <w:r w:rsidRPr="009712C3">
        <w:t xml:space="preserve"> The basis for the Common Transactive Services</w:t>
      </w:r>
    </w:p>
    <w:p w14:paraId="197597DD" w14:textId="77777777" w:rsidR="004A2200" w:rsidRPr="009712C3" w:rsidRDefault="004A2200" w:rsidP="00A1045E">
      <w:pPr>
        <w:pStyle w:val="BodyText"/>
        <w:numPr>
          <w:ilvl w:val="0"/>
          <w:numId w:val="10"/>
        </w:numPr>
      </w:pPr>
      <w:r w:rsidRPr="009712C3">
        <w:t xml:space="preserve">Pacific Northwest Demonstration Project—a Department of Energy Project using incentive signals for balancing power across a region </w:t>
      </w:r>
      <w:sdt>
        <w:sdtPr>
          <w:id w:val="-1320267611"/>
          <w:citation/>
        </w:sdtPr>
        <w:sdtContent>
          <w:r w:rsidRPr="009712C3">
            <w:fldChar w:fldCharType="begin"/>
          </w:r>
          <w:r w:rsidRPr="009712C3">
            <w:instrText xml:space="preserve">CITATION Bat15 \l 1033 </w:instrText>
          </w:r>
          <w:r w:rsidRPr="009712C3">
            <w:fldChar w:fldCharType="separate"/>
          </w:r>
          <w:r w:rsidR="006D47C2">
            <w:rPr>
              <w:noProof/>
            </w:rPr>
            <w:t>[</w:t>
          </w:r>
          <w:hyperlink w:anchor="Bat15" w:history="1">
            <w:r w:rsidR="006D47C2">
              <w:rPr>
                <w:rStyle w:val="Authors"/>
                <w:noProof/>
              </w:rPr>
              <w:t>13</w:t>
            </w:r>
          </w:hyperlink>
          <w:r w:rsidR="006D47C2">
            <w:rPr>
              <w:noProof/>
            </w:rPr>
            <w:t>]</w:t>
          </w:r>
          <w:r w:rsidRPr="009712C3">
            <w:fldChar w:fldCharType="end"/>
          </w:r>
        </w:sdtContent>
      </w:sdt>
    </w:p>
    <w:p w14:paraId="4F4FC184" w14:textId="77777777" w:rsidR="004A2200" w:rsidRPr="009712C3" w:rsidRDefault="004A2200" w:rsidP="00A1045E">
      <w:pPr>
        <w:pStyle w:val="BodyText"/>
        <w:numPr>
          <w:ilvl w:val="0"/>
          <w:numId w:val="10"/>
        </w:numPr>
      </w:pPr>
      <w:r w:rsidRPr="009712C3">
        <w:t xml:space="preserve">PowerMatcher—used in power balancing among devices and subsystems </w:t>
      </w:r>
      <w:sdt>
        <w:sdtPr>
          <w:id w:val="-239030908"/>
          <w:citation/>
        </w:sdtPr>
        <w:sdtContent>
          <w:r w:rsidRPr="009712C3">
            <w:fldChar w:fldCharType="begin"/>
          </w:r>
          <w:r w:rsidRPr="009712C3">
            <w:instrText xml:space="preserve"> CITATION Pow16 \l 1033 </w:instrText>
          </w:r>
          <w:r w:rsidRPr="009712C3">
            <w:fldChar w:fldCharType="separate"/>
          </w:r>
          <w:r w:rsidR="006D47C2">
            <w:rPr>
              <w:noProof/>
            </w:rPr>
            <w:t>[</w:t>
          </w:r>
          <w:hyperlink w:anchor="Pow16" w:history="1">
            <w:r w:rsidR="006D47C2">
              <w:rPr>
                <w:rStyle w:val="Authors"/>
                <w:noProof/>
              </w:rPr>
              <w:t>14</w:t>
            </w:r>
          </w:hyperlink>
          <w:r w:rsidR="006D47C2">
            <w:rPr>
              <w:noProof/>
            </w:rPr>
            <w:t>]</w:t>
          </w:r>
          <w:r w:rsidRPr="009712C3">
            <w:fldChar w:fldCharType="end"/>
          </w:r>
        </w:sdtContent>
      </w:sdt>
      <w:r w:rsidRPr="009712C3">
        <w:t xml:space="preserve"> </w:t>
      </w:r>
    </w:p>
    <w:p w14:paraId="41BFC2B0" w14:textId="77777777" w:rsidR="004A2200" w:rsidRPr="009712C3" w:rsidRDefault="004A2200" w:rsidP="00A1045E">
      <w:pPr>
        <w:pStyle w:val="BodyText"/>
        <w:numPr>
          <w:ilvl w:val="0"/>
          <w:numId w:val="10"/>
        </w:numPr>
      </w:pPr>
      <w:r w:rsidRPr="009712C3">
        <w:t xml:space="preserve">IEC 62325 Family [IEC Markets]—as used in national and regional markets </w:t>
      </w:r>
      <w:sdt>
        <w:sdtPr>
          <w:id w:val="-707031234"/>
          <w:citation/>
        </w:sdtPr>
        <w:sdtContent>
          <w:r w:rsidRPr="009712C3">
            <w:fldChar w:fldCharType="begin"/>
          </w:r>
          <w:r w:rsidRPr="009712C3">
            <w:instrText xml:space="preserve">CITATION Int16 \l 1033 </w:instrText>
          </w:r>
          <w:r w:rsidRPr="009712C3">
            <w:fldChar w:fldCharType="separate"/>
          </w:r>
          <w:r w:rsidR="006D47C2">
            <w:rPr>
              <w:noProof/>
            </w:rPr>
            <w:t>[</w:t>
          </w:r>
          <w:hyperlink w:anchor="Int16" w:history="1">
            <w:r w:rsidR="006D47C2">
              <w:rPr>
                <w:rStyle w:val="Authors"/>
                <w:noProof/>
              </w:rPr>
              <w:t>15</w:t>
            </w:r>
          </w:hyperlink>
          <w:r w:rsidR="006D47C2">
            <w:rPr>
              <w:noProof/>
            </w:rPr>
            <w:t>]</w:t>
          </w:r>
          <w:r w:rsidRPr="009712C3">
            <w:fldChar w:fldCharType="end"/>
          </w:r>
        </w:sdtContent>
      </w:sdt>
      <w:r w:rsidRPr="009712C3">
        <w:t xml:space="preserve"> </w:t>
      </w:r>
    </w:p>
    <w:p w14:paraId="749CBCB1" w14:textId="77777777" w:rsidR="004A2200" w:rsidRPr="009712C3" w:rsidRDefault="004A2200" w:rsidP="00A1045E">
      <w:pPr>
        <w:pStyle w:val="BodyText"/>
        <w:numPr>
          <w:ilvl w:val="0"/>
          <w:numId w:val="10"/>
        </w:numPr>
      </w:pPr>
      <w:r w:rsidRPr="009712C3">
        <w:lastRenderedPageBreak/>
        <w:t xml:space="preserve">TEMIX or Transactive EMIX—a profile of OASIS Energy Interoperation and OASIS Energy Market Information Exchange (EMIX) </w:t>
      </w:r>
      <w:sdt>
        <w:sdtPr>
          <w:id w:val="987361360"/>
          <w:citation/>
        </w:sdtPr>
        <w:sdtContent>
          <w:r w:rsidRPr="009712C3">
            <w:fldChar w:fldCharType="begin"/>
          </w:r>
          <w:r w:rsidRPr="009712C3">
            <w:instrText xml:space="preserve">CITATION OAS12 \l 1033 </w:instrText>
          </w:r>
          <w:r w:rsidRPr="009712C3">
            <w:fldChar w:fldCharType="separate"/>
          </w:r>
          <w:r w:rsidR="006D47C2">
            <w:rPr>
              <w:noProof/>
            </w:rPr>
            <w:t>[</w:t>
          </w:r>
          <w:hyperlink w:anchor="OAS12" w:history="1">
            <w:r w:rsidR="006D47C2">
              <w:rPr>
                <w:rStyle w:val="Authors"/>
                <w:noProof/>
              </w:rPr>
              <w:t>16</w:t>
            </w:r>
          </w:hyperlink>
          <w:r w:rsidR="006D47C2">
            <w:rPr>
              <w:noProof/>
            </w:rPr>
            <w:t>]</w:t>
          </w:r>
          <w:r w:rsidRPr="009712C3">
            <w:fldChar w:fldCharType="end"/>
          </w:r>
        </w:sdtContent>
      </w:sdt>
      <w:r w:rsidRPr="009712C3">
        <w:t>.</w:t>
      </w:r>
    </w:p>
    <w:p w14:paraId="3BFFBB93" w14:textId="77777777" w:rsidR="004A2200" w:rsidRPr="009712C3" w:rsidRDefault="004A2200" w:rsidP="004A2200">
      <w:pPr>
        <w:pStyle w:val="BodyText"/>
      </w:pPr>
      <w:r w:rsidRPr="009712C3">
        <w:t>In the full report we apply the CTS to bridging to and from two additional systems in development:</w:t>
      </w:r>
    </w:p>
    <w:p w14:paraId="5CCBD82F" w14:textId="77777777" w:rsidR="004A2200" w:rsidRPr="009712C3" w:rsidRDefault="004A2200" w:rsidP="00A1045E">
      <w:pPr>
        <w:pStyle w:val="BodyText"/>
        <w:numPr>
          <w:ilvl w:val="0"/>
          <w:numId w:val="6"/>
        </w:numPr>
      </w:pPr>
      <w:r w:rsidRPr="009712C3">
        <w:t xml:space="preserve">Transactive ADR—a project underway in the NIST TEC to extend OpenADR2 with transactive services and supported by participants including the OpenADR Alliance </w:t>
      </w:r>
      <w:sdt>
        <w:sdtPr>
          <w:id w:val="-1469574389"/>
          <w:citation/>
        </w:sdtPr>
        <w:sdtContent>
          <w:r w:rsidRPr="009712C3">
            <w:fldChar w:fldCharType="begin"/>
          </w:r>
          <w:r w:rsidRPr="009712C3">
            <w:instrText xml:space="preserve"> CITATION NIS16 \l 1033 </w:instrText>
          </w:r>
          <w:r w:rsidRPr="009712C3">
            <w:fldChar w:fldCharType="separate"/>
          </w:r>
          <w:r w:rsidR="006D47C2">
            <w:rPr>
              <w:noProof/>
            </w:rPr>
            <w:t>[</w:t>
          </w:r>
          <w:hyperlink w:anchor="NIS16" w:history="1">
            <w:r w:rsidR="006D47C2">
              <w:rPr>
                <w:rStyle w:val="Authors"/>
                <w:noProof/>
              </w:rPr>
              <w:t>17</w:t>
            </w:r>
          </w:hyperlink>
          <w:r w:rsidR="006D47C2">
            <w:rPr>
              <w:noProof/>
            </w:rPr>
            <w:t>]</w:t>
          </w:r>
          <w:r w:rsidRPr="009712C3">
            <w:fldChar w:fldCharType="end"/>
          </w:r>
        </w:sdtContent>
      </w:sdt>
    </w:p>
    <w:p w14:paraId="13315E7D" w14:textId="77777777" w:rsidR="004A2200" w:rsidRPr="009712C3" w:rsidRDefault="004A2200" w:rsidP="00A1045E">
      <w:pPr>
        <w:pStyle w:val="BodyText"/>
        <w:numPr>
          <w:ilvl w:val="0"/>
          <w:numId w:val="6"/>
        </w:numPr>
      </w:pPr>
      <w:r w:rsidRPr="009712C3">
        <w:t xml:space="preserve">The MIT Transactive Control System—a system under development to address transactive algorithms </w:t>
      </w:r>
      <w:sdt>
        <w:sdtPr>
          <w:id w:val="1669989887"/>
          <w:citation/>
        </w:sdtPr>
        <w:sdtContent>
          <w:r w:rsidRPr="009712C3">
            <w:fldChar w:fldCharType="begin"/>
          </w:r>
          <w:r w:rsidRPr="009712C3">
            <w:instrText xml:space="preserve"> CITATION Bej14 \l 1033 </w:instrText>
          </w:r>
          <w:r w:rsidRPr="009712C3">
            <w:fldChar w:fldCharType="separate"/>
          </w:r>
          <w:r w:rsidR="006D47C2">
            <w:rPr>
              <w:noProof/>
            </w:rPr>
            <w:t>[</w:t>
          </w:r>
          <w:hyperlink w:anchor="Bej14" w:history="1">
            <w:r w:rsidR="006D47C2">
              <w:rPr>
                <w:rStyle w:val="Authors"/>
                <w:noProof/>
              </w:rPr>
              <w:t>18</w:t>
            </w:r>
          </w:hyperlink>
          <w:r w:rsidR="006D47C2">
            <w:rPr>
              <w:noProof/>
            </w:rPr>
            <w:t>]</w:t>
          </w:r>
          <w:r w:rsidRPr="009712C3">
            <w:fldChar w:fldCharType="end"/>
          </w:r>
        </w:sdtContent>
      </w:sdt>
    </w:p>
    <w:p w14:paraId="6802ABF6" w14:textId="77777777" w:rsidR="004A2200" w:rsidRPr="009712C3" w:rsidRDefault="004A2200" w:rsidP="00A1045E">
      <w:pPr>
        <w:pStyle w:val="Heading2"/>
        <w:numPr>
          <w:ilvl w:val="1"/>
          <w:numId w:val="3"/>
        </w:numPr>
        <w:tabs>
          <w:tab w:val="clear" w:pos="792"/>
        </w:tabs>
        <w:spacing w:before="240" w:after="0"/>
        <w:ind w:left="490" w:hanging="490"/>
      </w:pPr>
      <w:bookmarkStart w:id="4" w:name="_Ref317957661"/>
      <w:r w:rsidRPr="009712C3">
        <w:t>Products in Transactive Systems</w:t>
      </w:r>
      <w:bookmarkEnd w:id="4"/>
    </w:p>
    <w:p w14:paraId="498BF24E" w14:textId="77777777" w:rsidR="004A2200" w:rsidRPr="009712C3" w:rsidRDefault="004A2200" w:rsidP="004A2200">
      <w:pPr>
        <w:pStyle w:val="BodyText"/>
      </w:pPr>
      <w:r w:rsidRPr="009712C3">
        <w:t xml:space="preserve">The Transactive Systems differ in the range of products supported; while there are similarities and overlaps, the common transactive services themselves can be adapted to each system </w:t>
      </w:r>
    </w:p>
    <w:p w14:paraId="18DB706E" w14:textId="77777777" w:rsidR="004A2200" w:rsidRPr="009712C3" w:rsidRDefault="004A2200" w:rsidP="004A2200">
      <w:pPr>
        <w:pStyle w:val="BodyText"/>
      </w:pPr>
      <w:r w:rsidRPr="009712C3">
        <w:t>Power and Energy are two sides of the same coin: energy is the time integral of power over a time interval, and power is the rate of delivery of energy. The Common Transactive Services product definition classes support both, and applications may focus on energy and/or power depending on whether the subject of transactive balancing is demand, energy, or both.</w:t>
      </w:r>
    </w:p>
    <w:p w14:paraId="3574FA7D" w14:textId="77777777" w:rsidR="004A2200" w:rsidRPr="009712C3" w:rsidRDefault="004A2200" w:rsidP="004A2200">
      <w:pPr>
        <w:pStyle w:val="BodyText"/>
      </w:pPr>
      <w:r w:rsidRPr="009712C3">
        <w:t xml:space="preserve">Energy Interoperation and the CTS products include Energy, Power (Demand), and Ancillary Services. The abstract framework has been extended to thermal energy and other non-energy resources. </w:t>
      </w:r>
    </w:p>
    <w:p w14:paraId="63BA4EAC" w14:textId="77777777" w:rsidR="004A2200" w:rsidRPr="009712C3" w:rsidRDefault="004A2200" w:rsidP="004A2200">
      <w:pPr>
        <w:pStyle w:val="BodyText"/>
        <w:rPr>
          <w:b/>
          <w:bCs/>
        </w:rPr>
      </w:pPr>
      <w:r w:rsidRPr="009712C3">
        <w:rPr>
          <w:b/>
          <w:bCs/>
        </w:rPr>
        <w:t xml:space="preserve">Table </w:t>
      </w:r>
      <w:r>
        <w:rPr>
          <w:b/>
          <w:bCs/>
        </w:rPr>
        <w:t xml:space="preserve">2 -- </w:t>
      </w:r>
      <w:r w:rsidRPr="009712C3">
        <w:rPr>
          <w:b/>
          <w:bCs/>
        </w:rPr>
        <w:t>Products in Transactive Systems</w:t>
      </w:r>
    </w:p>
    <w:tbl>
      <w:tblPr>
        <w:tblStyle w:val="TableGrid"/>
        <w:tblW w:w="0" w:type="auto"/>
        <w:jc w:val="center"/>
        <w:tblLook w:val="04A0" w:firstRow="1" w:lastRow="0" w:firstColumn="1" w:lastColumn="0" w:noHBand="0" w:noVBand="1"/>
      </w:tblPr>
      <w:tblGrid>
        <w:gridCol w:w="1117"/>
        <w:gridCol w:w="739"/>
        <w:gridCol w:w="783"/>
        <w:gridCol w:w="989"/>
        <w:gridCol w:w="908"/>
        <w:gridCol w:w="720"/>
      </w:tblGrid>
      <w:tr w:rsidR="004A2200" w:rsidRPr="009712C3" w14:paraId="48A2AE3F" w14:textId="77777777" w:rsidTr="009A2F89">
        <w:trPr>
          <w:cantSplit/>
          <w:jc w:val="center"/>
        </w:trPr>
        <w:tc>
          <w:tcPr>
            <w:tcW w:w="1635" w:type="dxa"/>
            <w:vAlign w:val="bottom"/>
          </w:tcPr>
          <w:p w14:paraId="7D68FE56" w14:textId="77777777" w:rsidR="004A2200" w:rsidRPr="009712C3" w:rsidRDefault="004A2200" w:rsidP="009A2F89">
            <w:pPr>
              <w:pStyle w:val="BodyText"/>
              <w:rPr>
                <w:i/>
              </w:rPr>
            </w:pPr>
            <w:r w:rsidRPr="009712C3">
              <w:rPr>
                <w:i/>
              </w:rPr>
              <w:t>Products</w:t>
            </w:r>
          </w:p>
        </w:tc>
        <w:tc>
          <w:tcPr>
            <w:tcW w:w="1296" w:type="dxa"/>
            <w:vAlign w:val="center"/>
          </w:tcPr>
          <w:p w14:paraId="3FF231FD" w14:textId="77777777" w:rsidR="004A2200" w:rsidRPr="009712C3" w:rsidRDefault="004A2200" w:rsidP="009A2F89">
            <w:pPr>
              <w:pStyle w:val="BodyText"/>
              <w:rPr>
                <w:b/>
                <w:i/>
              </w:rPr>
            </w:pPr>
            <w:r w:rsidRPr="009712C3">
              <w:rPr>
                <w:b/>
                <w:i/>
              </w:rPr>
              <w:t>CIM</w:t>
            </w:r>
          </w:p>
        </w:tc>
        <w:tc>
          <w:tcPr>
            <w:tcW w:w="1296" w:type="dxa"/>
            <w:vAlign w:val="center"/>
          </w:tcPr>
          <w:p w14:paraId="49747D6B" w14:textId="77777777" w:rsidR="004A2200" w:rsidRPr="009712C3" w:rsidRDefault="004A2200" w:rsidP="009A2F89">
            <w:pPr>
              <w:pStyle w:val="BodyText"/>
              <w:rPr>
                <w:b/>
                <w:i/>
              </w:rPr>
            </w:pPr>
            <w:r w:rsidRPr="009712C3">
              <w:rPr>
                <w:b/>
                <w:i/>
              </w:rPr>
              <w:t>PNW</w:t>
            </w:r>
          </w:p>
        </w:tc>
        <w:tc>
          <w:tcPr>
            <w:tcW w:w="1296" w:type="dxa"/>
            <w:vAlign w:val="center"/>
          </w:tcPr>
          <w:p w14:paraId="14FC48CA" w14:textId="77777777" w:rsidR="004A2200" w:rsidRPr="009712C3" w:rsidRDefault="004A2200" w:rsidP="009A2F89">
            <w:pPr>
              <w:pStyle w:val="BodyText"/>
              <w:rPr>
                <w:b/>
                <w:i/>
              </w:rPr>
            </w:pPr>
            <w:r w:rsidRPr="009712C3">
              <w:rPr>
                <w:b/>
                <w:i/>
              </w:rPr>
              <w:t>Power Matcher</w:t>
            </w:r>
          </w:p>
        </w:tc>
        <w:tc>
          <w:tcPr>
            <w:tcW w:w="1296" w:type="dxa"/>
            <w:vAlign w:val="center"/>
          </w:tcPr>
          <w:p w14:paraId="2D813BD6" w14:textId="77777777" w:rsidR="004A2200" w:rsidRPr="009712C3" w:rsidRDefault="004A2200" w:rsidP="009A2F89">
            <w:pPr>
              <w:pStyle w:val="BodyText"/>
              <w:rPr>
                <w:b/>
                <w:i/>
              </w:rPr>
            </w:pPr>
            <w:r w:rsidRPr="009712C3">
              <w:rPr>
                <w:b/>
                <w:i/>
              </w:rPr>
              <w:t>TeMIX</w:t>
            </w:r>
          </w:p>
        </w:tc>
        <w:tc>
          <w:tcPr>
            <w:tcW w:w="1296" w:type="dxa"/>
            <w:vAlign w:val="center"/>
          </w:tcPr>
          <w:p w14:paraId="51E13B09" w14:textId="77777777" w:rsidR="004A2200" w:rsidRPr="009712C3" w:rsidRDefault="004A2200" w:rsidP="009A2F89">
            <w:pPr>
              <w:pStyle w:val="BodyText"/>
              <w:rPr>
                <w:b/>
                <w:i/>
              </w:rPr>
            </w:pPr>
            <w:r w:rsidRPr="009712C3">
              <w:rPr>
                <w:b/>
                <w:i/>
              </w:rPr>
              <w:t>CTS</w:t>
            </w:r>
          </w:p>
        </w:tc>
      </w:tr>
      <w:tr w:rsidR="004A2200" w:rsidRPr="009712C3" w14:paraId="09398B40" w14:textId="77777777" w:rsidTr="009A2F89">
        <w:trPr>
          <w:cantSplit/>
          <w:jc w:val="center"/>
        </w:trPr>
        <w:tc>
          <w:tcPr>
            <w:tcW w:w="1635" w:type="dxa"/>
            <w:vAlign w:val="center"/>
          </w:tcPr>
          <w:p w14:paraId="240388E5" w14:textId="77777777" w:rsidR="004A2200" w:rsidRPr="009712C3" w:rsidRDefault="004A2200" w:rsidP="009A2F89">
            <w:pPr>
              <w:pStyle w:val="BodyText"/>
            </w:pPr>
            <w:r w:rsidRPr="009712C3">
              <w:t>Power</w:t>
            </w:r>
          </w:p>
        </w:tc>
        <w:tc>
          <w:tcPr>
            <w:tcW w:w="1296" w:type="dxa"/>
            <w:vAlign w:val="center"/>
          </w:tcPr>
          <w:p w14:paraId="36A78326" w14:textId="77777777" w:rsidR="004A2200" w:rsidRPr="009712C3" w:rsidRDefault="004A2200" w:rsidP="009A2F89">
            <w:pPr>
              <w:pStyle w:val="BodyText"/>
            </w:pPr>
            <w:r w:rsidRPr="009712C3">
              <w:t>Yes</w:t>
            </w:r>
          </w:p>
        </w:tc>
        <w:tc>
          <w:tcPr>
            <w:tcW w:w="1296" w:type="dxa"/>
            <w:vAlign w:val="center"/>
          </w:tcPr>
          <w:p w14:paraId="535F06FF" w14:textId="77777777" w:rsidR="004A2200" w:rsidRPr="009712C3" w:rsidRDefault="004A2200" w:rsidP="009A2F89">
            <w:pPr>
              <w:pStyle w:val="BodyText"/>
            </w:pPr>
            <w:r w:rsidRPr="009712C3">
              <w:t>Yes</w:t>
            </w:r>
          </w:p>
        </w:tc>
        <w:tc>
          <w:tcPr>
            <w:tcW w:w="1296" w:type="dxa"/>
            <w:vAlign w:val="center"/>
          </w:tcPr>
          <w:p w14:paraId="7F9C3555" w14:textId="77777777" w:rsidR="004A2200" w:rsidRPr="009712C3" w:rsidRDefault="004A2200" w:rsidP="009A2F89">
            <w:pPr>
              <w:pStyle w:val="BodyText"/>
            </w:pPr>
            <w:r w:rsidRPr="009712C3">
              <w:t>Yes</w:t>
            </w:r>
          </w:p>
        </w:tc>
        <w:tc>
          <w:tcPr>
            <w:tcW w:w="1296" w:type="dxa"/>
            <w:vAlign w:val="center"/>
          </w:tcPr>
          <w:p w14:paraId="26B6EFC6" w14:textId="77777777" w:rsidR="004A2200" w:rsidRPr="009712C3" w:rsidRDefault="004A2200" w:rsidP="009A2F89">
            <w:pPr>
              <w:pStyle w:val="BodyText"/>
            </w:pPr>
          </w:p>
        </w:tc>
        <w:tc>
          <w:tcPr>
            <w:tcW w:w="1296" w:type="dxa"/>
            <w:vAlign w:val="center"/>
          </w:tcPr>
          <w:p w14:paraId="53193600" w14:textId="77777777" w:rsidR="004A2200" w:rsidRPr="009712C3" w:rsidRDefault="004A2200" w:rsidP="009A2F89">
            <w:pPr>
              <w:pStyle w:val="BodyText"/>
            </w:pPr>
            <w:r w:rsidRPr="009712C3">
              <w:t>Yes</w:t>
            </w:r>
          </w:p>
        </w:tc>
      </w:tr>
      <w:tr w:rsidR="004A2200" w:rsidRPr="009712C3" w14:paraId="22FE4E21" w14:textId="77777777" w:rsidTr="009A2F89">
        <w:trPr>
          <w:cantSplit/>
          <w:jc w:val="center"/>
        </w:trPr>
        <w:tc>
          <w:tcPr>
            <w:tcW w:w="1635" w:type="dxa"/>
            <w:vAlign w:val="center"/>
          </w:tcPr>
          <w:p w14:paraId="7F9FC347" w14:textId="77777777" w:rsidR="004A2200" w:rsidRPr="009712C3" w:rsidRDefault="004A2200" w:rsidP="009A2F89">
            <w:pPr>
              <w:pStyle w:val="BodyText"/>
            </w:pPr>
            <w:r w:rsidRPr="009712C3">
              <w:t>Energy</w:t>
            </w:r>
          </w:p>
        </w:tc>
        <w:tc>
          <w:tcPr>
            <w:tcW w:w="1296" w:type="dxa"/>
            <w:vAlign w:val="center"/>
          </w:tcPr>
          <w:p w14:paraId="2F13815E" w14:textId="77777777" w:rsidR="004A2200" w:rsidRPr="009712C3" w:rsidRDefault="004A2200" w:rsidP="009A2F89">
            <w:pPr>
              <w:pStyle w:val="BodyText"/>
            </w:pPr>
            <w:r w:rsidRPr="009712C3">
              <w:t>Yes</w:t>
            </w:r>
          </w:p>
        </w:tc>
        <w:tc>
          <w:tcPr>
            <w:tcW w:w="1296" w:type="dxa"/>
            <w:vAlign w:val="center"/>
          </w:tcPr>
          <w:p w14:paraId="1A56AF52" w14:textId="77777777" w:rsidR="004A2200" w:rsidRPr="009712C3" w:rsidRDefault="004A2200" w:rsidP="009A2F89">
            <w:pPr>
              <w:pStyle w:val="BodyText"/>
            </w:pPr>
          </w:p>
        </w:tc>
        <w:tc>
          <w:tcPr>
            <w:tcW w:w="1296" w:type="dxa"/>
            <w:vAlign w:val="center"/>
          </w:tcPr>
          <w:p w14:paraId="0A908ACC" w14:textId="77777777" w:rsidR="004A2200" w:rsidRPr="009712C3" w:rsidRDefault="004A2200" w:rsidP="009A2F89">
            <w:pPr>
              <w:pStyle w:val="BodyText"/>
            </w:pPr>
          </w:p>
        </w:tc>
        <w:tc>
          <w:tcPr>
            <w:tcW w:w="1296" w:type="dxa"/>
            <w:vAlign w:val="center"/>
          </w:tcPr>
          <w:p w14:paraId="66297BD0" w14:textId="77777777" w:rsidR="004A2200" w:rsidRPr="009712C3" w:rsidRDefault="004A2200" w:rsidP="009A2F89">
            <w:pPr>
              <w:pStyle w:val="BodyText"/>
            </w:pPr>
            <w:r w:rsidRPr="009712C3">
              <w:t>Yes</w:t>
            </w:r>
          </w:p>
        </w:tc>
        <w:tc>
          <w:tcPr>
            <w:tcW w:w="1296" w:type="dxa"/>
            <w:vAlign w:val="center"/>
          </w:tcPr>
          <w:p w14:paraId="607FD43F" w14:textId="77777777" w:rsidR="004A2200" w:rsidRPr="009712C3" w:rsidRDefault="004A2200" w:rsidP="009A2F89">
            <w:pPr>
              <w:pStyle w:val="BodyText"/>
            </w:pPr>
            <w:r w:rsidRPr="009712C3">
              <w:t>Yes</w:t>
            </w:r>
          </w:p>
        </w:tc>
      </w:tr>
      <w:tr w:rsidR="004A2200" w:rsidRPr="009712C3" w14:paraId="01A06119" w14:textId="77777777" w:rsidTr="009A2F89">
        <w:trPr>
          <w:cantSplit/>
          <w:jc w:val="center"/>
        </w:trPr>
        <w:tc>
          <w:tcPr>
            <w:tcW w:w="1635" w:type="dxa"/>
            <w:vAlign w:val="center"/>
          </w:tcPr>
          <w:p w14:paraId="11080848" w14:textId="77777777" w:rsidR="004A2200" w:rsidRPr="009712C3" w:rsidRDefault="004A2200" w:rsidP="009A2F89">
            <w:pPr>
              <w:pStyle w:val="BodyText"/>
            </w:pPr>
            <w:r w:rsidRPr="009712C3">
              <w:t>Forward</w:t>
            </w:r>
          </w:p>
        </w:tc>
        <w:tc>
          <w:tcPr>
            <w:tcW w:w="1296" w:type="dxa"/>
            <w:vAlign w:val="center"/>
          </w:tcPr>
          <w:p w14:paraId="7C325FC9" w14:textId="77777777" w:rsidR="004A2200" w:rsidRPr="009712C3" w:rsidRDefault="004A2200" w:rsidP="009A2F89">
            <w:pPr>
              <w:pStyle w:val="BodyText"/>
            </w:pPr>
            <w:r w:rsidRPr="009712C3">
              <w:t>Yes</w:t>
            </w:r>
          </w:p>
        </w:tc>
        <w:tc>
          <w:tcPr>
            <w:tcW w:w="1296" w:type="dxa"/>
            <w:vAlign w:val="center"/>
          </w:tcPr>
          <w:p w14:paraId="3391939D" w14:textId="77777777" w:rsidR="004A2200" w:rsidRPr="009712C3" w:rsidRDefault="004A2200" w:rsidP="009A2F89">
            <w:pPr>
              <w:pStyle w:val="BodyText"/>
            </w:pPr>
            <w:r w:rsidRPr="009712C3">
              <w:t xml:space="preserve">Near term </w:t>
            </w:r>
          </w:p>
        </w:tc>
        <w:tc>
          <w:tcPr>
            <w:tcW w:w="1296" w:type="dxa"/>
            <w:vAlign w:val="center"/>
          </w:tcPr>
          <w:p w14:paraId="72D8AF98" w14:textId="77777777" w:rsidR="004A2200" w:rsidRPr="009712C3" w:rsidRDefault="004A2200" w:rsidP="009A2F89">
            <w:pPr>
              <w:pStyle w:val="BodyText"/>
            </w:pPr>
          </w:p>
        </w:tc>
        <w:tc>
          <w:tcPr>
            <w:tcW w:w="1296" w:type="dxa"/>
            <w:vAlign w:val="center"/>
          </w:tcPr>
          <w:p w14:paraId="7DD557F2" w14:textId="77777777" w:rsidR="004A2200" w:rsidRPr="009712C3" w:rsidRDefault="004A2200" w:rsidP="009A2F89">
            <w:pPr>
              <w:pStyle w:val="BodyText"/>
            </w:pPr>
            <w:r w:rsidRPr="009712C3">
              <w:t>Yes</w:t>
            </w:r>
          </w:p>
        </w:tc>
        <w:tc>
          <w:tcPr>
            <w:tcW w:w="1296" w:type="dxa"/>
            <w:vAlign w:val="center"/>
          </w:tcPr>
          <w:p w14:paraId="7C9BD752" w14:textId="77777777" w:rsidR="004A2200" w:rsidRPr="009712C3" w:rsidRDefault="004A2200" w:rsidP="009A2F89">
            <w:pPr>
              <w:pStyle w:val="BodyText"/>
            </w:pPr>
            <w:r w:rsidRPr="009712C3">
              <w:t>Yes</w:t>
            </w:r>
          </w:p>
        </w:tc>
      </w:tr>
      <w:tr w:rsidR="004A2200" w:rsidRPr="009712C3" w14:paraId="2ABB9564" w14:textId="77777777" w:rsidTr="009A2F89">
        <w:trPr>
          <w:cantSplit/>
          <w:jc w:val="center"/>
        </w:trPr>
        <w:tc>
          <w:tcPr>
            <w:tcW w:w="1635" w:type="dxa"/>
            <w:vAlign w:val="center"/>
          </w:tcPr>
          <w:p w14:paraId="00B9BCC0" w14:textId="77777777" w:rsidR="004A2200" w:rsidRPr="009712C3" w:rsidRDefault="004A2200" w:rsidP="009A2F89">
            <w:pPr>
              <w:pStyle w:val="BodyText"/>
            </w:pPr>
            <w:r w:rsidRPr="009712C3">
              <w:t>Transport</w:t>
            </w:r>
          </w:p>
        </w:tc>
        <w:tc>
          <w:tcPr>
            <w:tcW w:w="1296" w:type="dxa"/>
            <w:vAlign w:val="center"/>
          </w:tcPr>
          <w:p w14:paraId="708ABBDC" w14:textId="77777777" w:rsidR="004A2200" w:rsidRPr="009712C3" w:rsidRDefault="004A2200" w:rsidP="009A2F89">
            <w:pPr>
              <w:pStyle w:val="BodyText"/>
            </w:pPr>
            <w:r w:rsidRPr="009712C3">
              <w:t>Yes</w:t>
            </w:r>
          </w:p>
        </w:tc>
        <w:tc>
          <w:tcPr>
            <w:tcW w:w="1296" w:type="dxa"/>
            <w:vAlign w:val="center"/>
          </w:tcPr>
          <w:p w14:paraId="1555CF69" w14:textId="77777777" w:rsidR="004A2200" w:rsidRPr="009712C3" w:rsidRDefault="004A2200" w:rsidP="009A2F89">
            <w:pPr>
              <w:pStyle w:val="BodyText"/>
            </w:pPr>
          </w:p>
        </w:tc>
        <w:tc>
          <w:tcPr>
            <w:tcW w:w="1296" w:type="dxa"/>
            <w:vAlign w:val="center"/>
          </w:tcPr>
          <w:p w14:paraId="1802AA44" w14:textId="77777777" w:rsidR="004A2200" w:rsidRPr="009712C3" w:rsidRDefault="004A2200" w:rsidP="009A2F89">
            <w:pPr>
              <w:pStyle w:val="BodyText"/>
            </w:pPr>
          </w:p>
        </w:tc>
        <w:tc>
          <w:tcPr>
            <w:tcW w:w="1296" w:type="dxa"/>
            <w:vAlign w:val="center"/>
          </w:tcPr>
          <w:p w14:paraId="394AB23E" w14:textId="77777777" w:rsidR="004A2200" w:rsidRPr="009712C3" w:rsidRDefault="004A2200" w:rsidP="009A2F89">
            <w:pPr>
              <w:pStyle w:val="BodyText"/>
            </w:pPr>
            <w:r w:rsidRPr="009712C3">
              <w:t>Yes</w:t>
            </w:r>
          </w:p>
        </w:tc>
        <w:tc>
          <w:tcPr>
            <w:tcW w:w="1296" w:type="dxa"/>
            <w:vAlign w:val="center"/>
          </w:tcPr>
          <w:p w14:paraId="01A4CF91" w14:textId="77777777" w:rsidR="004A2200" w:rsidRPr="009712C3" w:rsidRDefault="004A2200" w:rsidP="009A2F89">
            <w:pPr>
              <w:pStyle w:val="BodyText"/>
            </w:pPr>
            <w:r w:rsidRPr="009712C3">
              <w:t>Yes</w:t>
            </w:r>
          </w:p>
        </w:tc>
      </w:tr>
      <w:tr w:rsidR="004A2200" w:rsidRPr="009712C3" w14:paraId="7896CB5E" w14:textId="77777777" w:rsidTr="009A2F89">
        <w:trPr>
          <w:cantSplit/>
          <w:jc w:val="center"/>
        </w:trPr>
        <w:tc>
          <w:tcPr>
            <w:tcW w:w="1635" w:type="dxa"/>
            <w:vAlign w:val="center"/>
          </w:tcPr>
          <w:p w14:paraId="795EDB24" w14:textId="77777777" w:rsidR="004A2200" w:rsidRPr="009712C3" w:rsidRDefault="004A2200" w:rsidP="009A2F89">
            <w:pPr>
              <w:pStyle w:val="BodyText"/>
            </w:pPr>
            <w:r w:rsidRPr="009712C3">
              <w:t>Ancillary</w:t>
            </w:r>
          </w:p>
        </w:tc>
        <w:tc>
          <w:tcPr>
            <w:tcW w:w="1296" w:type="dxa"/>
            <w:vAlign w:val="center"/>
          </w:tcPr>
          <w:p w14:paraId="4709FA2A" w14:textId="77777777" w:rsidR="004A2200" w:rsidRPr="009712C3" w:rsidRDefault="004A2200" w:rsidP="009A2F89">
            <w:pPr>
              <w:pStyle w:val="BodyText"/>
            </w:pPr>
            <w:r w:rsidRPr="009712C3">
              <w:t>Yes</w:t>
            </w:r>
          </w:p>
        </w:tc>
        <w:tc>
          <w:tcPr>
            <w:tcW w:w="1296" w:type="dxa"/>
            <w:vAlign w:val="center"/>
          </w:tcPr>
          <w:p w14:paraId="64CEE5B6" w14:textId="77777777" w:rsidR="004A2200" w:rsidRPr="009712C3" w:rsidRDefault="004A2200" w:rsidP="009A2F89">
            <w:pPr>
              <w:pStyle w:val="BodyText"/>
            </w:pPr>
          </w:p>
        </w:tc>
        <w:tc>
          <w:tcPr>
            <w:tcW w:w="1296" w:type="dxa"/>
            <w:vAlign w:val="center"/>
          </w:tcPr>
          <w:p w14:paraId="704F69C1" w14:textId="77777777" w:rsidR="004A2200" w:rsidRPr="009712C3" w:rsidRDefault="004A2200" w:rsidP="009A2F89">
            <w:pPr>
              <w:pStyle w:val="BodyText"/>
            </w:pPr>
          </w:p>
        </w:tc>
        <w:tc>
          <w:tcPr>
            <w:tcW w:w="1296" w:type="dxa"/>
            <w:vAlign w:val="center"/>
          </w:tcPr>
          <w:p w14:paraId="31990DDF" w14:textId="77777777" w:rsidR="004A2200" w:rsidRPr="009712C3" w:rsidRDefault="004A2200" w:rsidP="009A2F89">
            <w:pPr>
              <w:pStyle w:val="BodyText"/>
            </w:pPr>
            <w:r w:rsidRPr="009712C3">
              <w:t>Yes</w:t>
            </w:r>
          </w:p>
        </w:tc>
        <w:tc>
          <w:tcPr>
            <w:tcW w:w="1296" w:type="dxa"/>
            <w:vAlign w:val="center"/>
          </w:tcPr>
          <w:p w14:paraId="57B5E81F" w14:textId="77777777" w:rsidR="004A2200" w:rsidRPr="009712C3" w:rsidRDefault="004A2200" w:rsidP="009A2F89">
            <w:pPr>
              <w:pStyle w:val="BodyText"/>
            </w:pPr>
            <w:r w:rsidRPr="009712C3">
              <w:t>Yes</w:t>
            </w:r>
          </w:p>
        </w:tc>
      </w:tr>
    </w:tbl>
    <w:p w14:paraId="4C04DABF" w14:textId="77777777" w:rsidR="004A2200" w:rsidRPr="009712C3" w:rsidRDefault="004A2200" w:rsidP="004A2200">
      <w:pPr>
        <w:pStyle w:val="BodyText"/>
      </w:pPr>
    </w:p>
    <w:p w14:paraId="7148A621" w14:textId="77777777" w:rsidR="004A2200" w:rsidRPr="009712C3" w:rsidRDefault="004A2200" w:rsidP="004A2200">
      <w:pPr>
        <w:pStyle w:val="BodyText"/>
      </w:pPr>
      <w:r w:rsidRPr="009712C3">
        <w:t xml:space="preserve">Only IEC Markets and Energy Interoperation address all of the products among the Transactive Systems of Interest. Energy Interoperation is far simpler </w:t>
      </w:r>
      <w:sdt>
        <w:sdtPr>
          <w:id w:val="578719088"/>
          <w:citation/>
        </w:sdtPr>
        <w:sdtContent>
          <w:r w:rsidRPr="009712C3">
            <w:fldChar w:fldCharType="begin"/>
          </w:r>
          <w:r w:rsidRPr="009712C3">
            <w:instrText xml:space="preserve"> CITATION Int14 \l 1033 </w:instrText>
          </w:r>
          <w:r w:rsidRPr="009712C3">
            <w:fldChar w:fldCharType="separate"/>
          </w:r>
          <w:r w:rsidR="006D47C2">
            <w:rPr>
              <w:noProof/>
            </w:rPr>
            <w:t>[</w:t>
          </w:r>
          <w:hyperlink w:anchor="Int14" w:history="1">
            <w:r w:rsidR="006D47C2">
              <w:rPr>
                <w:rStyle w:val="Authors"/>
                <w:noProof/>
              </w:rPr>
              <w:t>2</w:t>
            </w:r>
          </w:hyperlink>
          <w:r w:rsidR="006D47C2">
            <w:rPr>
              <w:noProof/>
            </w:rPr>
            <w:t>]</w:t>
          </w:r>
          <w:r w:rsidRPr="009712C3">
            <w:fldChar w:fldCharType="end"/>
          </w:r>
        </w:sdtContent>
      </w:sdt>
      <w:r w:rsidRPr="009712C3">
        <w:t>.</w:t>
      </w:r>
    </w:p>
    <w:p w14:paraId="0B1A2A8A" w14:textId="77777777" w:rsidR="004A2200" w:rsidRPr="009712C3" w:rsidRDefault="004A2200" w:rsidP="00A1045E">
      <w:pPr>
        <w:pStyle w:val="Heading2"/>
        <w:numPr>
          <w:ilvl w:val="1"/>
          <w:numId w:val="3"/>
        </w:numPr>
        <w:tabs>
          <w:tab w:val="clear" w:pos="792"/>
        </w:tabs>
        <w:spacing w:before="240" w:after="0"/>
        <w:ind w:left="490" w:hanging="490"/>
      </w:pPr>
      <w:r w:rsidRPr="009712C3">
        <w:t>IEC 62325 Family [IEC Markets]</w:t>
      </w:r>
    </w:p>
    <w:p w14:paraId="05DEAF00" w14:textId="77777777" w:rsidR="004A2200" w:rsidRPr="009712C3" w:rsidRDefault="004A2200" w:rsidP="004A2200">
      <w:pPr>
        <w:pStyle w:val="BodyText"/>
      </w:pPr>
      <w:r w:rsidRPr="009712C3">
        <w:t xml:space="preserve">Also called CIM Markets. These are the set of standards in IEC that define the large-scale wholesale markets around the world. </w:t>
      </w:r>
      <w:sdt>
        <w:sdtPr>
          <w:id w:val="-578755767"/>
          <w:citation/>
        </w:sdtPr>
        <w:sdtContent>
          <w:r w:rsidRPr="009712C3">
            <w:fldChar w:fldCharType="begin"/>
          </w:r>
          <w:r w:rsidRPr="009712C3">
            <w:instrText xml:space="preserve">CITATION Int16 \l 1033 </w:instrText>
          </w:r>
          <w:r w:rsidRPr="009712C3">
            <w:fldChar w:fldCharType="separate"/>
          </w:r>
          <w:r w:rsidR="006D47C2">
            <w:rPr>
              <w:noProof/>
            </w:rPr>
            <w:t>[</w:t>
          </w:r>
          <w:hyperlink w:anchor="Int16" w:history="1">
            <w:r w:rsidR="006D47C2">
              <w:rPr>
                <w:rStyle w:val="Authors"/>
                <w:noProof/>
              </w:rPr>
              <w:t>15</w:t>
            </w:r>
          </w:hyperlink>
          <w:r w:rsidR="006D47C2">
            <w:rPr>
              <w:noProof/>
            </w:rPr>
            <w:t>]</w:t>
          </w:r>
          <w:r w:rsidRPr="009712C3">
            <w:fldChar w:fldCharType="end"/>
          </w:r>
        </w:sdtContent>
      </w:sdt>
      <w:r w:rsidRPr="009712C3">
        <w:t xml:space="preserve"> </w:t>
      </w:r>
    </w:p>
    <w:p w14:paraId="4AEC55B0" w14:textId="77777777" w:rsidR="004A2200" w:rsidRPr="009712C3" w:rsidRDefault="004A2200" w:rsidP="004A2200">
      <w:pPr>
        <w:pStyle w:val="BodyText"/>
      </w:pPr>
      <w:r w:rsidRPr="009712C3">
        <w:t>Products include Energy, Capacity, Demand, and Ancillary Services.</w:t>
      </w:r>
    </w:p>
    <w:p w14:paraId="67A00DBD" w14:textId="77777777" w:rsidR="004A2200" w:rsidRPr="009712C3" w:rsidRDefault="004A2200" w:rsidP="004A2200">
      <w:pPr>
        <w:pStyle w:val="BodyText"/>
      </w:pPr>
      <w:r w:rsidRPr="009712C3">
        <w:t xml:space="preserve">The nature of adapting the Common Transactive Services relies on the abstract nature of bids (tenders) and market </w:t>
      </w:r>
      <w:r w:rsidRPr="009712C3">
        <w:lastRenderedPageBreak/>
        <w:t>results (transactions). Concepts including Offer Curves were directly incorporated in EMIX, and used in product and resource definitions in Energy Interoperation.</w:t>
      </w:r>
    </w:p>
    <w:p w14:paraId="023BEC79" w14:textId="77777777" w:rsidR="004A2200" w:rsidRPr="009712C3" w:rsidRDefault="004A2200" w:rsidP="004A2200">
      <w:pPr>
        <w:pStyle w:val="BodyText"/>
      </w:pPr>
      <w:r w:rsidRPr="009712C3">
        <w:t>Adaptation is necessary; the semantics of interaction with CIM Markets are aligned.</w:t>
      </w:r>
    </w:p>
    <w:p w14:paraId="4FEB8525" w14:textId="77777777" w:rsidR="004A2200" w:rsidRPr="009712C3" w:rsidRDefault="004A2200" w:rsidP="00A1045E">
      <w:pPr>
        <w:pStyle w:val="Heading2"/>
        <w:numPr>
          <w:ilvl w:val="1"/>
          <w:numId w:val="3"/>
        </w:numPr>
        <w:tabs>
          <w:tab w:val="clear" w:pos="792"/>
        </w:tabs>
        <w:spacing w:before="240" w:after="0"/>
        <w:ind w:left="490" w:hanging="490"/>
      </w:pPr>
      <w:r w:rsidRPr="009712C3">
        <w:t>Pacific Northwest Smart Grid Demonstration Project [PNW]</w:t>
      </w:r>
    </w:p>
    <w:p w14:paraId="195FB636" w14:textId="77777777" w:rsidR="004A2200" w:rsidRPr="009712C3" w:rsidRDefault="004A2200" w:rsidP="004A2200">
      <w:pPr>
        <w:pStyle w:val="BodyText"/>
      </w:pPr>
      <w:r w:rsidRPr="009712C3">
        <w:t>PNW</w:t>
      </w:r>
      <w:sdt>
        <w:sdtPr>
          <w:id w:val="-878086026"/>
          <w:citation/>
        </w:sdtPr>
        <w:sdtContent>
          <w:r w:rsidRPr="009712C3">
            <w:fldChar w:fldCharType="begin"/>
          </w:r>
          <w:r w:rsidRPr="009712C3">
            <w:instrText xml:space="preserve">CITATION Bat15 \l 1033 </w:instrText>
          </w:r>
          <w:r w:rsidRPr="009712C3">
            <w:fldChar w:fldCharType="separate"/>
          </w:r>
          <w:r w:rsidR="006D47C2">
            <w:rPr>
              <w:noProof/>
            </w:rPr>
            <w:t xml:space="preserve"> [</w:t>
          </w:r>
          <w:hyperlink w:anchor="Bat15" w:history="1">
            <w:r w:rsidR="006D47C2">
              <w:rPr>
                <w:rStyle w:val="Authors"/>
                <w:noProof/>
              </w:rPr>
              <w:t>13</w:t>
            </w:r>
          </w:hyperlink>
          <w:r w:rsidR="006D47C2">
            <w:rPr>
              <w:noProof/>
            </w:rPr>
            <w:t>]</w:t>
          </w:r>
          <w:r w:rsidRPr="009712C3">
            <w:fldChar w:fldCharType="end"/>
          </w:r>
        </w:sdtContent>
      </w:sdt>
      <w:r w:rsidRPr="009712C3">
        <w:t xml:space="preserve"> addresses balancing demand through the near-real time exchange of forward value information (delivered unit cost) of energy and the calculated forward load (demand) curves using an incentive signal to improve demand elasticity, and a feedback signal to improve operations planning for generation, transmission, and distribution operations. For an extended discussion of this system see the Common Transactive Services report.</w:t>
      </w:r>
      <w:sdt>
        <w:sdtPr>
          <w:id w:val="265355576"/>
          <w:citation/>
        </w:sdtPr>
        <w:sdtContent>
          <w:r w:rsidRPr="009712C3">
            <w:fldChar w:fldCharType="begin"/>
          </w:r>
          <w:r w:rsidRPr="009712C3">
            <w:instrText xml:space="preserve"> CITATION NIS161 \l 1033 </w:instrText>
          </w:r>
          <w:r w:rsidRPr="009712C3">
            <w:fldChar w:fldCharType="separate"/>
          </w:r>
          <w:r w:rsidR="006D47C2">
            <w:rPr>
              <w:noProof/>
            </w:rPr>
            <w:t xml:space="preserve"> [</w:t>
          </w:r>
          <w:hyperlink w:anchor="NIS161" w:history="1">
            <w:r w:rsidR="006D47C2">
              <w:rPr>
                <w:rStyle w:val="Authors"/>
                <w:noProof/>
              </w:rPr>
              <w:t>12</w:t>
            </w:r>
          </w:hyperlink>
          <w:r w:rsidR="006D47C2">
            <w:rPr>
              <w:noProof/>
            </w:rPr>
            <w:t>]</w:t>
          </w:r>
          <w:r w:rsidRPr="009712C3">
            <w:fldChar w:fldCharType="end"/>
          </w:r>
        </w:sdtContent>
      </w:sdt>
    </w:p>
    <w:p w14:paraId="07DDF0F7" w14:textId="77777777" w:rsidR="004A2200" w:rsidRPr="009712C3" w:rsidRDefault="004A2200" w:rsidP="004A2200">
      <w:pPr>
        <w:pStyle w:val="BodyText"/>
      </w:pPr>
      <w:r w:rsidRPr="009712C3">
        <w:t xml:space="preserve">Some adaptation of Energy Interoperation services is necessary to communicate PNW service information. An extension to a supply or demand curve-based tender may be needed to carry the additional signal information. </w:t>
      </w:r>
    </w:p>
    <w:p w14:paraId="6871E1CF" w14:textId="77777777" w:rsidR="004A2200" w:rsidRPr="009712C3" w:rsidRDefault="004A2200" w:rsidP="004A2200">
      <w:pPr>
        <w:pStyle w:val="BodyText"/>
      </w:pPr>
      <w:r w:rsidRPr="009712C3">
        <w:t>Transactions are undefined in the PNW system, but the implementers suggest that the framework could be extended to tag and track portions of suppliers’ and consumers’ future schedules as “committed,” in which case their flexibility would be lost for subsequent balancing iterations.</w:t>
      </w:r>
    </w:p>
    <w:p w14:paraId="73F0B73C" w14:textId="77777777" w:rsidR="004A2200" w:rsidRPr="009712C3" w:rsidRDefault="004A2200" w:rsidP="004A2200">
      <w:pPr>
        <w:pStyle w:val="BodyText"/>
      </w:pPr>
      <w:r w:rsidRPr="009712C3">
        <w:t>PNW incentive signals can likely be implemented as tenders with transactive state = indication-of-interest tenders. Once agreement is reached (or the algorithm converges to near stability) the transactive state could be set to “transaction” and committed.</w:t>
      </w:r>
    </w:p>
    <w:p w14:paraId="74B26E5B" w14:textId="77777777" w:rsidR="004A2200" w:rsidRPr="009712C3" w:rsidRDefault="004A2200" w:rsidP="004A2200">
      <w:pPr>
        <w:pStyle w:val="BodyText"/>
      </w:pPr>
      <w:r w:rsidRPr="009712C3">
        <w:t>The feedback signals can be viewed as second-order balancing transactions as in the treatment of reconciliation of Delivery.</w:t>
      </w:r>
    </w:p>
    <w:p w14:paraId="7C40991C" w14:textId="77777777" w:rsidR="004A2200" w:rsidRPr="009712C3" w:rsidRDefault="004A2200" w:rsidP="00A1045E">
      <w:pPr>
        <w:pStyle w:val="Heading2"/>
        <w:numPr>
          <w:ilvl w:val="1"/>
          <w:numId w:val="3"/>
        </w:numPr>
        <w:tabs>
          <w:tab w:val="clear" w:pos="792"/>
        </w:tabs>
        <w:spacing w:before="240" w:after="0"/>
        <w:ind w:left="490" w:hanging="490"/>
      </w:pPr>
      <w:r w:rsidRPr="009712C3">
        <w:t>PowerMatcher [PM]</w:t>
      </w:r>
    </w:p>
    <w:p w14:paraId="553EB158" w14:textId="77777777" w:rsidR="004A2200" w:rsidRPr="009712C3" w:rsidRDefault="004A2200" w:rsidP="004A2200">
      <w:pPr>
        <w:pStyle w:val="BodyText"/>
      </w:pPr>
      <w:r w:rsidRPr="009712C3">
        <w:t>PowerMatcher</w:t>
      </w:r>
      <w:sdt>
        <w:sdtPr>
          <w:id w:val="-130323814"/>
          <w:citation/>
        </w:sdtPr>
        <w:sdtContent>
          <w:r w:rsidRPr="009712C3">
            <w:fldChar w:fldCharType="begin"/>
          </w:r>
          <w:r w:rsidRPr="009712C3">
            <w:instrText xml:space="preserve"> CITATION Pow16 \l 1033 </w:instrText>
          </w:r>
          <w:r w:rsidRPr="009712C3">
            <w:fldChar w:fldCharType="separate"/>
          </w:r>
          <w:r w:rsidR="006D47C2">
            <w:rPr>
              <w:noProof/>
            </w:rPr>
            <w:t xml:space="preserve"> [</w:t>
          </w:r>
          <w:hyperlink w:anchor="Pow16" w:history="1">
            <w:r w:rsidR="006D47C2">
              <w:rPr>
                <w:rStyle w:val="Authors"/>
                <w:noProof/>
              </w:rPr>
              <w:t>14</w:t>
            </w:r>
          </w:hyperlink>
          <w:r w:rsidR="006D47C2">
            <w:rPr>
              <w:noProof/>
            </w:rPr>
            <w:t>]</w:t>
          </w:r>
          <w:r w:rsidRPr="009712C3">
            <w:fldChar w:fldCharType="end"/>
          </w:r>
        </w:sdtContent>
      </w:sdt>
      <w:r w:rsidRPr="009712C3">
        <w:t xml:space="preserve"> balances power across sets of devices; PowerMatcher nodes may in turn participate in higher-level sets of “devices.”</w:t>
      </w:r>
    </w:p>
    <w:p w14:paraId="612665A4" w14:textId="77777777" w:rsidR="004A2200" w:rsidRPr="009712C3" w:rsidRDefault="004A2200" w:rsidP="004A2200">
      <w:pPr>
        <w:pStyle w:val="BodyText"/>
      </w:pPr>
      <w:r w:rsidRPr="009712C3">
        <w:t>Participants provide their demand and/or supply curves; these are used to match (or clear) the market for each time interval. Time intervals are sporadic so a clearing persists until one or more of the input curves change.</w:t>
      </w:r>
    </w:p>
    <w:p w14:paraId="19163B44" w14:textId="77777777" w:rsidR="004A2200" w:rsidRPr="009712C3" w:rsidRDefault="004A2200" w:rsidP="004A2200">
      <w:pPr>
        <w:pStyle w:val="BodyText"/>
      </w:pPr>
      <w:r w:rsidRPr="009712C3">
        <w:t>There are two ways that Energy Interoperation can be used to integrate with PowerMatcher services. The PowerMatcher demand/supply curves are expressed in the Common Transactive Services model either directly (using offer curves</w:t>
      </w:r>
      <w:r w:rsidRPr="009712C3">
        <w:rPr>
          <w:vertAlign w:val="superscript"/>
        </w:rPr>
        <w:footnoteReference w:id="6"/>
      </w:r>
      <w:r w:rsidRPr="009712C3">
        <w:t>) or as a set of simultaneous tenders, where the clearing process would accept tenders up to the cleared quantity.</w:t>
      </w:r>
    </w:p>
    <w:p w14:paraId="04EC6EC2" w14:textId="77777777" w:rsidR="004A2200" w:rsidRPr="009712C3" w:rsidRDefault="004A2200" w:rsidP="004A2200">
      <w:pPr>
        <w:pStyle w:val="BodyText"/>
      </w:pPr>
      <w:r w:rsidRPr="009712C3">
        <w:t xml:space="preserve">PowerMatcher uses time intervals differently from the other systems (which typically use nesting intervals). A PowerMatcher settlement is valid until the inputs change. </w:t>
      </w:r>
    </w:p>
    <w:p w14:paraId="7D61ADCA" w14:textId="77777777" w:rsidR="004A2200" w:rsidRPr="009712C3" w:rsidRDefault="004A2200" w:rsidP="00A1045E">
      <w:pPr>
        <w:pStyle w:val="Heading2"/>
        <w:numPr>
          <w:ilvl w:val="1"/>
          <w:numId w:val="3"/>
        </w:numPr>
        <w:tabs>
          <w:tab w:val="clear" w:pos="792"/>
        </w:tabs>
        <w:spacing w:before="240" w:after="0"/>
        <w:ind w:left="490" w:hanging="490"/>
      </w:pPr>
      <w:r>
        <w:lastRenderedPageBreak/>
        <w:t>Te</w:t>
      </w:r>
      <w:r w:rsidRPr="009712C3">
        <w:t>MIX</w:t>
      </w:r>
    </w:p>
    <w:p w14:paraId="275509C2" w14:textId="77777777" w:rsidR="004A2200" w:rsidRPr="009712C3" w:rsidRDefault="004A2200" w:rsidP="004A2200">
      <w:pPr>
        <w:pStyle w:val="BodyText"/>
      </w:pPr>
      <w:r w:rsidRPr="009712C3">
        <w:t xml:space="preserve">TEMIX </w:t>
      </w:r>
      <w:sdt>
        <w:sdtPr>
          <w:id w:val="1549032076"/>
          <w:citation/>
        </w:sdtPr>
        <w:sdtContent>
          <w:r w:rsidRPr="009712C3">
            <w:fldChar w:fldCharType="begin"/>
          </w:r>
          <w:r w:rsidRPr="009712C3">
            <w:instrText xml:space="preserve">CITATION Caz11 \l 1033 </w:instrText>
          </w:r>
          <w:r w:rsidRPr="009712C3">
            <w:fldChar w:fldCharType="separate"/>
          </w:r>
          <w:r w:rsidR="006D47C2">
            <w:rPr>
              <w:noProof/>
            </w:rPr>
            <w:t>[</w:t>
          </w:r>
          <w:hyperlink w:anchor="Caz11" w:history="1">
            <w:r w:rsidR="006D47C2">
              <w:rPr>
                <w:rStyle w:val="Authors"/>
                <w:noProof/>
              </w:rPr>
              <w:t>19</w:t>
            </w:r>
          </w:hyperlink>
          <w:r w:rsidR="006D47C2">
            <w:rPr>
              <w:noProof/>
            </w:rPr>
            <w:t>]</w:t>
          </w:r>
          <w:r w:rsidRPr="009712C3">
            <w:fldChar w:fldCharType="end"/>
          </w:r>
        </w:sdtContent>
      </w:sdt>
      <w:r w:rsidRPr="009712C3">
        <w:t xml:space="preserve"> is a profile of OASIS Energy Interoperation: the service definitions are those of the Energy Interoperation TEMIX profile; the product definitions used are simplified to enhance liquidity and market performance.</w:t>
      </w:r>
    </w:p>
    <w:p w14:paraId="04641632" w14:textId="77777777" w:rsidR="004A2200" w:rsidRPr="009712C3" w:rsidRDefault="004A2200" w:rsidP="004A2200">
      <w:pPr>
        <w:pStyle w:val="BodyText"/>
      </w:pPr>
      <w:r w:rsidRPr="009712C3">
        <w:t xml:space="preserve">No adaptation of Energy Interoperation services is necessary. </w:t>
      </w:r>
    </w:p>
    <w:p w14:paraId="0EB430EB" w14:textId="77777777" w:rsidR="004A2200" w:rsidRPr="009712C3" w:rsidRDefault="004A2200" w:rsidP="004A2200">
      <w:pPr>
        <w:pStyle w:val="BodyText"/>
      </w:pPr>
      <w:r w:rsidRPr="009712C3">
        <w:t>TEMIX restrictions on product definition and implications for market liquidity are relevant to market design.</w:t>
      </w:r>
    </w:p>
    <w:p w14:paraId="31C5560D" w14:textId="77777777" w:rsidR="004A2200" w:rsidRPr="00157EBB" w:rsidRDefault="004A2200" w:rsidP="00157EBB">
      <w:pPr>
        <w:pStyle w:val="Heading1"/>
      </w:pPr>
      <w:r w:rsidRPr="00157EBB">
        <w:t>Discussion and Conclusions</w:t>
      </w:r>
    </w:p>
    <w:p w14:paraId="7A8310C7" w14:textId="03E76231" w:rsidR="004A2200" w:rsidRPr="009712C3" w:rsidRDefault="004A2200" w:rsidP="004A2200">
      <w:pPr>
        <w:pStyle w:val="BodyText"/>
      </w:pPr>
      <w:r w:rsidRPr="009712C3">
        <w:t xml:space="preserve">We have defined and shown the application of a small set of standardized </w:t>
      </w:r>
      <w:sdt>
        <w:sdtPr>
          <w:id w:val="-792141161"/>
          <w:citation/>
        </w:sdtPr>
        <w:sdtContent>
          <w:r w:rsidRPr="009712C3">
            <w:fldChar w:fldCharType="begin"/>
          </w:r>
          <w:r w:rsidRPr="009712C3">
            <w:instrText xml:space="preserve"> CITATION Org12 \l 1033 </w:instrText>
          </w:r>
          <w:r w:rsidRPr="009712C3">
            <w:fldChar w:fldCharType="separate"/>
          </w:r>
          <w:r w:rsidR="006D47C2">
            <w:rPr>
              <w:noProof/>
            </w:rPr>
            <w:t>[</w:t>
          </w:r>
          <w:hyperlink w:anchor="Org12" w:history="1">
            <w:r w:rsidR="006D47C2">
              <w:rPr>
                <w:rStyle w:val="Authors"/>
                <w:noProof/>
              </w:rPr>
              <w:t>5</w:t>
            </w:r>
          </w:hyperlink>
          <w:r w:rsidR="006D47C2">
            <w:rPr>
              <w:noProof/>
            </w:rPr>
            <w:t>]</w:t>
          </w:r>
          <w:r w:rsidRPr="009712C3">
            <w:fldChar w:fldCharType="end"/>
          </w:r>
        </w:sdtContent>
      </w:sdt>
      <w:sdt>
        <w:sdtPr>
          <w:id w:val="-601020906"/>
          <w:citation/>
        </w:sdtPr>
        <w:sdtContent>
          <w:r w:rsidRPr="009712C3">
            <w:fldChar w:fldCharType="begin"/>
          </w:r>
          <w:r w:rsidR="00313918">
            <w:instrText xml:space="preserve">CITATION Int1 \l 1033 </w:instrText>
          </w:r>
          <w:r w:rsidRPr="009712C3">
            <w:fldChar w:fldCharType="separate"/>
          </w:r>
          <w:r w:rsidR="006D47C2">
            <w:rPr>
              <w:noProof/>
            </w:rPr>
            <w:t xml:space="preserve"> [</w:t>
          </w:r>
          <w:hyperlink w:anchor="Int1" w:history="1">
            <w:r w:rsidR="006D47C2">
              <w:rPr>
                <w:rStyle w:val="Authors"/>
                <w:noProof/>
              </w:rPr>
              <w:t>6</w:t>
            </w:r>
          </w:hyperlink>
          <w:r w:rsidR="006D47C2">
            <w:rPr>
              <w:noProof/>
            </w:rPr>
            <w:t>]</w:t>
          </w:r>
          <w:r w:rsidRPr="009712C3">
            <w:fldChar w:fldCharType="end"/>
          </w:r>
        </w:sdtContent>
      </w:sdt>
      <w:r w:rsidRPr="009712C3">
        <w:t xml:space="preserve"> Common Transactive Services. The transactive services were designed as a bridge and were suited to our purpose.</w:t>
      </w:r>
    </w:p>
    <w:p w14:paraId="11279D41" w14:textId="77777777" w:rsidR="004A2200" w:rsidRPr="009712C3" w:rsidRDefault="004A2200" w:rsidP="004A2200">
      <w:pPr>
        <w:pStyle w:val="BodyText"/>
      </w:pPr>
      <w:r w:rsidRPr="009712C3">
        <w:t>We have sketched how these Common Transactive Services simplify integration and interoperation between the Transactive Systems we examined. This means that a project in any of these environments may benefit by using the Common Transactive Services—for integration in a surrounding transactive system, to mix and match diverse transactive systems, and as a simple complete set of transactive services for new implementations.</w:t>
      </w:r>
    </w:p>
    <w:p w14:paraId="37C87CF0" w14:textId="77777777" w:rsidR="004A2200" w:rsidRPr="009712C3" w:rsidRDefault="004A2200" w:rsidP="004A2200">
      <w:pPr>
        <w:pStyle w:val="BodyText"/>
      </w:pPr>
      <w:r w:rsidRPr="009712C3">
        <w:t>For example, the PNW system goes to a system operator such as a utility. Could the PNW techniques be extended to microgrids contained in that utility’s domain? Must those microgrids use PNW services? Certainly not—what’s needed is to play nicely at the boundaries. That is achieved by the Common Services approach.</w:t>
      </w:r>
    </w:p>
    <w:p w14:paraId="216DD11D" w14:textId="77777777" w:rsidR="004A2200" w:rsidRPr="009712C3" w:rsidRDefault="004A2200" w:rsidP="004A2200">
      <w:pPr>
        <w:pStyle w:val="BodyText"/>
      </w:pPr>
      <w:r w:rsidRPr="009712C3">
        <w:t>The Common Transactive Services are easily automatable and place responsibility for standards of performance with the transacting parties, consistent with the GWAC TE Principles and further support the TEA Transactive Energy description.</w:t>
      </w:r>
    </w:p>
    <w:p w14:paraId="0CFC1BC8" w14:textId="77777777" w:rsidR="004A2200" w:rsidRDefault="004A2200" w:rsidP="004A2200">
      <w:pPr>
        <w:pStyle w:val="BodyText"/>
      </w:pPr>
      <w:r w:rsidRPr="009712C3">
        <w:t>We recommend that implementers and integrators of Transactive Energy Systems consider the application of these Common Services to drive their architecture and design, integrate other transactive energy systems, and to accelerate their work.</w:t>
      </w:r>
    </w:p>
    <w:sdt>
      <w:sdtPr>
        <w:rPr>
          <w:b w:val="0"/>
          <w:smallCaps w:val="0"/>
          <w:kern w:val="0"/>
        </w:rPr>
        <w:id w:val="2029525002"/>
        <w:docPartObj>
          <w:docPartGallery w:val="Bibliographies"/>
          <w:docPartUnique/>
        </w:docPartObj>
      </w:sdtPr>
      <w:sdtContent>
        <w:p w14:paraId="3EC27DC1" w14:textId="77777777" w:rsidR="004A2200" w:rsidRPr="00157EBB" w:rsidRDefault="004A2200" w:rsidP="00157EBB">
          <w:pPr>
            <w:pStyle w:val="Heading1"/>
          </w:pPr>
          <w:r w:rsidRPr="00157EBB">
            <w:t>Bibliography</w:t>
          </w:r>
        </w:p>
        <w:sdt>
          <w:sdtPr>
            <w:id w:val="111145805"/>
            <w:bibliography/>
          </w:sdtPr>
          <w:sdtContent>
            <w:p w14:paraId="465F347F" w14:textId="77777777" w:rsidR="00157EBB" w:rsidRDefault="00157EBB">
              <w:pPr>
                <w:rPr>
                  <w:noProof/>
                </w:rPr>
              </w:pP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57"/>
                <w:gridCol w:w="4673"/>
              </w:tblGrid>
              <w:tr w:rsidR="00157EBB" w14:paraId="29E2F55F" w14:textId="77777777" w:rsidTr="00157EBB">
                <w:trPr>
                  <w:divId w:val="826289408"/>
                  <w:tblCellSpacing w:w="15" w:type="dxa"/>
                </w:trPr>
                <w:tc>
                  <w:tcPr>
                    <w:tcW w:w="402" w:type="pct"/>
                    <w:hideMark/>
                  </w:tcPr>
                  <w:p w14:paraId="4D6DCEBE" w14:textId="77777777" w:rsidR="00157EBB" w:rsidRDefault="00157EBB">
                    <w:pPr>
                      <w:pStyle w:val="Bibliography"/>
                      <w:rPr>
                        <w:noProof/>
                        <w:sz w:val="24"/>
                        <w:szCs w:val="24"/>
                      </w:rPr>
                    </w:pPr>
                    <w:r>
                      <w:rPr>
                        <w:noProof/>
                      </w:rPr>
                      <w:t xml:space="preserve">[1] </w:t>
                    </w:r>
                  </w:p>
                </w:tc>
                <w:tc>
                  <w:tcPr>
                    <w:tcW w:w="4509" w:type="pct"/>
                    <w:hideMark/>
                  </w:tcPr>
                  <w:p w14:paraId="08A12A5D" w14:textId="77777777" w:rsidR="00157EBB" w:rsidRDefault="00157EBB">
                    <w:pPr>
                      <w:pStyle w:val="Bibliography"/>
                      <w:rPr>
                        <w:noProof/>
                      </w:rPr>
                    </w:pPr>
                    <w:r>
                      <w:rPr>
                        <w:noProof/>
                      </w:rPr>
                      <w:t xml:space="preserve">Gamma, E. Gamma, R. Helm and J. Vissides, Design Patterns: Elements of Reusable Object-Oriented Software, Addison-Wesley Professional, 1994. </w:t>
                    </w:r>
                  </w:p>
                </w:tc>
              </w:tr>
              <w:tr w:rsidR="00157EBB" w14:paraId="4A086981" w14:textId="77777777" w:rsidTr="00157EBB">
                <w:trPr>
                  <w:divId w:val="826289408"/>
                  <w:tblCellSpacing w:w="15" w:type="dxa"/>
                </w:trPr>
                <w:tc>
                  <w:tcPr>
                    <w:tcW w:w="402" w:type="pct"/>
                    <w:hideMark/>
                  </w:tcPr>
                  <w:p w14:paraId="02EC1136" w14:textId="77777777" w:rsidR="00157EBB" w:rsidRDefault="00157EBB">
                    <w:pPr>
                      <w:pStyle w:val="Bibliography"/>
                      <w:rPr>
                        <w:noProof/>
                      </w:rPr>
                    </w:pPr>
                    <w:r>
                      <w:rPr>
                        <w:noProof/>
                      </w:rPr>
                      <w:t xml:space="preserve">[2] </w:t>
                    </w:r>
                  </w:p>
                </w:tc>
                <w:tc>
                  <w:tcPr>
                    <w:tcW w:w="4509" w:type="pct"/>
                    <w:hideMark/>
                  </w:tcPr>
                  <w:p w14:paraId="355CF3F9" w14:textId="77777777" w:rsidR="00157EBB" w:rsidRDefault="00157EBB">
                    <w:pPr>
                      <w:pStyle w:val="Bibliography"/>
                      <w:rPr>
                        <w:noProof/>
                      </w:rPr>
                    </w:pPr>
                    <w:r>
                      <w:rPr>
                        <w:noProof/>
                      </w:rPr>
                      <w:t>International Electrotechnical Commission, "Smart grid user interface - Part 1: Interface overview and country perspectives," 17 November 2014. [Online]. Available: https://webstore.iec.ch/publication/7478. [Accessed 24 February 2016].</w:t>
                    </w:r>
                  </w:p>
                </w:tc>
              </w:tr>
              <w:tr w:rsidR="00157EBB" w14:paraId="39EF396E" w14:textId="77777777" w:rsidTr="00157EBB">
                <w:trPr>
                  <w:divId w:val="826289408"/>
                  <w:tblCellSpacing w:w="15" w:type="dxa"/>
                </w:trPr>
                <w:tc>
                  <w:tcPr>
                    <w:tcW w:w="402" w:type="pct"/>
                    <w:hideMark/>
                  </w:tcPr>
                  <w:p w14:paraId="3FC466BC" w14:textId="77777777" w:rsidR="00157EBB" w:rsidRDefault="00157EBB">
                    <w:pPr>
                      <w:pStyle w:val="Bibliography"/>
                      <w:rPr>
                        <w:noProof/>
                      </w:rPr>
                    </w:pPr>
                    <w:r>
                      <w:rPr>
                        <w:noProof/>
                      </w:rPr>
                      <w:t xml:space="preserve">[3] </w:t>
                    </w:r>
                  </w:p>
                </w:tc>
                <w:tc>
                  <w:tcPr>
                    <w:tcW w:w="4509" w:type="pct"/>
                    <w:hideMark/>
                  </w:tcPr>
                  <w:p w14:paraId="6CA61136" w14:textId="77777777" w:rsidR="00157EBB" w:rsidRDefault="00157EBB">
                    <w:pPr>
                      <w:pStyle w:val="Bibliography"/>
                      <w:rPr>
                        <w:noProof/>
                      </w:rPr>
                    </w:pPr>
                    <w:r>
                      <w:rPr>
                        <w:noProof/>
                      </w:rPr>
                      <w:t>National Institute of Standards and Technology, "NIST Framework and Roadmap for Smart Grid Interoperability Standards, Release 3.0," September 2014. [Online]. Available: http://nist.gov/smartgrid/upload/NIST-SP-1108r3.pdf. [Accessed 24 February 2016].</w:t>
                    </w:r>
                  </w:p>
                </w:tc>
              </w:tr>
              <w:tr w:rsidR="00157EBB" w14:paraId="6FAA6EC5" w14:textId="77777777" w:rsidTr="00157EBB">
                <w:trPr>
                  <w:divId w:val="826289408"/>
                  <w:tblCellSpacing w:w="15" w:type="dxa"/>
                </w:trPr>
                <w:tc>
                  <w:tcPr>
                    <w:tcW w:w="402" w:type="pct"/>
                    <w:hideMark/>
                  </w:tcPr>
                  <w:p w14:paraId="297B11B2" w14:textId="77777777" w:rsidR="00157EBB" w:rsidRDefault="00157EBB">
                    <w:pPr>
                      <w:pStyle w:val="Bibliography"/>
                      <w:rPr>
                        <w:noProof/>
                      </w:rPr>
                    </w:pPr>
                    <w:r>
                      <w:rPr>
                        <w:noProof/>
                      </w:rPr>
                      <w:t xml:space="preserve">[4] </w:t>
                    </w:r>
                  </w:p>
                </w:tc>
                <w:tc>
                  <w:tcPr>
                    <w:tcW w:w="4509" w:type="pct"/>
                    <w:hideMark/>
                  </w:tcPr>
                  <w:p w14:paraId="7162A03E" w14:textId="77777777" w:rsidR="00157EBB" w:rsidRDefault="00157EBB">
                    <w:pPr>
                      <w:pStyle w:val="Bibliography"/>
                      <w:rPr>
                        <w:noProof/>
                      </w:rPr>
                    </w:pPr>
                    <w:r>
                      <w:rPr>
                        <w:noProof/>
                      </w:rPr>
                      <w:t xml:space="preserve">GridWise Architecture Council, "Transactive Energy </w:t>
                    </w:r>
                    <w:r>
                      <w:rPr>
                        <w:noProof/>
                      </w:rPr>
                      <w:lastRenderedPageBreak/>
                      <w:t>Principles," 07 2014. [Online]. Available: http://www.gridwiseac.org/pdfs/te_principles_slide_pnnl_sa_103625.pdf.</w:t>
                    </w:r>
                  </w:p>
                </w:tc>
              </w:tr>
              <w:tr w:rsidR="00157EBB" w14:paraId="7792D604" w14:textId="77777777" w:rsidTr="00157EBB">
                <w:trPr>
                  <w:divId w:val="826289408"/>
                  <w:tblCellSpacing w:w="15" w:type="dxa"/>
                </w:trPr>
                <w:tc>
                  <w:tcPr>
                    <w:tcW w:w="402" w:type="pct"/>
                    <w:hideMark/>
                  </w:tcPr>
                  <w:p w14:paraId="78686C55" w14:textId="77777777" w:rsidR="00157EBB" w:rsidRDefault="00157EBB">
                    <w:pPr>
                      <w:pStyle w:val="Bibliography"/>
                      <w:rPr>
                        <w:noProof/>
                      </w:rPr>
                    </w:pPr>
                    <w:r>
                      <w:rPr>
                        <w:noProof/>
                      </w:rPr>
                      <w:lastRenderedPageBreak/>
                      <w:t xml:space="preserve">[5] </w:t>
                    </w:r>
                  </w:p>
                </w:tc>
                <w:tc>
                  <w:tcPr>
                    <w:tcW w:w="4509" w:type="pct"/>
                    <w:hideMark/>
                  </w:tcPr>
                  <w:p w14:paraId="5910E0F4" w14:textId="77777777" w:rsidR="00157EBB" w:rsidRDefault="00157EBB">
                    <w:pPr>
                      <w:pStyle w:val="Bibliography"/>
                      <w:rPr>
                        <w:noProof/>
                      </w:rPr>
                    </w:pPr>
                    <w:r>
                      <w:rPr>
                        <w:noProof/>
                      </w:rPr>
                      <w:t>OASIS, "Energy Interoperation 1.0 OASIS Standard," 18 February 2011-2014. [Online]. Available: http://docs.oasis-open.org/energyinterop/ei/v1.0/energyinterop-v1.0.html. [Accessed 24 February 2016].</w:t>
                    </w:r>
                  </w:p>
                </w:tc>
              </w:tr>
              <w:tr w:rsidR="00157EBB" w14:paraId="7D84873A" w14:textId="77777777" w:rsidTr="00157EBB">
                <w:trPr>
                  <w:divId w:val="826289408"/>
                  <w:tblCellSpacing w:w="15" w:type="dxa"/>
                </w:trPr>
                <w:tc>
                  <w:tcPr>
                    <w:tcW w:w="402" w:type="pct"/>
                    <w:hideMark/>
                  </w:tcPr>
                  <w:p w14:paraId="57294E70" w14:textId="77777777" w:rsidR="00157EBB" w:rsidRDefault="00157EBB">
                    <w:pPr>
                      <w:pStyle w:val="Bibliography"/>
                      <w:rPr>
                        <w:noProof/>
                      </w:rPr>
                    </w:pPr>
                    <w:r>
                      <w:rPr>
                        <w:noProof/>
                      </w:rPr>
                      <w:t xml:space="preserve">[6] </w:t>
                    </w:r>
                  </w:p>
                </w:tc>
                <w:tc>
                  <w:tcPr>
                    <w:tcW w:w="4509" w:type="pct"/>
                    <w:hideMark/>
                  </w:tcPr>
                  <w:p w14:paraId="66B3099C" w14:textId="77777777" w:rsidR="00157EBB" w:rsidRDefault="00157EBB">
                    <w:pPr>
                      <w:pStyle w:val="Bibliography"/>
                      <w:rPr>
                        <w:noProof/>
                      </w:rPr>
                    </w:pPr>
                    <w:r>
                      <w:rPr>
                        <w:noProof/>
                      </w:rPr>
                      <w:t>International Electrotechnical Commission, "Smart Grid User Interface - Part 3 - Energy interoperation services".</w:t>
                    </w:r>
                  </w:p>
                </w:tc>
              </w:tr>
              <w:tr w:rsidR="00157EBB" w14:paraId="5E1235EA" w14:textId="77777777" w:rsidTr="00157EBB">
                <w:trPr>
                  <w:divId w:val="826289408"/>
                  <w:tblCellSpacing w:w="15" w:type="dxa"/>
                </w:trPr>
                <w:tc>
                  <w:tcPr>
                    <w:tcW w:w="402" w:type="pct"/>
                    <w:hideMark/>
                  </w:tcPr>
                  <w:p w14:paraId="6044A8F1" w14:textId="77777777" w:rsidR="00157EBB" w:rsidRDefault="00157EBB">
                    <w:pPr>
                      <w:pStyle w:val="Bibliography"/>
                      <w:rPr>
                        <w:noProof/>
                      </w:rPr>
                    </w:pPr>
                    <w:r>
                      <w:rPr>
                        <w:noProof/>
                      </w:rPr>
                      <w:t xml:space="preserve">[7] </w:t>
                    </w:r>
                  </w:p>
                </w:tc>
                <w:tc>
                  <w:tcPr>
                    <w:tcW w:w="4509" w:type="pct"/>
                    <w:hideMark/>
                  </w:tcPr>
                  <w:p w14:paraId="4511FC8B" w14:textId="77777777" w:rsidR="00157EBB" w:rsidRDefault="00157EBB">
                    <w:pPr>
                      <w:pStyle w:val="Bibliography"/>
                      <w:rPr>
                        <w:noProof/>
                      </w:rPr>
                    </w:pPr>
                    <w:r>
                      <w:rPr>
                        <w:noProof/>
                      </w:rPr>
                      <w:t>GridWise Architecture Council, March 2008. [Online]. Available: http://www.gridwiseac.org/pdfs/interopframework_v1_1.pdf. [Accessed 25 February 2016].</w:t>
                    </w:r>
                  </w:p>
                </w:tc>
              </w:tr>
              <w:tr w:rsidR="00157EBB" w14:paraId="44671377" w14:textId="77777777" w:rsidTr="00157EBB">
                <w:trPr>
                  <w:divId w:val="826289408"/>
                  <w:tblCellSpacing w:w="15" w:type="dxa"/>
                </w:trPr>
                <w:tc>
                  <w:tcPr>
                    <w:tcW w:w="402" w:type="pct"/>
                    <w:hideMark/>
                  </w:tcPr>
                  <w:p w14:paraId="7BAB2E8A" w14:textId="77777777" w:rsidR="00157EBB" w:rsidRDefault="00157EBB">
                    <w:pPr>
                      <w:pStyle w:val="Bibliography"/>
                      <w:rPr>
                        <w:noProof/>
                      </w:rPr>
                    </w:pPr>
                    <w:r>
                      <w:rPr>
                        <w:noProof/>
                      </w:rPr>
                      <w:t xml:space="preserve">[8] </w:t>
                    </w:r>
                  </w:p>
                </w:tc>
                <w:tc>
                  <w:tcPr>
                    <w:tcW w:w="4509" w:type="pct"/>
                    <w:hideMark/>
                  </w:tcPr>
                  <w:p w14:paraId="712570D8" w14:textId="77777777" w:rsidR="00157EBB" w:rsidRDefault="00157EBB">
                    <w:pPr>
                      <w:pStyle w:val="Bibliography"/>
                      <w:rPr>
                        <w:noProof/>
                      </w:rPr>
                    </w:pPr>
                    <w:r>
                      <w:rPr>
                        <w:noProof/>
                      </w:rPr>
                      <w:t xml:space="preserve">E. Gamma, R. Helm and J. Vissides, Design Patterns: Elements of Reusable Object-Oriented Software, Addison-Wesley Professional, 1994. </w:t>
                    </w:r>
                  </w:p>
                </w:tc>
              </w:tr>
              <w:tr w:rsidR="00157EBB" w14:paraId="18C55BD4" w14:textId="77777777" w:rsidTr="00157EBB">
                <w:trPr>
                  <w:divId w:val="826289408"/>
                  <w:tblCellSpacing w:w="15" w:type="dxa"/>
                </w:trPr>
                <w:tc>
                  <w:tcPr>
                    <w:tcW w:w="402" w:type="pct"/>
                    <w:hideMark/>
                  </w:tcPr>
                  <w:p w14:paraId="4162A5F4" w14:textId="77777777" w:rsidR="00157EBB" w:rsidRDefault="00157EBB">
                    <w:pPr>
                      <w:pStyle w:val="Bibliography"/>
                      <w:rPr>
                        <w:noProof/>
                      </w:rPr>
                    </w:pPr>
                    <w:r>
                      <w:rPr>
                        <w:noProof/>
                      </w:rPr>
                      <w:t xml:space="preserve">[9] </w:t>
                    </w:r>
                  </w:p>
                </w:tc>
                <w:tc>
                  <w:tcPr>
                    <w:tcW w:w="4509" w:type="pct"/>
                    <w:hideMark/>
                  </w:tcPr>
                  <w:p w14:paraId="008566CC" w14:textId="77777777" w:rsidR="00157EBB" w:rsidRDefault="00157EBB">
                    <w:pPr>
                      <w:pStyle w:val="Bibliography"/>
                      <w:rPr>
                        <w:noProof/>
                      </w:rPr>
                    </w:pPr>
                    <w:r>
                      <w:rPr>
                        <w:noProof/>
                      </w:rPr>
                      <w:t>D. Libes, E. J. Barkmeyer, P. Denno, D. Flater, M. P. Steves, E. Wallace and A. B. Feeney, "The AMIS Approach to Systems Integration: An Overview," 2004.</w:t>
                    </w:r>
                  </w:p>
                </w:tc>
              </w:tr>
              <w:tr w:rsidR="00157EBB" w14:paraId="547AC005" w14:textId="77777777" w:rsidTr="00157EBB">
                <w:trPr>
                  <w:divId w:val="826289408"/>
                  <w:tblCellSpacing w:w="15" w:type="dxa"/>
                </w:trPr>
                <w:tc>
                  <w:tcPr>
                    <w:tcW w:w="402" w:type="pct"/>
                    <w:hideMark/>
                  </w:tcPr>
                  <w:p w14:paraId="6660A4F0" w14:textId="77777777" w:rsidR="00157EBB" w:rsidRDefault="00157EBB">
                    <w:pPr>
                      <w:pStyle w:val="Bibliography"/>
                      <w:rPr>
                        <w:noProof/>
                      </w:rPr>
                    </w:pPr>
                    <w:r>
                      <w:rPr>
                        <w:noProof/>
                      </w:rPr>
                      <w:t xml:space="preserve">[10] </w:t>
                    </w:r>
                  </w:p>
                </w:tc>
                <w:tc>
                  <w:tcPr>
                    <w:tcW w:w="4509" w:type="pct"/>
                    <w:hideMark/>
                  </w:tcPr>
                  <w:p w14:paraId="24A47720" w14:textId="77777777" w:rsidR="00157EBB" w:rsidRDefault="00157EBB">
                    <w:pPr>
                      <w:pStyle w:val="Bibliography"/>
                      <w:rPr>
                        <w:noProof/>
                      </w:rPr>
                    </w:pPr>
                    <w:r>
                      <w:rPr>
                        <w:noProof/>
                      </w:rPr>
                      <w:t>GridWise Architecture Council, "GridWise Transactive Energy Framework Version 1.0," 01 2015. [Online]. Available: http://www.gridwiseac.org/pdfs/te_framework_report_pnnl-22946.pdf.</w:t>
                    </w:r>
                  </w:p>
                </w:tc>
              </w:tr>
              <w:tr w:rsidR="00157EBB" w14:paraId="7DF1EE1F" w14:textId="77777777" w:rsidTr="00157EBB">
                <w:trPr>
                  <w:divId w:val="826289408"/>
                  <w:tblCellSpacing w:w="15" w:type="dxa"/>
                </w:trPr>
                <w:tc>
                  <w:tcPr>
                    <w:tcW w:w="402" w:type="pct"/>
                    <w:hideMark/>
                  </w:tcPr>
                  <w:p w14:paraId="04255EE8" w14:textId="77777777" w:rsidR="00157EBB" w:rsidRDefault="00157EBB">
                    <w:pPr>
                      <w:pStyle w:val="Bibliography"/>
                      <w:rPr>
                        <w:noProof/>
                      </w:rPr>
                    </w:pPr>
                    <w:r>
                      <w:rPr>
                        <w:noProof/>
                      </w:rPr>
                      <w:t xml:space="preserve">[11] </w:t>
                    </w:r>
                  </w:p>
                </w:tc>
                <w:tc>
                  <w:tcPr>
                    <w:tcW w:w="4509" w:type="pct"/>
                    <w:hideMark/>
                  </w:tcPr>
                  <w:p w14:paraId="28B68AA7" w14:textId="77777777" w:rsidR="00157EBB" w:rsidRDefault="00157EBB">
                    <w:pPr>
                      <w:pStyle w:val="Bibliography"/>
                      <w:rPr>
                        <w:noProof/>
                      </w:rPr>
                    </w:pPr>
                    <w:r>
                      <w:rPr>
                        <w:noProof/>
                      </w:rPr>
                      <w:t>Transactive Energy Associatiion, "Transactive Energy Description and Benefits," [Online]. Available: https://www.linkedin.com/groups/4778076/4778076-199816061. [Accessed 27 February 2016].</w:t>
                    </w:r>
                  </w:p>
                </w:tc>
              </w:tr>
              <w:tr w:rsidR="00157EBB" w14:paraId="05F360BB" w14:textId="77777777" w:rsidTr="00157EBB">
                <w:trPr>
                  <w:divId w:val="826289408"/>
                  <w:tblCellSpacing w:w="15" w:type="dxa"/>
                </w:trPr>
                <w:tc>
                  <w:tcPr>
                    <w:tcW w:w="402" w:type="pct"/>
                    <w:hideMark/>
                  </w:tcPr>
                  <w:p w14:paraId="45492A13" w14:textId="77777777" w:rsidR="00157EBB" w:rsidRDefault="00157EBB">
                    <w:pPr>
                      <w:pStyle w:val="Bibliography"/>
                      <w:rPr>
                        <w:noProof/>
                      </w:rPr>
                    </w:pPr>
                    <w:r>
                      <w:rPr>
                        <w:noProof/>
                      </w:rPr>
                      <w:t xml:space="preserve">[12] </w:t>
                    </w:r>
                  </w:p>
                </w:tc>
                <w:tc>
                  <w:tcPr>
                    <w:tcW w:w="4509" w:type="pct"/>
                    <w:hideMark/>
                  </w:tcPr>
                  <w:p w14:paraId="22DFFCD6" w14:textId="77777777" w:rsidR="00157EBB" w:rsidRDefault="00157EBB">
                    <w:pPr>
                      <w:pStyle w:val="Bibliography"/>
                      <w:rPr>
                        <w:noProof/>
                      </w:rPr>
                    </w:pPr>
                    <w:r>
                      <w:rPr>
                        <w:noProof/>
                      </w:rPr>
                      <w:t>NIST Transactive Energy Challenge CTS Team, "Common Transactive Energy Services Report," May 2016. [Online]. Available: URI PENDING.</w:t>
                    </w:r>
                  </w:p>
                </w:tc>
              </w:tr>
              <w:tr w:rsidR="00157EBB" w14:paraId="473E6BAB" w14:textId="77777777" w:rsidTr="00157EBB">
                <w:trPr>
                  <w:divId w:val="826289408"/>
                  <w:tblCellSpacing w:w="15" w:type="dxa"/>
                </w:trPr>
                <w:tc>
                  <w:tcPr>
                    <w:tcW w:w="402" w:type="pct"/>
                    <w:hideMark/>
                  </w:tcPr>
                  <w:p w14:paraId="64D2A83E" w14:textId="77777777" w:rsidR="00157EBB" w:rsidRDefault="00157EBB">
                    <w:pPr>
                      <w:pStyle w:val="Bibliography"/>
                      <w:rPr>
                        <w:noProof/>
                      </w:rPr>
                    </w:pPr>
                    <w:r>
                      <w:rPr>
                        <w:noProof/>
                      </w:rPr>
                      <w:t xml:space="preserve">[13] </w:t>
                    </w:r>
                  </w:p>
                </w:tc>
                <w:tc>
                  <w:tcPr>
                    <w:tcW w:w="4509" w:type="pct"/>
                    <w:hideMark/>
                  </w:tcPr>
                  <w:p w14:paraId="008D4937" w14:textId="77777777" w:rsidR="00157EBB" w:rsidRDefault="00157EBB">
                    <w:pPr>
                      <w:pStyle w:val="Bibliography"/>
                      <w:rPr>
                        <w:noProof/>
                      </w:rPr>
                    </w:pPr>
                    <w:r>
                      <w:rPr>
                        <w:noProof/>
                      </w:rPr>
                      <w:t>D. Hammerstrom, "Pacific Northwest GSmart Grid Demonstration Project Technology Performance Report," Battelle Memorial Institute, June 2015. [Online]. Available: https://www.smartgrid.gov/document/Pacific_Northwest_Smart_Grid_Technology_Performance.html. [Accessed 24 February 2016].</w:t>
                    </w:r>
                  </w:p>
                </w:tc>
              </w:tr>
              <w:tr w:rsidR="00157EBB" w14:paraId="4C2AA2E6" w14:textId="77777777" w:rsidTr="00157EBB">
                <w:trPr>
                  <w:divId w:val="826289408"/>
                  <w:tblCellSpacing w:w="15" w:type="dxa"/>
                </w:trPr>
                <w:tc>
                  <w:tcPr>
                    <w:tcW w:w="402" w:type="pct"/>
                    <w:hideMark/>
                  </w:tcPr>
                  <w:p w14:paraId="40B54ACD" w14:textId="77777777" w:rsidR="00157EBB" w:rsidRDefault="00157EBB">
                    <w:pPr>
                      <w:pStyle w:val="Bibliography"/>
                      <w:rPr>
                        <w:noProof/>
                      </w:rPr>
                    </w:pPr>
                    <w:r>
                      <w:rPr>
                        <w:noProof/>
                      </w:rPr>
                      <w:t xml:space="preserve">[14] </w:t>
                    </w:r>
                  </w:p>
                </w:tc>
                <w:tc>
                  <w:tcPr>
                    <w:tcW w:w="4509" w:type="pct"/>
                    <w:hideMark/>
                  </w:tcPr>
                  <w:p w14:paraId="06036AF3" w14:textId="77777777" w:rsidR="00157EBB" w:rsidRDefault="00157EBB">
                    <w:pPr>
                      <w:pStyle w:val="Bibliography"/>
                      <w:rPr>
                        <w:noProof/>
                      </w:rPr>
                    </w:pPr>
                    <w:r>
                      <w:rPr>
                        <w:noProof/>
                      </w:rPr>
                      <w:t>FlexiblePower Alliance Network, 2016. [Online]. Available: http://flexiblepower.github.io/. [Accessed 24 Feb 2016].</w:t>
                    </w:r>
                  </w:p>
                </w:tc>
              </w:tr>
              <w:tr w:rsidR="00157EBB" w14:paraId="62694AE2" w14:textId="77777777" w:rsidTr="00157EBB">
                <w:trPr>
                  <w:divId w:val="826289408"/>
                  <w:tblCellSpacing w:w="15" w:type="dxa"/>
                </w:trPr>
                <w:tc>
                  <w:tcPr>
                    <w:tcW w:w="402" w:type="pct"/>
                    <w:hideMark/>
                  </w:tcPr>
                  <w:p w14:paraId="1AB83B5B" w14:textId="77777777" w:rsidR="00157EBB" w:rsidRDefault="00157EBB">
                    <w:pPr>
                      <w:pStyle w:val="Bibliography"/>
                      <w:rPr>
                        <w:noProof/>
                      </w:rPr>
                    </w:pPr>
                    <w:r>
                      <w:rPr>
                        <w:noProof/>
                      </w:rPr>
                      <w:t xml:space="preserve">[15] </w:t>
                    </w:r>
                  </w:p>
                </w:tc>
                <w:tc>
                  <w:tcPr>
                    <w:tcW w:w="4509" w:type="pct"/>
                    <w:hideMark/>
                  </w:tcPr>
                  <w:p w14:paraId="28C9D7D2" w14:textId="77777777" w:rsidR="00157EBB" w:rsidRDefault="00157EBB">
                    <w:pPr>
                      <w:pStyle w:val="Bibliography"/>
                      <w:rPr>
                        <w:noProof/>
                      </w:rPr>
                    </w:pPr>
                    <w:r>
                      <w:rPr>
                        <w:noProof/>
                      </w:rPr>
                      <w:t>International Electrotechnical Commission, "IEC 62325," Feb 2016. [Online]. Available: https://webstore.iec.ch/searchform&amp;q=62325. [Accessed 24 Feb 2016].</w:t>
                    </w:r>
                  </w:p>
                </w:tc>
              </w:tr>
              <w:tr w:rsidR="00157EBB" w14:paraId="3A75F895" w14:textId="77777777" w:rsidTr="00157EBB">
                <w:trPr>
                  <w:divId w:val="826289408"/>
                  <w:tblCellSpacing w:w="15" w:type="dxa"/>
                </w:trPr>
                <w:tc>
                  <w:tcPr>
                    <w:tcW w:w="402" w:type="pct"/>
                    <w:hideMark/>
                  </w:tcPr>
                  <w:p w14:paraId="7C6AB7C2" w14:textId="77777777" w:rsidR="00157EBB" w:rsidRDefault="00157EBB">
                    <w:pPr>
                      <w:pStyle w:val="Bibliography"/>
                      <w:rPr>
                        <w:noProof/>
                      </w:rPr>
                    </w:pPr>
                    <w:r>
                      <w:rPr>
                        <w:noProof/>
                      </w:rPr>
                      <w:t xml:space="preserve">[16] </w:t>
                    </w:r>
                  </w:p>
                </w:tc>
                <w:tc>
                  <w:tcPr>
                    <w:tcW w:w="4509" w:type="pct"/>
                    <w:hideMark/>
                  </w:tcPr>
                  <w:p w14:paraId="251890C1" w14:textId="77777777" w:rsidR="00157EBB" w:rsidRDefault="00157EBB">
                    <w:pPr>
                      <w:pStyle w:val="Bibliography"/>
                      <w:rPr>
                        <w:noProof/>
                      </w:rPr>
                    </w:pPr>
                    <w:r>
                      <w:rPr>
                        <w:noProof/>
                      </w:rPr>
                      <w:t>OASIS, "Energy Market Information Exchange Version 1.0," 11 January 2012. [Online]. Available: http://docs.oasis-open.org/emix/emix/v1.0/emix-v1.0.html.</w:t>
                    </w:r>
                  </w:p>
                </w:tc>
              </w:tr>
              <w:tr w:rsidR="00157EBB" w14:paraId="36E379E2" w14:textId="77777777" w:rsidTr="00157EBB">
                <w:trPr>
                  <w:divId w:val="826289408"/>
                  <w:tblCellSpacing w:w="15" w:type="dxa"/>
                </w:trPr>
                <w:tc>
                  <w:tcPr>
                    <w:tcW w:w="402" w:type="pct"/>
                    <w:hideMark/>
                  </w:tcPr>
                  <w:p w14:paraId="5ACE3602" w14:textId="77777777" w:rsidR="00157EBB" w:rsidRDefault="00157EBB">
                    <w:pPr>
                      <w:pStyle w:val="Bibliography"/>
                      <w:rPr>
                        <w:noProof/>
                      </w:rPr>
                    </w:pPr>
                    <w:r>
                      <w:rPr>
                        <w:noProof/>
                      </w:rPr>
                      <w:t xml:space="preserve">[17] </w:t>
                    </w:r>
                  </w:p>
                </w:tc>
                <w:tc>
                  <w:tcPr>
                    <w:tcW w:w="4509" w:type="pct"/>
                    <w:hideMark/>
                  </w:tcPr>
                  <w:p w14:paraId="33FAC850" w14:textId="77777777" w:rsidR="00157EBB" w:rsidRDefault="00157EBB">
                    <w:pPr>
                      <w:pStyle w:val="Bibliography"/>
                      <w:rPr>
                        <w:noProof/>
                      </w:rPr>
                    </w:pPr>
                    <w:r>
                      <w:rPr>
                        <w:noProof/>
                      </w:rPr>
                      <w:t>TransactiveADR Team, "NIST Transactive Energy Challenge," [Online]. Available: https://pages.nist.gov/TEChallenge/community/. [Accessed 25 February 2016].</w:t>
                    </w:r>
                  </w:p>
                </w:tc>
              </w:tr>
              <w:tr w:rsidR="00157EBB" w14:paraId="332F3087" w14:textId="77777777" w:rsidTr="00157EBB">
                <w:trPr>
                  <w:divId w:val="826289408"/>
                  <w:tblCellSpacing w:w="15" w:type="dxa"/>
                </w:trPr>
                <w:tc>
                  <w:tcPr>
                    <w:tcW w:w="402" w:type="pct"/>
                    <w:hideMark/>
                  </w:tcPr>
                  <w:p w14:paraId="4FC79E41" w14:textId="77777777" w:rsidR="00157EBB" w:rsidRDefault="00157EBB">
                    <w:pPr>
                      <w:pStyle w:val="Bibliography"/>
                      <w:rPr>
                        <w:noProof/>
                      </w:rPr>
                    </w:pPr>
                    <w:r>
                      <w:rPr>
                        <w:noProof/>
                      </w:rPr>
                      <w:t xml:space="preserve">[18] </w:t>
                    </w:r>
                  </w:p>
                </w:tc>
                <w:tc>
                  <w:tcPr>
                    <w:tcW w:w="4509" w:type="pct"/>
                    <w:hideMark/>
                  </w:tcPr>
                  <w:p w14:paraId="380F0492" w14:textId="77777777" w:rsidR="00157EBB" w:rsidRDefault="00157EBB">
                    <w:pPr>
                      <w:pStyle w:val="Bibliography"/>
                      <w:rPr>
                        <w:noProof/>
                      </w:rPr>
                    </w:pPr>
                    <w:r>
                      <w:rPr>
                        <w:noProof/>
                      </w:rPr>
                      <w:t xml:space="preserve">A. K. Bejestani, A. Annaswamy and T. Samad, "A Hierarchical Transactive Control Architecture for </w:t>
                    </w:r>
                    <w:r>
                      <w:rPr>
                        <w:noProof/>
                      </w:rPr>
                      <w:lastRenderedPageBreak/>
                      <w:t xml:space="preserve">Renewables Integration in Smart Grids: Analytical Modeling and Stability," </w:t>
                    </w:r>
                    <w:r>
                      <w:rPr>
                        <w:i/>
                        <w:iCs/>
                        <w:noProof/>
                      </w:rPr>
                      <w:t xml:space="preserve">IEEE Transactions on Smart Grid, </w:t>
                    </w:r>
                    <w:r>
                      <w:rPr>
                        <w:noProof/>
                      </w:rPr>
                      <w:t xml:space="preserve">vol. 5, no. 4, pp. 2054-2065, July 2014. </w:t>
                    </w:r>
                  </w:p>
                </w:tc>
              </w:tr>
              <w:tr w:rsidR="00157EBB" w14:paraId="2ABAD275" w14:textId="77777777" w:rsidTr="00157EBB">
                <w:trPr>
                  <w:divId w:val="826289408"/>
                  <w:tblCellSpacing w:w="15" w:type="dxa"/>
                </w:trPr>
                <w:tc>
                  <w:tcPr>
                    <w:tcW w:w="402" w:type="pct"/>
                    <w:hideMark/>
                  </w:tcPr>
                  <w:p w14:paraId="34657C91" w14:textId="77777777" w:rsidR="00157EBB" w:rsidRDefault="00157EBB">
                    <w:pPr>
                      <w:pStyle w:val="Bibliography"/>
                      <w:rPr>
                        <w:noProof/>
                      </w:rPr>
                    </w:pPr>
                    <w:r>
                      <w:rPr>
                        <w:noProof/>
                      </w:rPr>
                      <w:t xml:space="preserve">[19] </w:t>
                    </w:r>
                  </w:p>
                </w:tc>
                <w:tc>
                  <w:tcPr>
                    <w:tcW w:w="4509" w:type="pct"/>
                    <w:hideMark/>
                  </w:tcPr>
                  <w:p w14:paraId="34689221" w14:textId="77777777" w:rsidR="00157EBB" w:rsidRDefault="00157EBB">
                    <w:pPr>
                      <w:pStyle w:val="Bibliography"/>
                      <w:rPr>
                        <w:noProof/>
                      </w:rPr>
                    </w:pPr>
                    <w:r>
                      <w:rPr>
                        <w:noProof/>
                      </w:rPr>
                      <w:t>E. G. Cazalet, "Automated Transactive Energy (TeMIX)," 2011. [Online]. Available: http://www.gridwiseac.org/pdfs/forum_papers11/cazalet_paper_gi11.pdf. [Accessed 26 February 2016].</w:t>
                    </w:r>
                  </w:p>
                </w:tc>
              </w:tr>
            </w:tbl>
            <w:p w14:paraId="5C289D81" w14:textId="77777777" w:rsidR="00157EBB" w:rsidRDefault="00157EBB">
              <w:pPr>
                <w:divId w:val="826289408"/>
                <w:rPr>
                  <w:noProof/>
                </w:rPr>
              </w:pPr>
            </w:p>
            <w:p w14:paraId="1D2F5740" w14:textId="77777777" w:rsidR="004A2200" w:rsidRDefault="00313918"/>
          </w:sdtContent>
        </w:sdt>
      </w:sdtContent>
    </w:sdt>
    <w:p w14:paraId="3C32EF9E" w14:textId="77777777" w:rsidR="009A2F89" w:rsidRDefault="009A2F89" w:rsidP="009A2F89">
      <w:pPr>
        <w:pStyle w:val="Heading1"/>
        <w:numPr>
          <w:ilvl w:val="0"/>
          <w:numId w:val="0"/>
        </w:numPr>
      </w:pPr>
      <w:r>
        <w:t>Biographies</w:t>
      </w:r>
    </w:p>
    <w:p w14:paraId="091F512D" w14:textId="77777777" w:rsidR="009A2F89" w:rsidRDefault="009A2F89" w:rsidP="009A2F89">
      <w:pPr>
        <w:pStyle w:val="Text"/>
        <w:ind w:firstLine="0"/>
        <w:rPr>
          <w:b/>
        </w:rPr>
      </w:pPr>
    </w:p>
    <w:p w14:paraId="1179D77C" w14:textId="77777777" w:rsidR="009A2F89" w:rsidRDefault="009A2F89" w:rsidP="009A2F89">
      <w:pPr>
        <w:pStyle w:val="Text"/>
        <w:ind w:firstLine="0"/>
      </w:pPr>
      <w:r>
        <w:rPr>
          <w:b/>
        </w:rPr>
        <w:t>William Cox</w:t>
      </w:r>
      <w:r>
        <w:t xml:space="preserve"> is a leader in commercial and open source software definition, specification, design, and development. He is co-chair of the OASIS Energy Interoperation and Energy Market Information Exchange Technical Committees, past Chair of the OASIS Technical Advisory Board, and a member of the WS-Calendar and oBIX Technical Committees. He leads work on UML and other models for schedule, demand response, transactive energy and interoperation. He participates in related IEC standards work.</w:t>
      </w:r>
    </w:p>
    <w:p w14:paraId="0A4C6300" w14:textId="77777777" w:rsidR="009A2F89" w:rsidRDefault="009A2F89" w:rsidP="009A2F89">
      <w:pPr>
        <w:pStyle w:val="Text"/>
      </w:pPr>
      <w:r>
        <w:t>As part of the national smart grid activities since 2008, he contributed architecture and interoperation to national reports and led key priority action plans in the SGIP.</w:t>
      </w:r>
    </w:p>
    <w:p w14:paraId="2F7EBE42" w14:textId="77777777" w:rsidR="009A2F89" w:rsidRDefault="009A2F89" w:rsidP="009A2F89">
      <w:pPr>
        <w:pStyle w:val="Text"/>
      </w:pPr>
      <w:r>
        <w:t xml:space="preserve">He has developed enterprise product architectures for Bell Labs, Unix System Labs, Novell, and BEA, and has done related standards work in OASIS, the Java Community Process, Object Management Group, and IEEE. </w:t>
      </w:r>
    </w:p>
    <w:p w14:paraId="2C55B9DA" w14:textId="77777777" w:rsidR="009A2F89" w:rsidRDefault="009A2F89" w:rsidP="009A2F89">
      <w:pPr>
        <w:pStyle w:val="Text"/>
      </w:pPr>
      <w:r>
        <w:t>He earned a Ph.D. and M.S. in Computer Sciences (minor in Electrical and Computer Engineering) from the University of Wisconsin-Madison.</w:t>
      </w:r>
    </w:p>
    <w:p w14:paraId="6FC7ABCC" w14:textId="77777777" w:rsidR="009A2F89" w:rsidRDefault="009A2F89" w:rsidP="009A2F89">
      <w:pPr>
        <w:pStyle w:val="Text"/>
      </w:pPr>
      <w:r>
        <w:t xml:space="preserve">He is Chief Technology Officer of </w:t>
      </w:r>
      <w:hyperlink r:id="rId9" w:history="1">
        <w:r>
          <w:rPr>
            <w:rStyle w:val="Hyperlink"/>
          </w:rPr>
          <w:t>The Energy Mashup Lab, Inc</w:t>
        </w:r>
      </w:hyperlink>
      <w:r>
        <w:t xml:space="preserve">), an open source transactive energy foundation, and Principal of </w:t>
      </w:r>
      <w:hyperlink r:id="rId10" w:history="1">
        <w:r>
          <w:rPr>
            <w:rStyle w:val="Hyperlink"/>
          </w:rPr>
          <w:t>Cox Software Architects LLC</w:t>
        </w:r>
      </w:hyperlink>
      <w:r>
        <w:t>, a consulting software architecture firm.</w:t>
      </w:r>
    </w:p>
    <w:p w14:paraId="5A169583" w14:textId="77777777" w:rsidR="009A2F89" w:rsidRDefault="009A2F89" w:rsidP="009A2F89"/>
    <w:p w14:paraId="7B4E1C7B" w14:textId="77777777" w:rsidR="00E44731" w:rsidRPr="00E44731" w:rsidRDefault="00E44731" w:rsidP="00D56420">
      <w:pPr>
        <w:pStyle w:val="Text"/>
        <w:ind w:firstLine="0"/>
      </w:pPr>
      <w:r w:rsidRPr="00D56420">
        <w:rPr>
          <w:b/>
        </w:rPr>
        <w:t>William Miller</w:t>
      </w:r>
      <w:r w:rsidRPr="00E44731">
        <w:t xml:space="preserve"> is President of Maximum Control Technologies (</w:t>
      </w:r>
      <w:proofErr w:type="spellStart"/>
      <w:r w:rsidRPr="00E44731">
        <w:t>MaCT</w:t>
      </w:r>
      <w:proofErr w:type="spellEnd"/>
      <w:r w:rsidRPr="00E44731">
        <w:t>), a MILLER W J &amp; ASSOCIATES Company with offices in the United States and Canada.</w:t>
      </w:r>
    </w:p>
    <w:p w14:paraId="7EA79616" w14:textId="77777777" w:rsidR="00E44731" w:rsidRPr="00E44731" w:rsidRDefault="00E44731" w:rsidP="00D56420">
      <w:pPr>
        <w:pStyle w:val="Text"/>
      </w:pPr>
      <w:r w:rsidRPr="00E44731">
        <w:t>Education: Pennsylvania State University, Electrical Engineering and Telecommunications with over 35 years of experience in systems integration and design of process control systems for power, pulp &amp; paper, chemical, and cement industries.</w:t>
      </w:r>
    </w:p>
    <w:p w14:paraId="7C34C479" w14:textId="1B541641" w:rsidR="00E44731" w:rsidRPr="00E44731" w:rsidRDefault="00E44731" w:rsidP="001E34AA">
      <w:pPr>
        <w:pStyle w:val="Text"/>
      </w:pPr>
      <w:r w:rsidRPr="00E44731">
        <w:t>Standards Associations:</w:t>
      </w:r>
      <w:r w:rsidR="00D56420">
        <w:t xml:space="preserve"> </w:t>
      </w:r>
      <w:r w:rsidRPr="00E44731">
        <w:t>ISA-99 Industrial Automation &amp; Control Systems WG, Member</w:t>
      </w:r>
      <w:r w:rsidR="00D56420">
        <w:t>; I</w:t>
      </w:r>
      <w:r w:rsidRPr="00E44731">
        <w:t>SA100.20 Common Network Management WG, Co-Chair</w:t>
      </w:r>
      <w:r w:rsidR="00D56420">
        <w:t xml:space="preserve">; </w:t>
      </w:r>
      <w:r w:rsidRPr="00E44731">
        <w:t>IEEE P2030 TF3 WG2 Interoperability of the Smart Grid Use Cases, Chairman</w:t>
      </w:r>
      <w:r w:rsidR="001E34AA">
        <w:t xml:space="preserve">; </w:t>
      </w:r>
      <w:r w:rsidRPr="00E44731">
        <w:t>ISO/IEC/IEEE P21451-1-4 (Sensei-IoT*) WG, Chairman</w:t>
      </w:r>
      <w:r w:rsidR="001E34AA">
        <w:t>.</w:t>
      </w:r>
    </w:p>
    <w:p w14:paraId="7796D2C3" w14:textId="509634B0" w:rsidR="00E44731" w:rsidRPr="00E44731" w:rsidRDefault="00E44731" w:rsidP="003067FF">
      <w:pPr>
        <w:pStyle w:val="Text"/>
      </w:pPr>
      <w:r w:rsidRPr="00E44731">
        <w:t>NIST Working groups:</w:t>
      </w:r>
      <w:r w:rsidR="001E34AA">
        <w:t xml:space="preserve"> </w:t>
      </w:r>
      <w:r w:rsidRPr="00E44731">
        <w:t xml:space="preserve">CPS WG </w:t>
      </w:r>
      <w:r w:rsidR="001E34AA">
        <w:t>–</w:t>
      </w:r>
      <w:r w:rsidRPr="00E44731">
        <w:t xml:space="preserve"> Interoperability</w:t>
      </w:r>
      <w:r w:rsidR="001E34AA">
        <w:t xml:space="preserve">; </w:t>
      </w:r>
      <w:r w:rsidRPr="00E44731">
        <w:t>CPS WG - Time Synchronization</w:t>
      </w:r>
      <w:r w:rsidR="001E34AA">
        <w:t xml:space="preserve">; </w:t>
      </w:r>
      <w:r w:rsidRPr="00E44731">
        <w:t>Big Data WG</w:t>
      </w:r>
      <w:r w:rsidR="001E34AA">
        <w:t xml:space="preserve">; </w:t>
      </w:r>
      <w:r w:rsidRPr="00E44731">
        <w:t>Data Forensics WG</w:t>
      </w:r>
      <w:r w:rsidR="001E34AA">
        <w:t xml:space="preserve">; </w:t>
      </w:r>
      <w:r w:rsidRPr="00E44731">
        <w:t>Data Analytics WG</w:t>
      </w:r>
      <w:r w:rsidR="001E34AA">
        <w:t xml:space="preserve">; Community Resiliency Pane; </w:t>
      </w:r>
      <w:r w:rsidRPr="00E44731">
        <w:t>IoT-Enabled Smart City Framework WG</w:t>
      </w:r>
      <w:r w:rsidR="003067FF">
        <w:t xml:space="preserve">. </w:t>
      </w:r>
      <w:r w:rsidRPr="00E44731">
        <w:t xml:space="preserve">SGIP </w:t>
      </w:r>
      <w:proofErr w:type="spellStart"/>
      <w:r w:rsidRPr="00E44731">
        <w:t>CyberSecurity</w:t>
      </w:r>
      <w:proofErr w:type="spellEnd"/>
      <w:r w:rsidRPr="00E44731">
        <w:t xml:space="preserve"> and Uses Cases Task Force</w:t>
      </w:r>
      <w:r w:rsidR="003067FF">
        <w:t>s.</w:t>
      </w:r>
    </w:p>
    <w:p w14:paraId="2A10C9BC" w14:textId="77777777" w:rsidR="00E44731" w:rsidRDefault="00E44731" w:rsidP="009A2F89"/>
    <w:p w14:paraId="2F72ABB7" w14:textId="77777777" w:rsidR="009A2F89" w:rsidRPr="00D56420" w:rsidRDefault="009A2F89" w:rsidP="009A2F89">
      <w:pPr>
        <w:rPr>
          <w:b/>
          <w:i/>
          <w:highlight w:val="yellow"/>
        </w:rPr>
      </w:pPr>
      <w:r w:rsidRPr="00D56420">
        <w:rPr>
          <w:b/>
          <w:i/>
          <w:highlight w:val="yellow"/>
        </w:rPr>
        <w:t>PENDING BIOS FROM</w:t>
      </w:r>
    </w:p>
    <w:p w14:paraId="707CF6EF" w14:textId="629B99F2" w:rsidR="009A2F89" w:rsidRPr="00D56420" w:rsidRDefault="009A2F89" w:rsidP="009A2F89">
      <w:pPr>
        <w:rPr>
          <w:highlight w:val="yellow"/>
        </w:rPr>
      </w:pPr>
      <w:r w:rsidRPr="00D56420">
        <w:rPr>
          <w:highlight w:val="yellow"/>
        </w:rPr>
        <w:t xml:space="preserve">Alexander Krstulovic (Alliander), </w:t>
      </w:r>
    </w:p>
    <w:p w14:paraId="051A231E" w14:textId="77777777" w:rsidR="009A2F89" w:rsidRDefault="009A2F89" w:rsidP="009A2F89">
      <w:r w:rsidRPr="00D56420">
        <w:rPr>
          <w:highlight w:val="yellow"/>
        </w:rPr>
        <w:lastRenderedPageBreak/>
        <w:t>Wilco Wijbrandi (TNO)</w:t>
      </w:r>
    </w:p>
    <w:p w14:paraId="56C1E5C7" w14:textId="77777777" w:rsidR="00FB72A1" w:rsidRPr="00FB72A1" w:rsidRDefault="00FB72A1" w:rsidP="004A2200">
      <w:pPr>
        <w:pStyle w:val="Abstract"/>
      </w:pPr>
    </w:p>
    <w:sectPr w:rsidR="00FB72A1" w:rsidRPr="00FB72A1" w:rsidSect="00143F2E">
      <w:headerReference w:type="default" r:id="rId11"/>
      <w:footerReference w:type="default" r:id="rId12"/>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56F760" w14:textId="77777777" w:rsidR="001E34AA" w:rsidRDefault="001E34AA">
      <w:r>
        <w:separator/>
      </w:r>
    </w:p>
  </w:endnote>
  <w:endnote w:type="continuationSeparator" w:id="0">
    <w:p w14:paraId="4BEC85F9" w14:textId="77777777" w:rsidR="001E34AA" w:rsidRDefault="001E3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Baskerville">
    <w:panose1 w:val="02020502070401020303"/>
    <w:charset w:val="00"/>
    <w:family w:val="auto"/>
    <w:pitch w:val="variable"/>
    <w:sig w:usb0="80000067" w:usb1="00000000" w:usb2="00000000" w:usb3="00000000" w:csb0="000001F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MS Mincho">
    <w:charset w:val="80"/>
    <w:family w:val="auto"/>
    <w:pitch w:val="variable"/>
    <w:sig w:usb0="E00002FF" w:usb1="6AC7FDFB" w:usb2="08000012" w:usb3="00000000" w:csb0="0002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69D3F" w14:textId="77777777" w:rsidR="001E34AA" w:rsidRDefault="001E34AA">
    <w:pPr>
      <w:pStyle w:val="Footer"/>
    </w:pPr>
    <w:r w:rsidRPr="009A5988">
      <w:t>C</w:t>
    </w:r>
    <w:r>
      <w:t xml:space="preserve">ommon Transactive Services </w:t>
    </w:r>
    <w:r>
      <w:tab/>
    </w:r>
    <w:r>
      <w:rPr>
        <w:rStyle w:val="PageNumber"/>
      </w:rPr>
      <w:fldChar w:fldCharType="begin"/>
    </w:r>
    <w:r>
      <w:rPr>
        <w:rStyle w:val="PageNumber"/>
      </w:rPr>
      <w:instrText xml:space="preserve"> PAGE </w:instrText>
    </w:r>
    <w:r>
      <w:rPr>
        <w:rStyle w:val="PageNumber"/>
      </w:rPr>
      <w:fldChar w:fldCharType="separate"/>
    </w:r>
    <w:r w:rsidR="00AD28E3">
      <w:rPr>
        <w:rStyle w:val="PageNumber"/>
        <w:noProof/>
      </w:rPr>
      <w:t>1</w:t>
    </w:r>
    <w:r>
      <w:rPr>
        <w:rStyle w:val="PageNumber"/>
      </w:rPr>
      <w:fldChar w:fldCharType="end"/>
    </w:r>
    <w:r>
      <w:tab/>
      <w:t>Transactive Energy Systems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98DFC1" w14:textId="77777777" w:rsidR="001E34AA" w:rsidRDefault="001E34AA"/>
  </w:footnote>
  <w:footnote w:type="continuationSeparator" w:id="0">
    <w:p w14:paraId="421AC0BE" w14:textId="77777777" w:rsidR="001E34AA" w:rsidRDefault="001E34AA">
      <w:r>
        <w:continuationSeparator/>
      </w:r>
    </w:p>
  </w:footnote>
  <w:footnote w:id="1">
    <w:p w14:paraId="70793205" w14:textId="77777777" w:rsidR="001E34AA" w:rsidRDefault="001E34AA">
      <w:pPr>
        <w:pStyle w:val="FootnoteText"/>
      </w:pPr>
    </w:p>
  </w:footnote>
  <w:footnote w:id="2">
    <w:p w14:paraId="0ED2A842" w14:textId="77777777" w:rsidR="001E34AA" w:rsidRPr="009209A8" w:rsidRDefault="001E34AA" w:rsidP="004A2200">
      <w:pPr>
        <w:pStyle w:val="FootnoteText"/>
        <w:rPr>
          <w:sz w:val="20"/>
          <w:szCs w:val="20"/>
        </w:rPr>
      </w:pPr>
      <w:r w:rsidRPr="009209A8">
        <w:rPr>
          <w:rStyle w:val="FootnoteReference"/>
          <w:sz w:val="20"/>
          <w:szCs w:val="20"/>
        </w:rPr>
        <w:footnoteRef/>
      </w:r>
      <w:r w:rsidRPr="009209A8">
        <w:rPr>
          <w:sz w:val="20"/>
          <w:szCs w:val="20"/>
        </w:rPr>
        <w:t xml:space="preserve"> This is different from </w:t>
      </w:r>
      <w:r w:rsidRPr="009209A8">
        <w:rPr>
          <w:i/>
          <w:sz w:val="20"/>
          <w:szCs w:val="20"/>
        </w:rPr>
        <w:t>market clearing</w:t>
      </w:r>
      <w:r w:rsidRPr="009209A8">
        <w:rPr>
          <w:sz w:val="20"/>
          <w:szCs w:val="20"/>
        </w:rPr>
        <w:t xml:space="preserve"> which is a function internal to a market.</w:t>
      </w:r>
    </w:p>
  </w:footnote>
  <w:footnote w:id="3">
    <w:p w14:paraId="428DAD3D" w14:textId="77777777" w:rsidR="001E34AA" w:rsidRPr="009209A8" w:rsidRDefault="001E34AA" w:rsidP="004A2200">
      <w:pPr>
        <w:pStyle w:val="FootnoteText"/>
        <w:rPr>
          <w:sz w:val="20"/>
          <w:szCs w:val="20"/>
        </w:rPr>
      </w:pPr>
      <w:r w:rsidRPr="009209A8">
        <w:rPr>
          <w:rStyle w:val="FootnoteReference"/>
          <w:sz w:val="20"/>
          <w:szCs w:val="20"/>
        </w:rPr>
        <w:footnoteRef/>
      </w:r>
      <w:r w:rsidRPr="009209A8">
        <w:rPr>
          <w:sz w:val="20"/>
          <w:szCs w:val="20"/>
        </w:rPr>
        <w:t xml:space="preserve"> If the measured delivery does not match the contracted (transacted) total quantity then a balancing transaction will be necessary.</w:t>
      </w:r>
    </w:p>
  </w:footnote>
  <w:footnote w:id="4">
    <w:p w14:paraId="503BDF04" w14:textId="77777777" w:rsidR="001E34AA" w:rsidRDefault="001E34AA" w:rsidP="004A2200">
      <w:pPr>
        <w:pStyle w:val="FootnoteText"/>
      </w:pPr>
      <w:r w:rsidRPr="009209A8">
        <w:rPr>
          <w:rStyle w:val="FootnoteReference"/>
          <w:sz w:val="20"/>
          <w:szCs w:val="20"/>
        </w:rPr>
        <w:footnoteRef/>
      </w:r>
      <w:r w:rsidRPr="009209A8">
        <w:rPr>
          <w:sz w:val="20"/>
          <w:szCs w:val="20"/>
        </w:rPr>
        <w:t xml:space="preserve"> For example, a grid operator must maintain grid stability; a building owner must meet requirements of their buildings’ business functions while minimizing expense; cost of energy is one input to both parties’ objectives.</w:t>
      </w:r>
    </w:p>
  </w:footnote>
  <w:footnote w:id="5">
    <w:p w14:paraId="23E77ED6" w14:textId="77777777" w:rsidR="001E34AA" w:rsidRPr="009209A8" w:rsidRDefault="001E34AA" w:rsidP="004A2200">
      <w:pPr>
        <w:pStyle w:val="FootnoteText"/>
        <w:rPr>
          <w:sz w:val="20"/>
          <w:szCs w:val="20"/>
        </w:rPr>
      </w:pPr>
      <w:r w:rsidRPr="009209A8">
        <w:rPr>
          <w:rStyle w:val="FootnoteReference"/>
          <w:sz w:val="20"/>
          <w:szCs w:val="20"/>
        </w:rPr>
        <w:footnoteRef/>
      </w:r>
      <w:r w:rsidRPr="009209A8">
        <w:rPr>
          <w:sz w:val="20"/>
          <w:szCs w:val="20"/>
        </w:rPr>
        <w:t xml:space="preserve"> A project in the AllSeen Alliance (Linux Foundation Internet of Things) led by The Energy Mashup Lab uses the Common Transactive Services for managing resources; appliance manufacturers are involved.</w:t>
      </w:r>
    </w:p>
  </w:footnote>
  <w:footnote w:id="6">
    <w:p w14:paraId="02F99E2E" w14:textId="77777777" w:rsidR="001E34AA" w:rsidRPr="009209A8" w:rsidRDefault="001E34AA" w:rsidP="004A2200">
      <w:pPr>
        <w:pStyle w:val="FootnoteText"/>
        <w:rPr>
          <w:sz w:val="20"/>
          <w:szCs w:val="20"/>
        </w:rPr>
      </w:pPr>
      <w:r w:rsidRPr="009209A8">
        <w:rPr>
          <w:rStyle w:val="FootnoteReference"/>
          <w:sz w:val="20"/>
          <w:szCs w:val="20"/>
        </w:rPr>
        <w:footnoteRef/>
      </w:r>
      <w:r w:rsidRPr="009209A8">
        <w:rPr>
          <w:sz w:val="20"/>
          <w:szCs w:val="20"/>
        </w:rPr>
        <w:t xml:space="preserve"> EMIX </w:t>
      </w:r>
      <w:sdt>
        <w:sdtPr>
          <w:rPr>
            <w:sz w:val="20"/>
            <w:szCs w:val="20"/>
          </w:rPr>
          <w:id w:val="529769610"/>
          <w:citation/>
        </w:sdtPr>
        <w:sdtContent>
          <w:r w:rsidRPr="009209A8">
            <w:rPr>
              <w:sz w:val="20"/>
              <w:szCs w:val="20"/>
            </w:rPr>
            <w:fldChar w:fldCharType="begin"/>
          </w:r>
          <w:r w:rsidRPr="009209A8">
            <w:rPr>
              <w:sz w:val="20"/>
              <w:szCs w:val="20"/>
            </w:rPr>
            <w:instrText xml:space="preserve">CITATION OAS12 \l 1033 </w:instrText>
          </w:r>
          <w:r w:rsidRPr="009209A8">
            <w:rPr>
              <w:sz w:val="20"/>
              <w:szCs w:val="20"/>
            </w:rPr>
            <w:fldChar w:fldCharType="separate"/>
          </w:r>
          <w:r w:rsidRPr="006D47C2">
            <w:rPr>
              <w:noProof/>
              <w:sz w:val="20"/>
              <w:szCs w:val="20"/>
            </w:rPr>
            <w:t>[</w:t>
          </w:r>
          <w:hyperlink w:anchor="OAS12" w:history="1">
            <w:r w:rsidRPr="006D47C2">
              <w:rPr>
                <w:rStyle w:val="Authors"/>
                <w:noProof/>
                <w:sz w:val="20"/>
                <w:szCs w:val="20"/>
              </w:rPr>
              <w:t>16</w:t>
            </w:r>
          </w:hyperlink>
          <w:r w:rsidRPr="006D47C2">
            <w:rPr>
              <w:noProof/>
              <w:sz w:val="20"/>
              <w:szCs w:val="20"/>
            </w:rPr>
            <w:t>]</w:t>
          </w:r>
          <w:r w:rsidRPr="009209A8">
            <w:rPr>
              <w:sz w:val="20"/>
              <w:szCs w:val="20"/>
            </w:rPr>
            <w:fldChar w:fldCharType="end"/>
          </w:r>
        </w:sdtContent>
      </w:sdt>
      <w:r w:rsidRPr="009209A8">
        <w:rPr>
          <w:sz w:val="20"/>
          <w:szCs w:val="20"/>
        </w:rPr>
        <w:t>, page 57</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A6A07" w14:textId="77777777" w:rsidR="001E34AA" w:rsidRDefault="001E34AA">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F48B8CC"/>
    <w:lvl w:ilvl="0">
      <w:start w:val="1"/>
      <w:numFmt w:val="upperRoman"/>
      <w:pStyle w:val="Heading1"/>
      <w:lvlText w:val="%1."/>
      <w:lvlJc w:val="right"/>
      <w:pPr>
        <w:ind w:left="720" w:hanging="360"/>
      </w:pPr>
      <w:rPr>
        <w:rFonts w:hint="default"/>
      </w:rPr>
    </w:lvl>
    <w:lvl w:ilvl="1">
      <w:start w:val="1"/>
      <w:numFmt w:val="upperLetter"/>
      <w:pStyle w:val="Heading2"/>
      <w:lvlText w:val="%2."/>
      <w:lvlJc w:val="left"/>
      <w:pPr>
        <w:ind w:left="0" w:firstLine="0"/>
      </w:pPr>
      <w:rPr>
        <w:rFonts w:hint="default"/>
        <w:b w:val="0"/>
      </w:rPr>
    </w:lvl>
    <w:lvl w:ilvl="2">
      <w:start w:val="1"/>
      <w:numFmt w:val="decimal"/>
      <w:pStyle w:val="Heading3"/>
      <w:lvlText w:val="%3)"/>
      <w:lvlJc w:val="left"/>
      <w:pPr>
        <w:ind w:left="0" w:firstLine="0"/>
      </w:pPr>
      <w:rPr>
        <w:rFonts w:hint="default"/>
        <w:i/>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6BB6E39"/>
    <w:multiLevelType w:val="hybridMultilevel"/>
    <w:tmpl w:val="B3EA89F0"/>
    <w:lvl w:ilvl="0" w:tplc="038086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A61CB7"/>
    <w:multiLevelType w:val="hybridMultilevel"/>
    <w:tmpl w:val="7FB83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B14E17"/>
    <w:multiLevelType w:val="hybridMultilevel"/>
    <w:tmpl w:val="18D2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B727EC"/>
    <w:multiLevelType w:val="multilevel"/>
    <w:tmpl w:val="88744A2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2EF0635A"/>
    <w:multiLevelType w:val="hybridMultilevel"/>
    <w:tmpl w:val="85D0F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2D3D2D"/>
    <w:multiLevelType w:val="hybridMultilevel"/>
    <w:tmpl w:val="73D2A264"/>
    <w:lvl w:ilvl="0" w:tplc="038086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65A3719C"/>
    <w:multiLevelType w:val="hybridMultilevel"/>
    <w:tmpl w:val="1C6A97CE"/>
    <w:lvl w:ilvl="0" w:tplc="038086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4D6154"/>
    <w:multiLevelType w:val="hybridMultilevel"/>
    <w:tmpl w:val="208E57E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901818"/>
    <w:multiLevelType w:val="hybridMultilevel"/>
    <w:tmpl w:val="22464304"/>
    <w:lvl w:ilvl="0" w:tplc="038086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6"/>
  </w:num>
  <w:num w:numId="4">
    <w:abstractNumId w:val="4"/>
  </w:num>
  <w:num w:numId="5">
    <w:abstractNumId w:val="7"/>
  </w:num>
  <w:num w:numId="6">
    <w:abstractNumId w:val="11"/>
  </w:num>
  <w:num w:numId="7">
    <w:abstractNumId w:val="10"/>
  </w:num>
  <w:num w:numId="8">
    <w:abstractNumId w:val="3"/>
  </w:num>
  <w:num w:numId="9">
    <w:abstractNumId w:val="8"/>
  </w:num>
  <w:num w:numId="10">
    <w:abstractNumId w:val="12"/>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
  </w:num>
  <w:num w:numId="14">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200"/>
    <w:rsid w:val="0000070A"/>
    <w:rsid w:val="00006284"/>
    <w:rsid w:val="0002061C"/>
    <w:rsid w:val="00021CE1"/>
    <w:rsid w:val="00031F6E"/>
    <w:rsid w:val="00034631"/>
    <w:rsid w:val="00042E13"/>
    <w:rsid w:val="000473E9"/>
    <w:rsid w:val="00064094"/>
    <w:rsid w:val="000678B5"/>
    <w:rsid w:val="00067D27"/>
    <w:rsid w:val="00077876"/>
    <w:rsid w:val="00077FBA"/>
    <w:rsid w:val="00082A89"/>
    <w:rsid w:val="00097763"/>
    <w:rsid w:val="000A168B"/>
    <w:rsid w:val="000B4068"/>
    <w:rsid w:val="000C1516"/>
    <w:rsid w:val="000C5BE9"/>
    <w:rsid w:val="000C6629"/>
    <w:rsid w:val="000C702A"/>
    <w:rsid w:val="000D2BDE"/>
    <w:rsid w:val="000D6B5B"/>
    <w:rsid w:val="000D7CFE"/>
    <w:rsid w:val="000F136B"/>
    <w:rsid w:val="000F442C"/>
    <w:rsid w:val="00104BB0"/>
    <w:rsid w:val="00106CC7"/>
    <w:rsid w:val="0010794E"/>
    <w:rsid w:val="0012481F"/>
    <w:rsid w:val="00130B4E"/>
    <w:rsid w:val="001334B2"/>
    <w:rsid w:val="0013354F"/>
    <w:rsid w:val="00137B21"/>
    <w:rsid w:val="001427D2"/>
    <w:rsid w:val="00143F2E"/>
    <w:rsid w:val="00144E72"/>
    <w:rsid w:val="001450A3"/>
    <w:rsid w:val="00155B77"/>
    <w:rsid w:val="00157EBB"/>
    <w:rsid w:val="00161037"/>
    <w:rsid w:val="00164BC0"/>
    <w:rsid w:val="001730A4"/>
    <w:rsid w:val="001768FF"/>
    <w:rsid w:val="00180238"/>
    <w:rsid w:val="0018255E"/>
    <w:rsid w:val="00187C4D"/>
    <w:rsid w:val="001944D0"/>
    <w:rsid w:val="001A2EFE"/>
    <w:rsid w:val="001A60B1"/>
    <w:rsid w:val="001B36B1"/>
    <w:rsid w:val="001C5FC0"/>
    <w:rsid w:val="001D52DF"/>
    <w:rsid w:val="001D5513"/>
    <w:rsid w:val="001E2A38"/>
    <w:rsid w:val="001E34AA"/>
    <w:rsid w:val="001E7B7A"/>
    <w:rsid w:val="001F2EAB"/>
    <w:rsid w:val="001F3FEB"/>
    <w:rsid w:val="001F4C5C"/>
    <w:rsid w:val="00204478"/>
    <w:rsid w:val="0020783D"/>
    <w:rsid w:val="00213157"/>
    <w:rsid w:val="00214E2E"/>
    <w:rsid w:val="00216141"/>
    <w:rsid w:val="00217186"/>
    <w:rsid w:val="00224DAB"/>
    <w:rsid w:val="00226442"/>
    <w:rsid w:val="00236594"/>
    <w:rsid w:val="00236F1D"/>
    <w:rsid w:val="002434A1"/>
    <w:rsid w:val="00254D6F"/>
    <w:rsid w:val="00261FF0"/>
    <w:rsid w:val="00263943"/>
    <w:rsid w:val="00267B35"/>
    <w:rsid w:val="00276394"/>
    <w:rsid w:val="00291D41"/>
    <w:rsid w:val="002A1CC0"/>
    <w:rsid w:val="002A2E4E"/>
    <w:rsid w:val="002A7D3A"/>
    <w:rsid w:val="002B454D"/>
    <w:rsid w:val="002B5E10"/>
    <w:rsid w:val="002D1A7F"/>
    <w:rsid w:val="002D556C"/>
    <w:rsid w:val="002E236B"/>
    <w:rsid w:val="002E4549"/>
    <w:rsid w:val="002E6FAE"/>
    <w:rsid w:val="002E7F69"/>
    <w:rsid w:val="002F438C"/>
    <w:rsid w:val="002F7910"/>
    <w:rsid w:val="003067FF"/>
    <w:rsid w:val="00313918"/>
    <w:rsid w:val="003255E3"/>
    <w:rsid w:val="00326149"/>
    <w:rsid w:val="003427CE"/>
    <w:rsid w:val="003531C8"/>
    <w:rsid w:val="003556D7"/>
    <w:rsid w:val="00360269"/>
    <w:rsid w:val="00360B46"/>
    <w:rsid w:val="00365756"/>
    <w:rsid w:val="00371EC0"/>
    <w:rsid w:val="0037551B"/>
    <w:rsid w:val="00382350"/>
    <w:rsid w:val="00384504"/>
    <w:rsid w:val="00384FDA"/>
    <w:rsid w:val="00392DBA"/>
    <w:rsid w:val="003A0F32"/>
    <w:rsid w:val="003B5E4A"/>
    <w:rsid w:val="003C0D40"/>
    <w:rsid w:val="003C3322"/>
    <w:rsid w:val="003C54FD"/>
    <w:rsid w:val="003C68C2"/>
    <w:rsid w:val="003C74B3"/>
    <w:rsid w:val="003D0421"/>
    <w:rsid w:val="003D2ED4"/>
    <w:rsid w:val="003D3FFF"/>
    <w:rsid w:val="003D4CAE"/>
    <w:rsid w:val="003E461B"/>
    <w:rsid w:val="003F26BD"/>
    <w:rsid w:val="003F52AD"/>
    <w:rsid w:val="003F7748"/>
    <w:rsid w:val="003F7FE7"/>
    <w:rsid w:val="004066B2"/>
    <w:rsid w:val="00413098"/>
    <w:rsid w:val="0043144F"/>
    <w:rsid w:val="00431BFA"/>
    <w:rsid w:val="0043494B"/>
    <w:rsid w:val="004353CF"/>
    <w:rsid w:val="0044071B"/>
    <w:rsid w:val="00444DC8"/>
    <w:rsid w:val="00446B37"/>
    <w:rsid w:val="0045530F"/>
    <w:rsid w:val="0046024E"/>
    <w:rsid w:val="004631BC"/>
    <w:rsid w:val="00474A9D"/>
    <w:rsid w:val="00484761"/>
    <w:rsid w:val="00484DD5"/>
    <w:rsid w:val="004854AE"/>
    <w:rsid w:val="00493841"/>
    <w:rsid w:val="00493E62"/>
    <w:rsid w:val="004A2200"/>
    <w:rsid w:val="004A5671"/>
    <w:rsid w:val="004A6BB3"/>
    <w:rsid w:val="004C021B"/>
    <w:rsid w:val="004C1E16"/>
    <w:rsid w:val="004C2543"/>
    <w:rsid w:val="004C7F21"/>
    <w:rsid w:val="004D15CA"/>
    <w:rsid w:val="004E3E4C"/>
    <w:rsid w:val="004E7805"/>
    <w:rsid w:val="004F10E3"/>
    <w:rsid w:val="004F23A0"/>
    <w:rsid w:val="004F58F7"/>
    <w:rsid w:val="005003E3"/>
    <w:rsid w:val="005038F9"/>
    <w:rsid w:val="005052CD"/>
    <w:rsid w:val="00506879"/>
    <w:rsid w:val="005130AD"/>
    <w:rsid w:val="0052138B"/>
    <w:rsid w:val="00523A5F"/>
    <w:rsid w:val="005260BE"/>
    <w:rsid w:val="00531CCC"/>
    <w:rsid w:val="005321C5"/>
    <w:rsid w:val="00550A26"/>
    <w:rsid w:val="00550BF5"/>
    <w:rsid w:val="00565DCA"/>
    <w:rsid w:val="00567A70"/>
    <w:rsid w:val="00567E62"/>
    <w:rsid w:val="00584B6D"/>
    <w:rsid w:val="005868F9"/>
    <w:rsid w:val="00586A68"/>
    <w:rsid w:val="005A2A15"/>
    <w:rsid w:val="005A53FD"/>
    <w:rsid w:val="005C0FE9"/>
    <w:rsid w:val="005D1B15"/>
    <w:rsid w:val="005D2824"/>
    <w:rsid w:val="005D4F1A"/>
    <w:rsid w:val="005D72BB"/>
    <w:rsid w:val="005D780B"/>
    <w:rsid w:val="005E1607"/>
    <w:rsid w:val="005E692F"/>
    <w:rsid w:val="0062114B"/>
    <w:rsid w:val="00623698"/>
    <w:rsid w:val="00625E96"/>
    <w:rsid w:val="006277C2"/>
    <w:rsid w:val="0062789A"/>
    <w:rsid w:val="00641293"/>
    <w:rsid w:val="00647828"/>
    <w:rsid w:val="00647C09"/>
    <w:rsid w:val="00651F2C"/>
    <w:rsid w:val="00653579"/>
    <w:rsid w:val="00693D5D"/>
    <w:rsid w:val="006A7328"/>
    <w:rsid w:val="006B4B4A"/>
    <w:rsid w:val="006B7376"/>
    <w:rsid w:val="006B7997"/>
    <w:rsid w:val="006B7F03"/>
    <w:rsid w:val="006C07DD"/>
    <w:rsid w:val="006D064E"/>
    <w:rsid w:val="006D47C2"/>
    <w:rsid w:val="006D7A0C"/>
    <w:rsid w:val="006E0A00"/>
    <w:rsid w:val="006E719C"/>
    <w:rsid w:val="006F3E04"/>
    <w:rsid w:val="006F4C91"/>
    <w:rsid w:val="006F586A"/>
    <w:rsid w:val="006F642B"/>
    <w:rsid w:val="00700CD1"/>
    <w:rsid w:val="00724B28"/>
    <w:rsid w:val="00724FE7"/>
    <w:rsid w:val="00725B45"/>
    <w:rsid w:val="00752266"/>
    <w:rsid w:val="007541B1"/>
    <w:rsid w:val="00755749"/>
    <w:rsid w:val="00757CA3"/>
    <w:rsid w:val="00764392"/>
    <w:rsid w:val="007745E4"/>
    <w:rsid w:val="007A074B"/>
    <w:rsid w:val="007A6818"/>
    <w:rsid w:val="007B407E"/>
    <w:rsid w:val="007B57BC"/>
    <w:rsid w:val="007C2396"/>
    <w:rsid w:val="007C366B"/>
    <w:rsid w:val="007C4336"/>
    <w:rsid w:val="007C7426"/>
    <w:rsid w:val="007D0981"/>
    <w:rsid w:val="007D0E68"/>
    <w:rsid w:val="007D6A18"/>
    <w:rsid w:val="007D6A5A"/>
    <w:rsid w:val="007E14B7"/>
    <w:rsid w:val="007F778B"/>
    <w:rsid w:val="007F7AA6"/>
    <w:rsid w:val="00805DC7"/>
    <w:rsid w:val="0080606A"/>
    <w:rsid w:val="00814AA1"/>
    <w:rsid w:val="00817509"/>
    <w:rsid w:val="00823624"/>
    <w:rsid w:val="00827251"/>
    <w:rsid w:val="00837E47"/>
    <w:rsid w:val="00846849"/>
    <w:rsid w:val="008518FE"/>
    <w:rsid w:val="0085659C"/>
    <w:rsid w:val="00865E87"/>
    <w:rsid w:val="008704D2"/>
    <w:rsid w:val="00872026"/>
    <w:rsid w:val="00877658"/>
    <w:rsid w:val="0087792E"/>
    <w:rsid w:val="00883EAF"/>
    <w:rsid w:val="00885258"/>
    <w:rsid w:val="00887A0B"/>
    <w:rsid w:val="00890834"/>
    <w:rsid w:val="0089782E"/>
    <w:rsid w:val="008A30C3"/>
    <w:rsid w:val="008A3C23"/>
    <w:rsid w:val="008A4C7B"/>
    <w:rsid w:val="008B04DF"/>
    <w:rsid w:val="008B490D"/>
    <w:rsid w:val="008B5632"/>
    <w:rsid w:val="008C49CC"/>
    <w:rsid w:val="008D69E9"/>
    <w:rsid w:val="008E0645"/>
    <w:rsid w:val="008F594A"/>
    <w:rsid w:val="00904C7E"/>
    <w:rsid w:val="0091035B"/>
    <w:rsid w:val="00913834"/>
    <w:rsid w:val="009254D8"/>
    <w:rsid w:val="00926FDE"/>
    <w:rsid w:val="00942CED"/>
    <w:rsid w:val="00945441"/>
    <w:rsid w:val="009601B1"/>
    <w:rsid w:val="009607A1"/>
    <w:rsid w:val="009620D4"/>
    <w:rsid w:val="009725AD"/>
    <w:rsid w:val="00981B25"/>
    <w:rsid w:val="00984535"/>
    <w:rsid w:val="009A1F6E"/>
    <w:rsid w:val="009A22EB"/>
    <w:rsid w:val="009A2F89"/>
    <w:rsid w:val="009A5988"/>
    <w:rsid w:val="009B4885"/>
    <w:rsid w:val="009B4B73"/>
    <w:rsid w:val="009B53F6"/>
    <w:rsid w:val="009C46CA"/>
    <w:rsid w:val="009C7D17"/>
    <w:rsid w:val="009E484E"/>
    <w:rsid w:val="009E58D8"/>
    <w:rsid w:val="009F06C9"/>
    <w:rsid w:val="009F13A7"/>
    <w:rsid w:val="009F40FB"/>
    <w:rsid w:val="009F534E"/>
    <w:rsid w:val="00A03AB4"/>
    <w:rsid w:val="00A0555B"/>
    <w:rsid w:val="00A1045E"/>
    <w:rsid w:val="00A22FCB"/>
    <w:rsid w:val="00A300DF"/>
    <w:rsid w:val="00A3529C"/>
    <w:rsid w:val="00A4176C"/>
    <w:rsid w:val="00A42ABB"/>
    <w:rsid w:val="00A44806"/>
    <w:rsid w:val="00A44C64"/>
    <w:rsid w:val="00A472F1"/>
    <w:rsid w:val="00A5237D"/>
    <w:rsid w:val="00A52455"/>
    <w:rsid w:val="00A524F3"/>
    <w:rsid w:val="00A54226"/>
    <w:rsid w:val="00A544CD"/>
    <w:rsid w:val="00A554A3"/>
    <w:rsid w:val="00A560C5"/>
    <w:rsid w:val="00A73AC4"/>
    <w:rsid w:val="00A758EA"/>
    <w:rsid w:val="00A76A38"/>
    <w:rsid w:val="00A812BB"/>
    <w:rsid w:val="00A95C50"/>
    <w:rsid w:val="00AA20C9"/>
    <w:rsid w:val="00AB4D41"/>
    <w:rsid w:val="00AB4EF0"/>
    <w:rsid w:val="00AB79A6"/>
    <w:rsid w:val="00AC4850"/>
    <w:rsid w:val="00AD28E3"/>
    <w:rsid w:val="00AD7393"/>
    <w:rsid w:val="00AF4111"/>
    <w:rsid w:val="00AF6C04"/>
    <w:rsid w:val="00AF764A"/>
    <w:rsid w:val="00B01391"/>
    <w:rsid w:val="00B104AA"/>
    <w:rsid w:val="00B27017"/>
    <w:rsid w:val="00B37F32"/>
    <w:rsid w:val="00B41F4A"/>
    <w:rsid w:val="00B47B59"/>
    <w:rsid w:val="00B5215F"/>
    <w:rsid w:val="00B53F81"/>
    <w:rsid w:val="00B56C2B"/>
    <w:rsid w:val="00B60C6A"/>
    <w:rsid w:val="00B65BD3"/>
    <w:rsid w:val="00B67CF0"/>
    <w:rsid w:val="00B70469"/>
    <w:rsid w:val="00B72027"/>
    <w:rsid w:val="00B7221D"/>
    <w:rsid w:val="00B7234A"/>
    <w:rsid w:val="00B72DD8"/>
    <w:rsid w:val="00B72E09"/>
    <w:rsid w:val="00B82145"/>
    <w:rsid w:val="00B8215A"/>
    <w:rsid w:val="00BB0254"/>
    <w:rsid w:val="00BC0122"/>
    <w:rsid w:val="00BC2694"/>
    <w:rsid w:val="00BC4257"/>
    <w:rsid w:val="00BD48FC"/>
    <w:rsid w:val="00BF0C69"/>
    <w:rsid w:val="00BF629B"/>
    <w:rsid w:val="00BF655C"/>
    <w:rsid w:val="00BF74CE"/>
    <w:rsid w:val="00C075EF"/>
    <w:rsid w:val="00C11E83"/>
    <w:rsid w:val="00C13C13"/>
    <w:rsid w:val="00C2378A"/>
    <w:rsid w:val="00C261A9"/>
    <w:rsid w:val="00C30145"/>
    <w:rsid w:val="00C3667F"/>
    <w:rsid w:val="00C378A1"/>
    <w:rsid w:val="00C40BDF"/>
    <w:rsid w:val="00C43B13"/>
    <w:rsid w:val="00C4446B"/>
    <w:rsid w:val="00C46040"/>
    <w:rsid w:val="00C54E45"/>
    <w:rsid w:val="00C60071"/>
    <w:rsid w:val="00C621D6"/>
    <w:rsid w:val="00C66D06"/>
    <w:rsid w:val="00C81035"/>
    <w:rsid w:val="00C82D86"/>
    <w:rsid w:val="00C8409B"/>
    <w:rsid w:val="00C94412"/>
    <w:rsid w:val="00CA5DDF"/>
    <w:rsid w:val="00CB0AB9"/>
    <w:rsid w:val="00CB2F20"/>
    <w:rsid w:val="00CB3D01"/>
    <w:rsid w:val="00CB4B8D"/>
    <w:rsid w:val="00CC0DDA"/>
    <w:rsid w:val="00CC6BBA"/>
    <w:rsid w:val="00CC729B"/>
    <w:rsid w:val="00CD56D6"/>
    <w:rsid w:val="00CD684F"/>
    <w:rsid w:val="00CD68CC"/>
    <w:rsid w:val="00CE5CD6"/>
    <w:rsid w:val="00D06623"/>
    <w:rsid w:val="00D14394"/>
    <w:rsid w:val="00D14C6B"/>
    <w:rsid w:val="00D17861"/>
    <w:rsid w:val="00D24F4C"/>
    <w:rsid w:val="00D36B13"/>
    <w:rsid w:val="00D44EB5"/>
    <w:rsid w:val="00D52A64"/>
    <w:rsid w:val="00D5536F"/>
    <w:rsid w:val="00D56420"/>
    <w:rsid w:val="00D56935"/>
    <w:rsid w:val="00D62892"/>
    <w:rsid w:val="00D7185E"/>
    <w:rsid w:val="00D74567"/>
    <w:rsid w:val="00D758C6"/>
    <w:rsid w:val="00D80748"/>
    <w:rsid w:val="00D80CBF"/>
    <w:rsid w:val="00D90C10"/>
    <w:rsid w:val="00D92E96"/>
    <w:rsid w:val="00DA258C"/>
    <w:rsid w:val="00DC4197"/>
    <w:rsid w:val="00DC4699"/>
    <w:rsid w:val="00DD129C"/>
    <w:rsid w:val="00DE07FA"/>
    <w:rsid w:val="00DF2DDE"/>
    <w:rsid w:val="00E01667"/>
    <w:rsid w:val="00E21312"/>
    <w:rsid w:val="00E327E3"/>
    <w:rsid w:val="00E36209"/>
    <w:rsid w:val="00E37323"/>
    <w:rsid w:val="00E420BB"/>
    <w:rsid w:val="00E42EB1"/>
    <w:rsid w:val="00E44731"/>
    <w:rsid w:val="00E467B1"/>
    <w:rsid w:val="00E50DF6"/>
    <w:rsid w:val="00E527B6"/>
    <w:rsid w:val="00E53917"/>
    <w:rsid w:val="00E55FE5"/>
    <w:rsid w:val="00E72BD5"/>
    <w:rsid w:val="00E955F8"/>
    <w:rsid w:val="00E965C5"/>
    <w:rsid w:val="00E96A3A"/>
    <w:rsid w:val="00E97402"/>
    <w:rsid w:val="00E97B99"/>
    <w:rsid w:val="00EB2E9D"/>
    <w:rsid w:val="00EB70BF"/>
    <w:rsid w:val="00EC07D5"/>
    <w:rsid w:val="00EC230E"/>
    <w:rsid w:val="00EE1AE4"/>
    <w:rsid w:val="00EE6FFC"/>
    <w:rsid w:val="00EF10AC"/>
    <w:rsid w:val="00EF1A20"/>
    <w:rsid w:val="00EF4701"/>
    <w:rsid w:val="00EF564E"/>
    <w:rsid w:val="00F10266"/>
    <w:rsid w:val="00F110F2"/>
    <w:rsid w:val="00F13B54"/>
    <w:rsid w:val="00F203F1"/>
    <w:rsid w:val="00F2089D"/>
    <w:rsid w:val="00F22198"/>
    <w:rsid w:val="00F26084"/>
    <w:rsid w:val="00F33D49"/>
    <w:rsid w:val="00F3481E"/>
    <w:rsid w:val="00F40224"/>
    <w:rsid w:val="00F53BD6"/>
    <w:rsid w:val="00F54374"/>
    <w:rsid w:val="00F55018"/>
    <w:rsid w:val="00F577F6"/>
    <w:rsid w:val="00F602D2"/>
    <w:rsid w:val="00F65266"/>
    <w:rsid w:val="00F67C31"/>
    <w:rsid w:val="00F70436"/>
    <w:rsid w:val="00F747E8"/>
    <w:rsid w:val="00F751E1"/>
    <w:rsid w:val="00F849D2"/>
    <w:rsid w:val="00FA259E"/>
    <w:rsid w:val="00FA4BA2"/>
    <w:rsid w:val="00FB1B58"/>
    <w:rsid w:val="00FB72A1"/>
    <w:rsid w:val="00FC0202"/>
    <w:rsid w:val="00FC19CD"/>
    <w:rsid w:val="00FD06FB"/>
    <w:rsid w:val="00FD347F"/>
    <w:rsid w:val="00FD7E7D"/>
    <w:rsid w:val="00FF002A"/>
    <w:rsid w:val="00FF1646"/>
    <w:rsid w:val="00FF6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B640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rsid w:val="00157EBB"/>
    <w:pPr>
      <w:keepNext/>
      <w:numPr>
        <w:numId w:val="1"/>
      </w:numPr>
      <w:spacing w:before="240" w:after="80"/>
      <w:outlineLvl w:val="0"/>
    </w:pPr>
    <w:rPr>
      <w:b/>
      <w:smallCaps/>
      <w:kern w:val="28"/>
    </w:rPr>
  </w:style>
  <w:style w:type="paragraph" w:styleId="Heading2">
    <w:name w:val="heading 2"/>
    <w:basedOn w:val="Normal"/>
    <w:next w:val="Normal"/>
    <w:link w:val="Heading2Char"/>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9F13A7"/>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uiPriority w:val="99"/>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rsid w:val="003F52AD"/>
  </w:style>
  <w:style w:type="character" w:customStyle="1" w:styleId="Heading1Char">
    <w:name w:val="Heading 1 Char"/>
    <w:basedOn w:val="DefaultParagraphFont"/>
    <w:link w:val="Heading1"/>
    <w:uiPriority w:val="9"/>
    <w:rsid w:val="00157EBB"/>
    <w:rPr>
      <w:b/>
      <w:smallCaps/>
      <w:kern w:val="28"/>
    </w:rPr>
  </w:style>
  <w:style w:type="character" w:customStyle="1" w:styleId="ReferenceHeadChar">
    <w:name w:val="Reference Head Char"/>
    <w:basedOn w:val="Heading1Char"/>
    <w:link w:val="ReferenceHead"/>
    <w:rsid w:val="003F52AD"/>
    <w:rPr>
      <w:b/>
      <w:smallCaps/>
      <w:kern w:val="28"/>
    </w:rPr>
  </w:style>
  <w:style w:type="character" w:customStyle="1" w:styleId="Style1Char">
    <w:name w:val="Style1 Char"/>
    <w:basedOn w:val="ReferenceHeadChar"/>
    <w:link w:val="Style1"/>
    <w:rsid w:val="003F52AD"/>
    <w:rPr>
      <w:b/>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C60071"/>
    <w:pPr>
      <w:spacing w:after="200"/>
    </w:pPr>
    <w:rPr>
      <w:i/>
      <w:iCs/>
      <w:color w:val="1F497D" w:themeColor="text2"/>
      <w:sz w:val="18"/>
      <w:szCs w:val="18"/>
    </w:rPr>
  </w:style>
  <w:style w:type="character" w:styleId="CommentReference">
    <w:name w:val="annotation reference"/>
    <w:basedOn w:val="DefaultParagraphFont"/>
    <w:semiHidden/>
    <w:unhideWhenUsed/>
    <w:rsid w:val="00CC729B"/>
    <w:rPr>
      <w:sz w:val="16"/>
      <w:szCs w:val="16"/>
    </w:rPr>
  </w:style>
  <w:style w:type="paragraph" w:styleId="CommentText">
    <w:name w:val="annotation text"/>
    <w:basedOn w:val="Normal"/>
    <w:link w:val="CommentTextChar"/>
    <w:semiHidden/>
    <w:unhideWhenUsed/>
    <w:rsid w:val="00CC729B"/>
  </w:style>
  <w:style w:type="character" w:customStyle="1" w:styleId="CommentTextChar">
    <w:name w:val="Comment Text Char"/>
    <w:basedOn w:val="DefaultParagraphFont"/>
    <w:link w:val="CommentText"/>
    <w:semiHidden/>
    <w:rsid w:val="00CC729B"/>
  </w:style>
  <w:style w:type="paragraph" w:styleId="CommentSubject">
    <w:name w:val="annotation subject"/>
    <w:basedOn w:val="CommentText"/>
    <w:next w:val="CommentText"/>
    <w:link w:val="CommentSubjectChar"/>
    <w:semiHidden/>
    <w:unhideWhenUsed/>
    <w:rsid w:val="00CC729B"/>
    <w:rPr>
      <w:b/>
      <w:bCs/>
    </w:rPr>
  </w:style>
  <w:style w:type="character" w:customStyle="1" w:styleId="CommentSubjectChar">
    <w:name w:val="Comment Subject Char"/>
    <w:basedOn w:val="CommentTextChar"/>
    <w:link w:val="CommentSubject"/>
    <w:semiHidden/>
    <w:rsid w:val="00CC729B"/>
    <w:rPr>
      <w:b/>
      <w:bCs/>
    </w:rPr>
  </w:style>
  <w:style w:type="character" w:styleId="PageNumber">
    <w:name w:val="page number"/>
    <w:basedOn w:val="DefaultParagraphFont"/>
    <w:semiHidden/>
    <w:unhideWhenUsed/>
    <w:rsid w:val="00106CC7"/>
  </w:style>
  <w:style w:type="paragraph" w:customStyle="1" w:styleId="BiographyStart">
    <w:name w:val="BiographyStart"/>
    <w:basedOn w:val="Text"/>
    <w:qFormat/>
    <w:rsid w:val="00A52455"/>
    <w:pPr>
      <w:ind w:firstLine="0"/>
    </w:pPr>
    <w:rPr>
      <w:b/>
    </w:rPr>
  </w:style>
  <w:style w:type="paragraph" w:styleId="Bibliography">
    <w:name w:val="Bibliography"/>
    <w:basedOn w:val="Normal"/>
    <w:next w:val="Normal"/>
    <w:uiPriority w:val="37"/>
    <w:unhideWhenUsed/>
    <w:rsid w:val="00BF74CE"/>
  </w:style>
  <w:style w:type="paragraph" w:styleId="ListParagraph">
    <w:name w:val="List Paragraph"/>
    <w:basedOn w:val="Normal"/>
    <w:uiPriority w:val="34"/>
    <w:qFormat/>
    <w:rsid w:val="006B7376"/>
    <w:pPr>
      <w:ind w:left="720"/>
      <w:contextualSpacing/>
    </w:pPr>
  </w:style>
  <w:style w:type="paragraph" w:styleId="BodyText">
    <w:name w:val="Body Text"/>
    <w:basedOn w:val="Normal"/>
    <w:link w:val="BodyTextChar"/>
    <w:rsid w:val="004A2200"/>
    <w:pPr>
      <w:tabs>
        <w:tab w:val="left" w:pos="360"/>
      </w:tabs>
      <w:spacing w:after="120"/>
      <w:jc w:val="both"/>
    </w:pPr>
    <w:rPr>
      <w:szCs w:val="24"/>
    </w:rPr>
  </w:style>
  <w:style w:type="character" w:customStyle="1" w:styleId="BodyTextChar">
    <w:name w:val="Body Text Char"/>
    <w:basedOn w:val="DefaultParagraphFont"/>
    <w:link w:val="BodyText"/>
    <w:rsid w:val="004A2200"/>
    <w:rPr>
      <w:szCs w:val="24"/>
    </w:rPr>
  </w:style>
  <w:style w:type="paragraph" w:customStyle="1" w:styleId="Un-numberedHeading1">
    <w:name w:val="Un-numbered Heading 1"/>
    <w:basedOn w:val="BodyText"/>
    <w:next w:val="BodyText"/>
    <w:link w:val="Un-numberedHeading1Char"/>
    <w:rsid w:val="004A2200"/>
    <w:pPr>
      <w:keepNext/>
      <w:spacing w:before="240"/>
      <w:jc w:val="left"/>
      <w:outlineLvl w:val="0"/>
    </w:pPr>
    <w:rPr>
      <w:b/>
      <w:szCs w:val="20"/>
    </w:rPr>
  </w:style>
  <w:style w:type="character" w:customStyle="1" w:styleId="Un-numberedHeading1Char">
    <w:name w:val="Un-numbered Heading 1 Char"/>
    <w:link w:val="Un-numberedHeading1"/>
    <w:rsid w:val="004A2200"/>
    <w:rPr>
      <w:b/>
    </w:rPr>
  </w:style>
  <w:style w:type="table" w:styleId="TableGrid">
    <w:name w:val="Table Grid"/>
    <w:basedOn w:val="TableNormal"/>
    <w:rsid w:val="004A22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rsid w:val="00157EBB"/>
    <w:pPr>
      <w:keepNext/>
      <w:numPr>
        <w:numId w:val="1"/>
      </w:numPr>
      <w:spacing w:before="240" w:after="80"/>
      <w:outlineLvl w:val="0"/>
    </w:pPr>
    <w:rPr>
      <w:b/>
      <w:smallCaps/>
      <w:kern w:val="28"/>
    </w:rPr>
  </w:style>
  <w:style w:type="paragraph" w:styleId="Heading2">
    <w:name w:val="heading 2"/>
    <w:basedOn w:val="Normal"/>
    <w:next w:val="Normal"/>
    <w:link w:val="Heading2Char"/>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9F13A7"/>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uiPriority w:val="99"/>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rsid w:val="003F52AD"/>
  </w:style>
  <w:style w:type="character" w:customStyle="1" w:styleId="Heading1Char">
    <w:name w:val="Heading 1 Char"/>
    <w:basedOn w:val="DefaultParagraphFont"/>
    <w:link w:val="Heading1"/>
    <w:uiPriority w:val="9"/>
    <w:rsid w:val="00157EBB"/>
    <w:rPr>
      <w:b/>
      <w:smallCaps/>
      <w:kern w:val="28"/>
    </w:rPr>
  </w:style>
  <w:style w:type="character" w:customStyle="1" w:styleId="ReferenceHeadChar">
    <w:name w:val="Reference Head Char"/>
    <w:basedOn w:val="Heading1Char"/>
    <w:link w:val="ReferenceHead"/>
    <w:rsid w:val="003F52AD"/>
    <w:rPr>
      <w:b/>
      <w:smallCaps/>
      <w:kern w:val="28"/>
    </w:rPr>
  </w:style>
  <w:style w:type="character" w:customStyle="1" w:styleId="Style1Char">
    <w:name w:val="Style1 Char"/>
    <w:basedOn w:val="ReferenceHeadChar"/>
    <w:link w:val="Style1"/>
    <w:rsid w:val="003F52AD"/>
    <w:rPr>
      <w:b/>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C60071"/>
    <w:pPr>
      <w:spacing w:after="200"/>
    </w:pPr>
    <w:rPr>
      <w:i/>
      <w:iCs/>
      <w:color w:val="1F497D" w:themeColor="text2"/>
      <w:sz w:val="18"/>
      <w:szCs w:val="18"/>
    </w:rPr>
  </w:style>
  <w:style w:type="character" w:styleId="CommentReference">
    <w:name w:val="annotation reference"/>
    <w:basedOn w:val="DefaultParagraphFont"/>
    <w:semiHidden/>
    <w:unhideWhenUsed/>
    <w:rsid w:val="00CC729B"/>
    <w:rPr>
      <w:sz w:val="16"/>
      <w:szCs w:val="16"/>
    </w:rPr>
  </w:style>
  <w:style w:type="paragraph" w:styleId="CommentText">
    <w:name w:val="annotation text"/>
    <w:basedOn w:val="Normal"/>
    <w:link w:val="CommentTextChar"/>
    <w:semiHidden/>
    <w:unhideWhenUsed/>
    <w:rsid w:val="00CC729B"/>
  </w:style>
  <w:style w:type="character" w:customStyle="1" w:styleId="CommentTextChar">
    <w:name w:val="Comment Text Char"/>
    <w:basedOn w:val="DefaultParagraphFont"/>
    <w:link w:val="CommentText"/>
    <w:semiHidden/>
    <w:rsid w:val="00CC729B"/>
  </w:style>
  <w:style w:type="paragraph" w:styleId="CommentSubject">
    <w:name w:val="annotation subject"/>
    <w:basedOn w:val="CommentText"/>
    <w:next w:val="CommentText"/>
    <w:link w:val="CommentSubjectChar"/>
    <w:semiHidden/>
    <w:unhideWhenUsed/>
    <w:rsid w:val="00CC729B"/>
    <w:rPr>
      <w:b/>
      <w:bCs/>
    </w:rPr>
  </w:style>
  <w:style w:type="character" w:customStyle="1" w:styleId="CommentSubjectChar">
    <w:name w:val="Comment Subject Char"/>
    <w:basedOn w:val="CommentTextChar"/>
    <w:link w:val="CommentSubject"/>
    <w:semiHidden/>
    <w:rsid w:val="00CC729B"/>
    <w:rPr>
      <w:b/>
      <w:bCs/>
    </w:rPr>
  </w:style>
  <w:style w:type="character" w:styleId="PageNumber">
    <w:name w:val="page number"/>
    <w:basedOn w:val="DefaultParagraphFont"/>
    <w:semiHidden/>
    <w:unhideWhenUsed/>
    <w:rsid w:val="00106CC7"/>
  </w:style>
  <w:style w:type="paragraph" w:customStyle="1" w:styleId="BiographyStart">
    <w:name w:val="BiographyStart"/>
    <w:basedOn w:val="Text"/>
    <w:qFormat/>
    <w:rsid w:val="00A52455"/>
    <w:pPr>
      <w:ind w:firstLine="0"/>
    </w:pPr>
    <w:rPr>
      <w:b/>
    </w:rPr>
  </w:style>
  <w:style w:type="paragraph" w:styleId="Bibliography">
    <w:name w:val="Bibliography"/>
    <w:basedOn w:val="Normal"/>
    <w:next w:val="Normal"/>
    <w:uiPriority w:val="37"/>
    <w:unhideWhenUsed/>
    <w:rsid w:val="00BF74CE"/>
  </w:style>
  <w:style w:type="paragraph" w:styleId="ListParagraph">
    <w:name w:val="List Paragraph"/>
    <w:basedOn w:val="Normal"/>
    <w:uiPriority w:val="34"/>
    <w:qFormat/>
    <w:rsid w:val="006B7376"/>
    <w:pPr>
      <w:ind w:left="720"/>
      <w:contextualSpacing/>
    </w:pPr>
  </w:style>
  <w:style w:type="paragraph" w:styleId="BodyText">
    <w:name w:val="Body Text"/>
    <w:basedOn w:val="Normal"/>
    <w:link w:val="BodyTextChar"/>
    <w:rsid w:val="004A2200"/>
    <w:pPr>
      <w:tabs>
        <w:tab w:val="left" w:pos="360"/>
      </w:tabs>
      <w:spacing w:after="120"/>
      <w:jc w:val="both"/>
    </w:pPr>
    <w:rPr>
      <w:szCs w:val="24"/>
    </w:rPr>
  </w:style>
  <w:style w:type="character" w:customStyle="1" w:styleId="BodyTextChar">
    <w:name w:val="Body Text Char"/>
    <w:basedOn w:val="DefaultParagraphFont"/>
    <w:link w:val="BodyText"/>
    <w:rsid w:val="004A2200"/>
    <w:rPr>
      <w:szCs w:val="24"/>
    </w:rPr>
  </w:style>
  <w:style w:type="paragraph" w:customStyle="1" w:styleId="Un-numberedHeading1">
    <w:name w:val="Un-numbered Heading 1"/>
    <w:basedOn w:val="BodyText"/>
    <w:next w:val="BodyText"/>
    <w:link w:val="Un-numberedHeading1Char"/>
    <w:rsid w:val="004A2200"/>
    <w:pPr>
      <w:keepNext/>
      <w:spacing w:before="240"/>
      <w:jc w:val="left"/>
      <w:outlineLvl w:val="0"/>
    </w:pPr>
    <w:rPr>
      <w:b/>
      <w:szCs w:val="20"/>
    </w:rPr>
  </w:style>
  <w:style w:type="character" w:customStyle="1" w:styleId="Un-numberedHeading1Char">
    <w:name w:val="Un-numbered Heading 1 Char"/>
    <w:link w:val="Un-numberedHeading1"/>
    <w:rsid w:val="004A2200"/>
    <w:rPr>
      <w:b/>
    </w:rPr>
  </w:style>
  <w:style w:type="table" w:styleId="TableGrid">
    <w:name w:val="Table Grid"/>
    <w:basedOn w:val="TableNormal"/>
    <w:rsid w:val="004A22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5133">
      <w:bodyDiv w:val="1"/>
      <w:marLeft w:val="0"/>
      <w:marRight w:val="0"/>
      <w:marTop w:val="0"/>
      <w:marBottom w:val="0"/>
      <w:divBdr>
        <w:top w:val="none" w:sz="0" w:space="0" w:color="auto"/>
        <w:left w:val="none" w:sz="0" w:space="0" w:color="auto"/>
        <w:bottom w:val="none" w:sz="0" w:space="0" w:color="auto"/>
        <w:right w:val="none" w:sz="0" w:space="0" w:color="auto"/>
      </w:divBdr>
    </w:div>
    <w:div w:id="12002347">
      <w:bodyDiv w:val="1"/>
      <w:marLeft w:val="0"/>
      <w:marRight w:val="0"/>
      <w:marTop w:val="0"/>
      <w:marBottom w:val="0"/>
      <w:divBdr>
        <w:top w:val="none" w:sz="0" w:space="0" w:color="auto"/>
        <w:left w:val="none" w:sz="0" w:space="0" w:color="auto"/>
        <w:bottom w:val="none" w:sz="0" w:space="0" w:color="auto"/>
        <w:right w:val="none" w:sz="0" w:space="0" w:color="auto"/>
      </w:divBdr>
    </w:div>
    <w:div w:id="19934962">
      <w:bodyDiv w:val="1"/>
      <w:marLeft w:val="0"/>
      <w:marRight w:val="0"/>
      <w:marTop w:val="0"/>
      <w:marBottom w:val="0"/>
      <w:divBdr>
        <w:top w:val="none" w:sz="0" w:space="0" w:color="auto"/>
        <w:left w:val="none" w:sz="0" w:space="0" w:color="auto"/>
        <w:bottom w:val="none" w:sz="0" w:space="0" w:color="auto"/>
        <w:right w:val="none" w:sz="0" w:space="0" w:color="auto"/>
      </w:divBdr>
    </w:div>
    <w:div w:id="29455970">
      <w:bodyDiv w:val="1"/>
      <w:marLeft w:val="0"/>
      <w:marRight w:val="0"/>
      <w:marTop w:val="0"/>
      <w:marBottom w:val="0"/>
      <w:divBdr>
        <w:top w:val="none" w:sz="0" w:space="0" w:color="auto"/>
        <w:left w:val="none" w:sz="0" w:space="0" w:color="auto"/>
        <w:bottom w:val="none" w:sz="0" w:space="0" w:color="auto"/>
        <w:right w:val="none" w:sz="0" w:space="0" w:color="auto"/>
      </w:divBdr>
    </w:div>
    <w:div w:id="31804155">
      <w:bodyDiv w:val="1"/>
      <w:marLeft w:val="0"/>
      <w:marRight w:val="0"/>
      <w:marTop w:val="0"/>
      <w:marBottom w:val="0"/>
      <w:divBdr>
        <w:top w:val="none" w:sz="0" w:space="0" w:color="auto"/>
        <w:left w:val="none" w:sz="0" w:space="0" w:color="auto"/>
        <w:bottom w:val="none" w:sz="0" w:space="0" w:color="auto"/>
        <w:right w:val="none" w:sz="0" w:space="0" w:color="auto"/>
      </w:divBdr>
    </w:div>
    <w:div w:id="59792850">
      <w:bodyDiv w:val="1"/>
      <w:marLeft w:val="0"/>
      <w:marRight w:val="0"/>
      <w:marTop w:val="0"/>
      <w:marBottom w:val="0"/>
      <w:divBdr>
        <w:top w:val="none" w:sz="0" w:space="0" w:color="auto"/>
        <w:left w:val="none" w:sz="0" w:space="0" w:color="auto"/>
        <w:bottom w:val="none" w:sz="0" w:space="0" w:color="auto"/>
        <w:right w:val="none" w:sz="0" w:space="0" w:color="auto"/>
      </w:divBdr>
    </w:div>
    <w:div w:id="63183679">
      <w:bodyDiv w:val="1"/>
      <w:marLeft w:val="0"/>
      <w:marRight w:val="0"/>
      <w:marTop w:val="0"/>
      <w:marBottom w:val="0"/>
      <w:divBdr>
        <w:top w:val="none" w:sz="0" w:space="0" w:color="auto"/>
        <w:left w:val="none" w:sz="0" w:space="0" w:color="auto"/>
        <w:bottom w:val="none" w:sz="0" w:space="0" w:color="auto"/>
        <w:right w:val="none" w:sz="0" w:space="0" w:color="auto"/>
      </w:divBdr>
    </w:div>
    <w:div w:id="77140112">
      <w:bodyDiv w:val="1"/>
      <w:marLeft w:val="0"/>
      <w:marRight w:val="0"/>
      <w:marTop w:val="0"/>
      <w:marBottom w:val="0"/>
      <w:divBdr>
        <w:top w:val="none" w:sz="0" w:space="0" w:color="auto"/>
        <w:left w:val="none" w:sz="0" w:space="0" w:color="auto"/>
        <w:bottom w:val="none" w:sz="0" w:space="0" w:color="auto"/>
        <w:right w:val="none" w:sz="0" w:space="0" w:color="auto"/>
      </w:divBdr>
    </w:div>
    <w:div w:id="79330931">
      <w:bodyDiv w:val="1"/>
      <w:marLeft w:val="0"/>
      <w:marRight w:val="0"/>
      <w:marTop w:val="0"/>
      <w:marBottom w:val="0"/>
      <w:divBdr>
        <w:top w:val="none" w:sz="0" w:space="0" w:color="auto"/>
        <w:left w:val="none" w:sz="0" w:space="0" w:color="auto"/>
        <w:bottom w:val="none" w:sz="0" w:space="0" w:color="auto"/>
        <w:right w:val="none" w:sz="0" w:space="0" w:color="auto"/>
      </w:divBdr>
    </w:div>
    <w:div w:id="92821527">
      <w:bodyDiv w:val="1"/>
      <w:marLeft w:val="0"/>
      <w:marRight w:val="0"/>
      <w:marTop w:val="0"/>
      <w:marBottom w:val="0"/>
      <w:divBdr>
        <w:top w:val="none" w:sz="0" w:space="0" w:color="auto"/>
        <w:left w:val="none" w:sz="0" w:space="0" w:color="auto"/>
        <w:bottom w:val="none" w:sz="0" w:space="0" w:color="auto"/>
        <w:right w:val="none" w:sz="0" w:space="0" w:color="auto"/>
      </w:divBdr>
    </w:div>
    <w:div w:id="114300061">
      <w:bodyDiv w:val="1"/>
      <w:marLeft w:val="0"/>
      <w:marRight w:val="0"/>
      <w:marTop w:val="0"/>
      <w:marBottom w:val="0"/>
      <w:divBdr>
        <w:top w:val="none" w:sz="0" w:space="0" w:color="auto"/>
        <w:left w:val="none" w:sz="0" w:space="0" w:color="auto"/>
        <w:bottom w:val="none" w:sz="0" w:space="0" w:color="auto"/>
        <w:right w:val="none" w:sz="0" w:space="0" w:color="auto"/>
      </w:divBdr>
    </w:div>
    <w:div w:id="120198413">
      <w:bodyDiv w:val="1"/>
      <w:marLeft w:val="0"/>
      <w:marRight w:val="0"/>
      <w:marTop w:val="0"/>
      <w:marBottom w:val="0"/>
      <w:divBdr>
        <w:top w:val="none" w:sz="0" w:space="0" w:color="auto"/>
        <w:left w:val="none" w:sz="0" w:space="0" w:color="auto"/>
        <w:bottom w:val="none" w:sz="0" w:space="0" w:color="auto"/>
        <w:right w:val="none" w:sz="0" w:space="0" w:color="auto"/>
      </w:divBdr>
    </w:div>
    <w:div w:id="130487697">
      <w:bodyDiv w:val="1"/>
      <w:marLeft w:val="0"/>
      <w:marRight w:val="0"/>
      <w:marTop w:val="0"/>
      <w:marBottom w:val="0"/>
      <w:divBdr>
        <w:top w:val="none" w:sz="0" w:space="0" w:color="auto"/>
        <w:left w:val="none" w:sz="0" w:space="0" w:color="auto"/>
        <w:bottom w:val="none" w:sz="0" w:space="0" w:color="auto"/>
        <w:right w:val="none" w:sz="0" w:space="0" w:color="auto"/>
      </w:divBdr>
    </w:div>
    <w:div w:id="136535423">
      <w:bodyDiv w:val="1"/>
      <w:marLeft w:val="0"/>
      <w:marRight w:val="0"/>
      <w:marTop w:val="0"/>
      <w:marBottom w:val="0"/>
      <w:divBdr>
        <w:top w:val="none" w:sz="0" w:space="0" w:color="auto"/>
        <w:left w:val="none" w:sz="0" w:space="0" w:color="auto"/>
        <w:bottom w:val="none" w:sz="0" w:space="0" w:color="auto"/>
        <w:right w:val="none" w:sz="0" w:space="0" w:color="auto"/>
      </w:divBdr>
    </w:div>
    <w:div w:id="143158943">
      <w:bodyDiv w:val="1"/>
      <w:marLeft w:val="0"/>
      <w:marRight w:val="0"/>
      <w:marTop w:val="0"/>
      <w:marBottom w:val="0"/>
      <w:divBdr>
        <w:top w:val="none" w:sz="0" w:space="0" w:color="auto"/>
        <w:left w:val="none" w:sz="0" w:space="0" w:color="auto"/>
        <w:bottom w:val="none" w:sz="0" w:space="0" w:color="auto"/>
        <w:right w:val="none" w:sz="0" w:space="0" w:color="auto"/>
      </w:divBdr>
    </w:div>
    <w:div w:id="156069395">
      <w:bodyDiv w:val="1"/>
      <w:marLeft w:val="0"/>
      <w:marRight w:val="0"/>
      <w:marTop w:val="0"/>
      <w:marBottom w:val="0"/>
      <w:divBdr>
        <w:top w:val="none" w:sz="0" w:space="0" w:color="auto"/>
        <w:left w:val="none" w:sz="0" w:space="0" w:color="auto"/>
        <w:bottom w:val="none" w:sz="0" w:space="0" w:color="auto"/>
        <w:right w:val="none" w:sz="0" w:space="0" w:color="auto"/>
      </w:divBdr>
    </w:div>
    <w:div w:id="156238384">
      <w:bodyDiv w:val="1"/>
      <w:marLeft w:val="0"/>
      <w:marRight w:val="0"/>
      <w:marTop w:val="0"/>
      <w:marBottom w:val="0"/>
      <w:divBdr>
        <w:top w:val="none" w:sz="0" w:space="0" w:color="auto"/>
        <w:left w:val="none" w:sz="0" w:space="0" w:color="auto"/>
        <w:bottom w:val="none" w:sz="0" w:space="0" w:color="auto"/>
        <w:right w:val="none" w:sz="0" w:space="0" w:color="auto"/>
      </w:divBdr>
    </w:div>
    <w:div w:id="158429541">
      <w:bodyDiv w:val="1"/>
      <w:marLeft w:val="0"/>
      <w:marRight w:val="0"/>
      <w:marTop w:val="0"/>
      <w:marBottom w:val="0"/>
      <w:divBdr>
        <w:top w:val="none" w:sz="0" w:space="0" w:color="auto"/>
        <w:left w:val="none" w:sz="0" w:space="0" w:color="auto"/>
        <w:bottom w:val="none" w:sz="0" w:space="0" w:color="auto"/>
        <w:right w:val="none" w:sz="0" w:space="0" w:color="auto"/>
      </w:divBdr>
    </w:div>
    <w:div w:id="166676382">
      <w:bodyDiv w:val="1"/>
      <w:marLeft w:val="0"/>
      <w:marRight w:val="0"/>
      <w:marTop w:val="0"/>
      <w:marBottom w:val="0"/>
      <w:divBdr>
        <w:top w:val="none" w:sz="0" w:space="0" w:color="auto"/>
        <w:left w:val="none" w:sz="0" w:space="0" w:color="auto"/>
        <w:bottom w:val="none" w:sz="0" w:space="0" w:color="auto"/>
        <w:right w:val="none" w:sz="0" w:space="0" w:color="auto"/>
      </w:divBdr>
    </w:div>
    <w:div w:id="168179981">
      <w:bodyDiv w:val="1"/>
      <w:marLeft w:val="0"/>
      <w:marRight w:val="0"/>
      <w:marTop w:val="0"/>
      <w:marBottom w:val="0"/>
      <w:divBdr>
        <w:top w:val="none" w:sz="0" w:space="0" w:color="auto"/>
        <w:left w:val="none" w:sz="0" w:space="0" w:color="auto"/>
        <w:bottom w:val="none" w:sz="0" w:space="0" w:color="auto"/>
        <w:right w:val="none" w:sz="0" w:space="0" w:color="auto"/>
      </w:divBdr>
    </w:div>
    <w:div w:id="172771733">
      <w:bodyDiv w:val="1"/>
      <w:marLeft w:val="0"/>
      <w:marRight w:val="0"/>
      <w:marTop w:val="0"/>
      <w:marBottom w:val="0"/>
      <w:divBdr>
        <w:top w:val="none" w:sz="0" w:space="0" w:color="auto"/>
        <w:left w:val="none" w:sz="0" w:space="0" w:color="auto"/>
        <w:bottom w:val="none" w:sz="0" w:space="0" w:color="auto"/>
        <w:right w:val="none" w:sz="0" w:space="0" w:color="auto"/>
      </w:divBdr>
    </w:div>
    <w:div w:id="177351702">
      <w:bodyDiv w:val="1"/>
      <w:marLeft w:val="0"/>
      <w:marRight w:val="0"/>
      <w:marTop w:val="0"/>
      <w:marBottom w:val="0"/>
      <w:divBdr>
        <w:top w:val="none" w:sz="0" w:space="0" w:color="auto"/>
        <w:left w:val="none" w:sz="0" w:space="0" w:color="auto"/>
        <w:bottom w:val="none" w:sz="0" w:space="0" w:color="auto"/>
        <w:right w:val="none" w:sz="0" w:space="0" w:color="auto"/>
      </w:divBdr>
    </w:div>
    <w:div w:id="190535696">
      <w:bodyDiv w:val="1"/>
      <w:marLeft w:val="0"/>
      <w:marRight w:val="0"/>
      <w:marTop w:val="0"/>
      <w:marBottom w:val="0"/>
      <w:divBdr>
        <w:top w:val="none" w:sz="0" w:space="0" w:color="auto"/>
        <w:left w:val="none" w:sz="0" w:space="0" w:color="auto"/>
        <w:bottom w:val="none" w:sz="0" w:space="0" w:color="auto"/>
        <w:right w:val="none" w:sz="0" w:space="0" w:color="auto"/>
      </w:divBdr>
    </w:div>
    <w:div w:id="201942432">
      <w:bodyDiv w:val="1"/>
      <w:marLeft w:val="0"/>
      <w:marRight w:val="0"/>
      <w:marTop w:val="0"/>
      <w:marBottom w:val="0"/>
      <w:divBdr>
        <w:top w:val="none" w:sz="0" w:space="0" w:color="auto"/>
        <w:left w:val="none" w:sz="0" w:space="0" w:color="auto"/>
        <w:bottom w:val="none" w:sz="0" w:space="0" w:color="auto"/>
        <w:right w:val="none" w:sz="0" w:space="0" w:color="auto"/>
      </w:divBdr>
    </w:div>
    <w:div w:id="201946861">
      <w:bodyDiv w:val="1"/>
      <w:marLeft w:val="0"/>
      <w:marRight w:val="0"/>
      <w:marTop w:val="0"/>
      <w:marBottom w:val="0"/>
      <w:divBdr>
        <w:top w:val="none" w:sz="0" w:space="0" w:color="auto"/>
        <w:left w:val="none" w:sz="0" w:space="0" w:color="auto"/>
        <w:bottom w:val="none" w:sz="0" w:space="0" w:color="auto"/>
        <w:right w:val="none" w:sz="0" w:space="0" w:color="auto"/>
      </w:divBdr>
    </w:div>
    <w:div w:id="250359208">
      <w:bodyDiv w:val="1"/>
      <w:marLeft w:val="0"/>
      <w:marRight w:val="0"/>
      <w:marTop w:val="0"/>
      <w:marBottom w:val="0"/>
      <w:divBdr>
        <w:top w:val="none" w:sz="0" w:space="0" w:color="auto"/>
        <w:left w:val="none" w:sz="0" w:space="0" w:color="auto"/>
        <w:bottom w:val="none" w:sz="0" w:space="0" w:color="auto"/>
        <w:right w:val="none" w:sz="0" w:space="0" w:color="auto"/>
      </w:divBdr>
    </w:div>
    <w:div w:id="254633146">
      <w:bodyDiv w:val="1"/>
      <w:marLeft w:val="0"/>
      <w:marRight w:val="0"/>
      <w:marTop w:val="0"/>
      <w:marBottom w:val="0"/>
      <w:divBdr>
        <w:top w:val="none" w:sz="0" w:space="0" w:color="auto"/>
        <w:left w:val="none" w:sz="0" w:space="0" w:color="auto"/>
        <w:bottom w:val="none" w:sz="0" w:space="0" w:color="auto"/>
        <w:right w:val="none" w:sz="0" w:space="0" w:color="auto"/>
      </w:divBdr>
    </w:div>
    <w:div w:id="255138013">
      <w:bodyDiv w:val="1"/>
      <w:marLeft w:val="0"/>
      <w:marRight w:val="0"/>
      <w:marTop w:val="0"/>
      <w:marBottom w:val="0"/>
      <w:divBdr>
        <w:top w:val="none" w:sz="0" w:space="0" w:color="auto"/>
        <w:left w:val="none" w:sz="0" w:space="0" w:color="auto"/>
        <w:bottom w:val="none" w:sz="0" w:space="0" w:color="auto"/>
        <w:right w:val="none" w:sz="0" w:space="0" w:color="auto"/>
      </w:divBdr>
    </w:div>
    <w:div w:id="262033442">
      <w:bodyDiv w:val="1"/>
      <w:marLeft w:val="0"/>
      <w:marRight w:val="0"/>
      <w:marTop w:val="0"/>
      <w:marBottom w:val="0"/>
      <w:divBdr>
        <w:top w:val="none" w:sz="0" w:space="0" w:color="auto"/>
        <w:left w:val="none" w:sz="0" w:space="0" w:color="auto"/>
        <w:bottom w:val="none" w:sz="0" w:space="0" w:color="auto"/>
        <w:right w:val="none" w:sz="0" w:space="0" w:color="auto"/>
      </w:divBdr>
    </w:div>
    <w:div w:id="273632730">
      <w:bodyDiv w:val="1"/>
      <w:marLeft w:val="0"/>
      <w:marRight w:val="0"/>
      <w:marTop w:val="0"/>
      <w:marBottom w:val="0"/>
      <w:divBdr>
        <w:top w:val="none" w:sz="0" w:space="0" w:color="auto"/>
        <w:left w:val="none" w:sz="0" w:space="0" w:color="auto"/>
        <w:bottom w:val="none" w:sz="0" w:space="0" w:color="auto"/>
        <w:right w:val="none" w:sz="0" w:space="0" w:color="auto"/>
      </w:divBdr>
    </w:div>
    <w:div w:id="278606980">
      <w:bodyDiv w:val="1"/>
      <w:marLeft w:val="0"/>
      <w:marRight w:val="0"/>
      <w:marTop w:val="0"/>
      <w:marBottom w:val="0"/>
      <w:divBdr>
        <w:top w:val="none" w:sz="0" w:space="0" w:color="auto"/>
        <w:left w:val="none" w:sz="0" w:space="0" w:color="auto"/>
        <w:bottom w:val="none" w:sz="0" w:space="0" w:color="auto"/>
        <w:right w:val="none" w:sz="0" w:space="0" w:color="auto"/>
      </w:divBdr>
    </w:div>
    <w:div w:id="282613202">
      <w:bodyDiv w:val="1"/>
      <w:marLeft w:val="0"/>
      <w:marRight w:val="0"/>
      <w:marTop w:val="0"/>
      <w:marBottom w:val="0"/>
      <w:divBdr>
        <w:top w:val="none" w:sz="0" w:space="0" w:color="auto"/>
        <w:left w:val="none" w:sz="0" w:space="0" w:color="auto"/>
        <w:bottom w:val="none" w:sz="0" w:space="0" w:color="auto"/>
        <w:right w:val="none" w:sz="0" w:space="0" w:color="auto"/>
      </w:divBdr>
    </w:div>
    <w:div w:id="294721374">
      <w:bodyDiv w:val="1"/>
      <w:marLeft w:val="0"/>
      <w:marRight w:val="0"/>
      <w:marTop w:val="0"/>
      <w:marBottom w:val="0"/>
      <w:divBdr>
        <w:top w:val="none" w:sz="0" w:space="0" w:color="auto"/>
        <w:left w:val="none" w:sz="0" w:space="0" w:color="auto"/>
        <w:bottom w:val="none" w:sz="0" w:space="0" w:color="auto"/>
        <w:right w:val="none" w:sz="0" w:space="0" w:color="auto"/>
      </w:divBdr>
    </w:div>
    <w:div w:id="297347795">
      <w:bodyDiv w:val="1"/>
      <w:marLeft w:val="0"/>
      <w:marRight w:val="0"/>
      <w:marTop w:val="0"/>
      <w:marBottom w:val="0"/>
      <w:divBdr>
        <w:top w:val="none" w:sz="0" w:space="0" w:color="auto"/>
        <w:left w:val="none" w:sz="0" w:space="0" w:color="auto"/>
        <w:bottom w:val="none" w:sz="0" w:space="0" w:color="auto"/>
        <w:right w:val="none" w:sz="0" w:space="0" w:color="auto"/>
      </w:divBdr>
    </w:div>
    <w:div w:id="336614918">
      <w:bodyDiv w:val="1"/>
      <w:marLeft w:val="0"/>
      <w:marRight w:val="0"/>
      <w:marTop w:val="0"/>
      <w:marBottom w:val="0"/>
      <w:divBdr>
        <w:top w:val="none" w:sz="0" w:space="0" w:color="auto"/>
        <w:left w:val="none" w:sz="0" w:space="0" w:color="auto"/>
        <w:bottom w:val="none" w:sz="0" w:space="0" w:color="auto"/>
        <w:right w:val="none" w:sz="0" w:space="0" w:color="auto"/>
      </w:divBdr>
    </w:div>
    <w:div w:id="351928530">
      <w:bodyDiv w:val="1"/>
      <w:marLeft w:val="0"/>
      <w:marRight w:val="0"/>
      <w:marTop w:val="0"/>
      <w:marBottom w:val="0"/>
      <w:divBdr>
        <w:top w:val="none" w:sz="0" w:space="0" w:color="auto"/>
        <w:left w:val="none" w:sz="0" w:space="0" w:color="auto"/>
        <w:bottom w:val="none" w:sz="0" w:space="0" w:color="auto"/>
        <w:right w:val="none" w:sz="0" w:space="0" w:color="auto"/>
      </w:divBdr>
    </w:div>
    <w:div w:id="360518368">
      <w:bodyDiv w:val="1"/>
      <w:marLeft w:val="0"/>
      <w:marRight w:val="0"/>
      <w:marTop w:val="0"/>
      <w:marBottom w:val="0"/>
      <w:divBdr>
        <w:top w:val="none" w:sz="0" w:space="0" w:color="auto"/>
        <w:left w:val="none" w:sz="0" w:space="0" w:color="auto"/>
        <w:bottom w:val="none" w:sz="0" w:space="0" w:color="auto"/>
        <w:right w:val="none" w:sz="0" w:space="0" w:color="auto"/>
      </w:divBdr>
    </w:div>
    <w:div w:id="369770380">
      <w:bodyDiv w:val="1"/>
      <w:marLeft w:val="0"/>
      <w:marRight w:val="0"/>
      <w:marTop w:val="0"/>
      <w:marBottom w:val="0"/>
      <w:divBdr>
        <w:top w:val="none" w:sz="0" w:space="0" w:color="auto"/>
        <w:left w:val="none" w:sz="0" w:space="0" w:color="auto"/>
        <w:bottom w:val="none" w:sz="0" w:space="0" w:color="auto"/>
        <w:right w:val="none" w:sz="0" w:space="0" w:color="auto"/>
      </w:divBdr>
    </w:div>
    <w:div w:id="388958633">
      <w:bodyDiv w:val="1"/>
      <w:marLeft w:val="0"/>
      <w:marRight w:val="0"/>
      <w:marTop w:val="0"/>
      <w:marBottom w:val="0"/>
      <w:divBdr>
        <w:top w:val="none" w:sz="0" w:space="0" w:color="auto"/>
        <w:left w:val="none" w:sz="0" w:space="0" w:color="auto"/>
        <w:bottom w:val="none" w:sz="0" w:space="0" w:color="auto"/>
        <w:right w:val="none" w:sz="0" w:space="0" w:color="auto"/>
      </w:divBdr>
    </w:div>
    <w:div w:id="396518521">
      <w:bodyDiv w:val="1"/>
      <w:marLeft w:val="0"/>
      <w:marRight w:val="0"/>
      <w:marTop w:val="0"/>
      <w:marBottom w:val="0"/>
      <w:divBdr>
        <w:top w:val="none" w:sz="0" w:space="0" w:color="auto"/>
        <w:left w:val="none" w:sz="0" w:space="0" w:color="auto"/>
        <w:bottom w:val="none" w:sz="0" w:space="0" w:color="auto"/>
        <w:right w:val="none" w:sz="0" w:space="0" w:color="auto"/>
      </w:divBdr>
    </w:div>
    <w:div w:id="398211198">
      <w:bodyDiv w:val="1"/>
      <w:marLeft w:val="0"/>
      <w:marRight w:val="0"/>
      <w:marTop w:val="0"/>
      <w:marBottom w:val="0"/>
      <w:divBdr>
        <w:top w:val="none" w:sz="0" w:space="0" w:color="auto"/>
        <w:left w:val="none" w:sz="0" w:space="0" w:color="auto"/>
        <w:bottom w:val="none" w:sz="0" w:space="0" w:color="auto"/>
        <w:right w:val="none" w:sz="0" w:space="0" w:color="auto"/>
      </w:divBdr>
    </w:div>
    <w:div w:id="400179612">
      <w:bodyDiv w:val="1"/>
      <w:marLeft w:val="0"/>
      <w:marRight w:val="0"/>
      <w:marTop w:val="0"/>
      <w:marBottom w:val="0"/>
      <w:divBdr>
        <w:top w:val="none" w:sz="0" w:space="0" w:color="auto"/>
        <w:left w:val="none" w:sz="0" w:space="0" w:color="auto"/>
        <w:bottom w:val="none" w:sz="0" w:space="0" w:color="auto"/>
        <w:right w:val="none" w:sz="0" w:space="0" w:color="auto"/>
      </w:divBdr>
    </w:div>
    <w:div w:id="414128183">
      <w:bodyDiv w:val="1"/>
      <w:marLeft w:val="0"/>
      <w:marRight w:val="0"/>
      <w:marTop w:val="0"/>
      <w:marBottom w:val="0"/>
      <w:divBdr>
        <w:top w:val="none" w:sz="0" w:space="0" w:color="auto"/>
        <w:left w:val="none" w:sz="0" w:space="0" w:color="auto"/>
        <w:bottom w:val="none" w:sz="0" w:space="0" w:color="auto"/>
        <w:right w:val="none" w:sz="0" w:space="0" w:color="auto"/>
      </w:divBdr>
    </w:div>
    <w:div w:id="417020053">
      <w:bodyDiv w:val="1"/>
      <w:marLeft w:val="0"/>
      <w:marRight w:val="0"/>
      <w:marTop w:val="0"/>
      <w:marBottom w:val="0"/>
      <w:divBdr>
        <w:top w:val="none" w:sz="0" w:space="0" w:color="auto"/>
        <w:left w:val="none" w:sz="0" w:space="0" w:color="auto"/>
        <w:bottom w:val="none" w:sz="0" w:space="0" w:color="auto"/>
        <w:right w:val="none" w:sz="0" w:space="0" w:color="auto"/>
      </w:divBdr>
    </w:div>
    <w:div w:id="420373338">
      <w:bodyDiv w:val="1"/>
      <w:marLeft w:val="0"/>
      <w:marRight w:val="0"/>
      <w:marTop w:val="0"/>
      <w:marBottom w:val="0"/>
      <w:divBdr>
        <w:top w:val="none" w:sz="0" w:space="0" w:color="auto"/>
        <w:left w:val="none" w:sz="0" w:space="0" w:color="auto"/>
        <w:bottom w:val="none" w:sz="0" w:space="0" w:color="auto"/>
        <w:right w:val="none" w:sz="0" w:space="0" w:color="auto"/>
      </w:divBdr>
    </w:div>
    <w:div w:id="426460068">
      <w:bodyDiv w:val="1"/>
      <w:marLeft w:val="0"/>
      <w:marRight w:val="0"/>
      <w:marTop w:val="0"/>
      <w:marBottom w:val="0"/>
      <w:divBdr>
        <w:top w:val="none" w:sz="0" w:space="0" w:color="auto"/>
        <w:left w:val="none" w:sz="0" w:space="0" w:color="auto"/>
        <w:bottom w:val="none" w:sz="0" w:space="0" w:color="auto"/>
        <w:right w:val="none" w:sz="0" w:space="0" w:color="auto"/>
      </w:divBdr>
    </w:div>
    <w:div w:id="433213322">
      <w:bodyDiv w:val="1"/>
      <w:marLeft w:val="0"/>
      <w:marRight w:val="0"/>
      <w:marTop w:val="0"/>
      <w:marBottom w:val="0"/>
      <w:divBdr>
        <w:top w:val="none" w:sz="0" w:space="0" w:color="auto"/>
        <w:left w:val="none" w:sz="0" w:space="0" w:color="auto"/>
        <w:bottom w:val="none" w:sz="0" w:space="0" w:color="auto"/>
        <w:right w:val="none" w:sz="0" w:space="0" w:color="auto"/>
      </w:divBdr>
    </w:div>
    <w:div w:id="433940719">
      <w:bodyDiv w:val="1"/>
      <w:marLeft w:val="0"/>
      <w:marRight w:val="0"/>
      <w:marTop w:val="0"/>
      <w:marBottom w:val="0"/>
      <w:divBdr>
        <w:top w:val="none" w:sz="0" w:space="0" w:color="auto"/>
        <w:left w:val="none" w:sz="0" w:space="0" w:color="auto"/>
        <w:bottom w:val="none" w:sz="0" w:space="0" w:color="auto"/>
        <w:right w:val="none" w:sz="0" w:space="0" w:color="auto"/>
      </w:divBdr>
    </w:div>
    <w:div w:id="434248336">
      <w:bodyDiv w:val="1"/>
      <w:marLeft w:val="0"/>
      <w:marRight w:val="0"/>
      <w:marTop w:val="0"/>
      <w:marBottom w:val="0"/>
      <w:divBdr>
        <w:top w:val="none" w:sz="0" w:space="0" w:color="auto"/>
        <w:left w:val="none" w:sz="0" w:space="0" w:color="auto"/>
        <w:bottom w:val="none" w:sz="0" w:space="0" w:color="auto"/>
        <w:right w:val="none" w:sz="0" w:space="0" w:color="auto"/>
      </w:divBdr>
    </w:div>
    <w:div w:id="436292031">
      <w:bodyDiv w:val="1"/>
      <w:marLeft w:val="0"/>
      <w:marRight w:val="0"/>
      <w:marTop w:val="0"/>
      <w:marBottom w:val="0"/>
      <w:divBdr>
        <w:top w:val="none" w:sz="0" w:space="0" w:color="auto"/>
        <w:left w:val="none" w:sz="0" w:space="0" w:color="auto"/>
        <w:bottom w:val="none" w:sz="0" w:space="0" w:color="auto"/>
        <w:right w:val="none" w:sz="0" w:space="0" w:color="auto"/>
      </w:divBdr>
    </w:div>
    <w:div w:id="451170775">
      <w:bodyDiv w:val="1"/>
      <w:marLeft w:val="0"/>
      <w:marRight w:val="0"/>
      <w:marTop w:val="0"/>
      <w:marBottom w:val="0"/>
      <w:divBdr>
        <w:top w:val="none" w:sz="0" w:space="0" w:color="auto"/>
        <w:left w:val="none" w:sz="0" w:space="0" w:color="auto"/>
        <w:bottom w:val="none" w:sz="0" w:space="0" w:color="auto"/>
        <w:right w:val="none" w:sz="0" w:space="0" w:color="auto"/>
      </w:divBdr>
    </w:div>
    <w:div w:id="451285854">
      <w:bodyDiv w:val="1"/>
      <w:marLeft w:val="0"/>
      <w:marRight w:val="0"/>
      <w:marTop w:val="0"/>
      <w:marBottom w:val="0"/>
      <w:divBdr>
        <w:top w:val="none" w:sz="0" w:space="0" w:color="auto"/>
        <w:left w:val="none" w:sz="0" w:space="0" w:color="auto"/>
        <w:bottom w:val="none" w:sz="0" w:space="0" w:color="auto"/>
        <w:right w:val="none" w:sz="0" w:space="0" w:color="auto"/>
      </w:divBdr>
    </w:div>
    <w:div w:id="457145405">
      <w:bodyDiv w:val="1"/>
      <w:marLeft w:val="0"/>
      <w:marRight w:val="0"/>
      <w:marTop w:val="0"/>
      <w:marBottom w:val="0"/>
      <w:divBdr>
        <w:top w:val="none" w:sz="0" w:space="0" w:color="auto"/>
        <w:left w:val="none" w:sz="0" w:space="0" w:color="auto"/>
        <w:bottom w:val="none" w:sz="0" w:space="0" w:color="auto"/>
        <w:right w:val="none" w:sz="0" w:space="0" w:color="auto"/>
      </w:divBdr>
    </w:div>
    <w:div w:id="462116749">
      <w:bodyDiv w:val="1"/>
      <w:marLeft w:val="0"/>
      <w:marRight w:val="0"/>
      <w:marTop w:val="0"/>
      <w:marBottom w:val="0"/>
      <w:divBdr>
        <w:top w:val="none" w:sz="0" w:space="0" w:color="auto"/>
        <w:left w:val="none" w:sz="0" w:space="0" w:color="auto"/>
        <w:bottom w:val="none" w:sz="0" w:space="0" w:color="auto"/>
        <w:right w:val="none" w:sz="0" w:space="0" w:color="auto"/>
      </w:divBdr>
    </w:div>
    <w:div w:id="476917409">
      <w:bodyDiv w:val="1"/>
      <w:marLeft w:val="0"/>
      <w:marRight w:val="0"/>
      <w:marTop w:val="0"/>
      <w:marBottom w:val="0"/>
      <w:divBdr>
        <w:top w:val="none" w:sz="0" w:space="0" w:color="auto"/>
        <w:left w:val="none" w:sz="0" w:space="0" w:color="auto"/>
        <w:bottom w:val="none" w:sz="0" w:space="0" w:color="auto"/>
        <w:right w:val="none" w:sz="0" w:space="0" w:color="auto"/>
      </w:divBdr>
    </w:div>
    <w:div w:id="482232695">
      <w:bodyDiv w:val="1"/>
      <w:marLeft w:val="0"/>
      <w:marRight w:val="0"/>
      <w:marTop w:val="0"/>
      <w:marBottom w:val="0"/>
      <w:divBdr>
        <w:top w:val="none" w:sz="0" w:space="0" w:color="auto"/>
        <w:left w:val="none" w:sz="0" w:space="0" w:color="auto"/>
        <w:bottom w:val="none" w:sz="0" w:space="0" w:color="auto"/>
        <w:right w:val="none" w:sz="0" w:space="0" w:color="auto"/>
      </w:divBdr>
    </w:div>
    <w:div w:id="495658584">
      <w:bodyDiv w:val="1"/>
      <w:marLeft w:val="0"/>
      <w:marRight w:val="0"/>
      <w:marTop w:val="0"/>
      <w:marBottom w:val="0"/>
      <w:divBdr>
        <w:top w:val="none" w:sz="0" w:space="0" w:color="auto"/>
        <w:left w:val="none" w:sz="0" w:space="0" w:color="auto"/>
        <w:bottom w:val="none" w:sz="0" w:space="0" w:color="auto"/>
        <w:right w:val="none" w:sz="0" w:space="0" w:color="auto"/>
      </w:divBdr>
    </w:div>
    <w:div w:id="519590350">
      <w:bodyDiv w:val="1"/>
      <w:marLeft w:val="0"/>
      <w:marRight w:val="0"/>
      <w:marTop w:val="0"/>
      <w:marBottom w:val="0"/>
      <w:divBdr>
        <w:top w:val="none" w:sz="0" w:space="0" w:color="auto"/>
        <w:left w:val="none" w:sz="0" w:space="0" w:color="auto"/>
        <w:bottom w:val="none" w:sz="0" w:space="0" w:color="auto"/>
        <w:right w:val="none" w:sz="0" w:space="0" w:color="auto"/>
      </w:divBdr>
    </w:div>
    <w:div w:id="531113100">
      <w:bodyDiv w:val="1"/>
      <w:marLeft w:val="0"/>
      <w:marRight w:val="0"/>
      <w:marTop w:val="0"/>
      <w:marBottom w:val="0"/>
      <w:divBdr>
        <w:top w:val="none" w:sz="0" w:space="0" w:color="auto"/>
        <w:left w:val="none" w:sz="0" w:space="0" w:color="auto"/>
        <w:bottom w:val="none" w:sz="0" w:space="0" w:color="auto"/>
        <w:right w:val="none" w:sz="0" w:space="0" w:color="auto"/>
      </w:divBdr>
    </w:div>
    <w:div w:id="534847498">
      <w:bodyDiv w:val="1"/>
      <w:marLeft w:val="0"/>
      <w:marRight w:val="0"/>
      <w:marTop w:val="0"/>
      <w:marBottom w:val="0"/>
      <w:divBdr>
        <w:top w:val="none" w:sz="0" w:space="0" w:color="auto"/>
        <w:left w:val="none" w:sz="0" w:space="0" w:color="auto"/>
        <w:bottom w:val="none" w:sz="0" w:space="0" w:color="auto"/>
        <w:right w:val="none" w:sz="0" w:space="0" w:color="auto"/>
      </w:divBdr>
    </w:div>
    <w:div w:id="558630940">
      <w:bodyDiv w:val="1"/>
      <w:marLeft w:val="0"/>
      <w:marRight w:val="0"/>
      <w:marTop w:val="0"/>
      <w:marBottom w:val="0"/>
      <w:divBdr>
        <w:top w:val="none" w:sz="0" w:space="0" w:color="auto"/>
        <w:left w:val="none" w:sz="0" w:space="0" w:color="auto"/>
        <w:bottom w:val="none" w:sz="0" w:space="0" w:color="auto"/>
        <w:right w:val="none" w:sz="0" w:space="0" w:color="auto"/>
      </w:divBdr>
    </w:div>
    <w:div w:id="560137034">
      <w:bodyDiv w:val="1"/>
      <w:marLeft w:val="0"/>
      <w:marRight w:val="0"/>
      <w:marTop w:val="0"/>
      <w:marBottom w:val="0"/>
      <w:divBdr>
        <w:top w:val="none" w:sz="0" w:space="0" w:color="auto"/>
        <w:left w:val="none" w:sz="0" w:space="0" w:color="auto"/>
        <w:bottom w:val="none" w:sz="0" w:space="0" w:color="auto"/>
        <w:right w:val="none" w:sz="0" w:space="0" w:color="auto"/>
      </w:divBdr>
    </w:div>
    <w:div w:id="568468130">
      <w:bodyDiv w:val="1"/>
      <w:marLeft w:val="0"/>
      <w:marRight w:val="0"/>
      <w:marTop w:val="0"/>
      <w:marBottom w:val="0"/>
      <w:divBdr>
        <w:top w:val="none" w:sz="0" w:space="0" w:color="auto"/>
        <w:left w:val="none" w:sz="0" w:space="0" w:color="auto"/>
        <w:bottom w:val="none" w:sz="0" w:space="0" w:color="auto"/>
        <w:right w:val="none" w:sz="0" w:space="0" w:color="auto"/>
      </w:divBdr>
    </w:div>
    <w:div w:id="591473514">
      <w:bodyDiv w:val="1"/>
      <w:marLeft w:val="0"/>
      <w:marRight w:val="0"/>
      <w:marTop w:val="0"/>
      <w:marBottom w:val="0"/>
      <w:divBdr>
        <w:top w:val="none" w:sz="0" w:space="0" w:color="auto"/>
        <w:left w:val="none" w:sz="0" w:space="0" w:color="auto"/>
        <w:bottom w:val="none" w:sz="0" w:space="0" w:color="auto"/>
        <w:right w:val="none" w:sz="0" w:space="0" w:color="auto"/>
      </w:divBdr>
    </w:div>
    <w:div w:id="592402148">
      <w:bodyDiv w:val="1"/>
      <w:marLeft w:val="0"/>
      <w:marRight w:val="0"/>
      <w:marTop w:val="0"/>
      <w:marBottom w:val="0"/>
      <w:divBdr>
        <w:top w:val="none" w:sz="0" w:space="0" w:color="auto"/>
        <w:left w:val="none" w:sz="0" w:space="0" w:color="auto"/>
        <w:bottom w:val="none" w:sz="0" w:space="0" w:color="auto"/>
        <w:right w:val="none" w:sz="0" w:space="0" w:color="auto"/>
      </w:divBdr>
    </w:div>
    <w:div w:id="606079795">
      <w:bodyDiv w:val="1"/>
      <w:marLeft w:val="0"/>
      <w:marRight w:val="0"/>
      <w:marTop w:val="0"/>
      <w:marBottom w:val="0"/>
      <w:divBdr>
        <w:top w:val="none" w:sz="0" w:space="0" w:color="auto"/>
        <w:left w:val="none" w:sz="0" w:space="0" w:color="auto"/>
        <w:bottom w:val="none" w:sz="0" w:space="0" w:color="auto"/>
        <w:right w:val="none" w:sz="0" w:space="0" w:color="auto"/>
      </w:divBdr>
    </w:div>
    <w:div w:id="615138963">
      <w:bodyDiv w:val="1"/>
      <w:marLeft w:val="0"/>
      <w:marRight w:val="0"/>
      <w:marTop w:val="0"/>
      <w:marBottom w:val="0"/>
      <w:divBdr>
        <w:top w:val="none" w:sz="0" w:space="0" w:color="auto"/>
        <w:left w:val="none" w:sz="0" w:space="0" w:color="auto"/>
        <w:bottom w:val="none" w:sz="0" w:space="0" w:color="auto"/>
        <w:right w:val="none" w:sz="0" w:space="0" w:color="auto"/>
      </w:divBdr>
    </w:div>
    <w:div w:id="662201161">
      <w:bodyDiv w:val="1"/>
      <w:marLeft w:val="0"/>
      <w:marRight w:val="0"/>
      <w:marTop w:val="0"/>
      <w:marBottom w:val="0"/>
      <w:divBdr>
        <w:top w:val="none" w:sz="0" w:space="0" w:color="auto"/>
        <w:left w:val="none" w:sz="0" w:space="0" w:color="auto"/>
        <w:bottom w:val="none" w:sz="0" w:space="0" w:color="auto"/>
        <w:right w:val="none" w:sz="0" w:space="0" w:color="auto"/>
      </w:divBdr>
    </w:div>
    <w:div w:id="668291830">
      <w:bodyDiv w:val="1"/>
      <w:marLeft w:val="0"/>
      <w:marRight w:val="0"/>
      <w:marTop w:val="0"/>
      <w:marBottom w:val="0"/>
      <w:divBdr>
        <w:top w:val="none" w:sz="0" w:space="0" w:color="auto"/>
        <w:left w:val="none" w:sz="0" w:space="0" w:color="auto"/>
        <w:bottom w:val="none" w:sz="0" w:space="0" w:color="auto"/>
        <w:right w:val="none" w:sz="0" w:space="0" w:color="auto"/>
      </w:divBdr>
    </w:div>
    <w:div w:id="669450394">
      <w:bodyDiv w:val="1"/>
      <w:marLeft w:val="0"/>
      <w:marRight w:val="0"/>
      <w:marTop w:val="0"/>
      <w:marBottom w:val="0"/>
      <w:divBdr>
        <w:top w:val="none" w:sz="0" w:space="0" w:color="auto"/>
        <w:left w:val="none" w:sz="0" w:space="0" w:color="auto"/>
        <w:bottom w:val="none" w:sz="0" w:space="0" w:color="auto"/>
        <w:right w:val="none" w:sz="0" w:space="0" w:color="auto"/>
      </w:divBdr>
    </w:div>
    <w:div w:id="695160976">
      <w:bodyDiv w:val="1"/>
      <w:marLeft w:val="0"/>
      <w:marRight w:val="0"/>
      <w:marTop w:val="0"/>
      <w:marBottom w:val="0"/>
      <w:divBdr>
        <w:top w:val="none" w:sz="0" w:space="0" w:color="auto"/>
        <w:left w:val="none" w:sz="0" w:space="0" w:color="auto"/>
        <w:bottom w:val="none" w:sz="0" w:space="0" w:color="auto"/>
        <w:right w:val="none" w:sz="0" w:space="0" w:color="auto"/>
      </w:divBdr>
    </w:div>
    <w:div w:id="704670392">
      <w:bodyDiv w:val="1"/>
      <w:marLeft w:val="0"/>
      <w:marRight w:val="0"/>
      <w:marTop w:val="0"/>
      <w:marBottom w:val="0"/>
      <w:divBdr>
        <w:top w:val="none" w:sz="0" w:space="0" w:color="auto"/>
        <w:left w:val="none" w:sz="0" w:space="0" w:color="auto"/>
        <w:bottom w:val="none" w:sz="0" w:space="0" w:color="auto"/>
        <w:right w:val="none" w:sz="0" w:space="0" w:color="auto"/>
      </w:divBdr>
    </w:div>
    <w:div w:id="708533270">
      <w:bodyDiv w:val="1"/>
      <w:marLeft w:val="0"/>
      <w:marRight w:val="0"/>
      <w:marTop w:val="0"/>
      <w:marBottom w:val="0"/>
      <w:divBdr>
        <w:top w:val="none" w:sz="0" w:space="0" w:color="auto"/>
        <w:left w:val="none" w:sz="0" w:space="0" w:color="auto"/>
        <w:bottom w:val="none" w:sz="0" w:space="0" w:color="auto"/>
        <w:right w:val="none" w:sz="0" w:space="0" w:color="auto"/>
      </w:divBdr>
    </w:div>
    <w:div w:id="714351281">
      <w:bodyDiv w:val="1"/>
      <w:marLeft w:val="0"/>
      <w:marRight w:val="0"/>
      <w:marTop w:val="0"/>
      <w:marBottom w:val="0"/>
      <w:divBdr>
        <w:top w:val="none" w:sz="0" w:space="0" w:color="auto"/>
        <w:left w:val="none" w:sz="0" w:space="0" w:color="auto"/>
        <w:bottom w:val="none" w:sz="0" w:space="0" w:color="auto"/>
        <w:right w:val="none" w:sz="0" w:space="0" w:color="auto"/>
      </w:divBdr>
    </w:div>
    <w:div w:id="715394088">
      <w:bodyDiv w:val="1"/>
      <w:marLeft w:val="0"/>
      <w:marRight w:val="0"/>
      <w:marTop w:val="0"/>
      <w:marBottom w:val="0"/>
      <w:divBdr>
        <w:top w:val="none" w:sz="0" w:space="0" w:color="auto"/>
        <w:left w:val="none" w:sz="0" w:space="0" w:color="auto"/>
        <w:bottom w:val="none" w:sz="0" w:space="0" w:color="auto"/>
        <w:right w:val="none" w:sz="0" w:space="0" w:color="auto"/>
      </w:divBdr>
    </w:div>
    <w:div w:id="723068078">
      <w:bodyDiv w:val="1"/>
      <w:marLeft w:val="0"/>
      <w:marRight w:val="0"/>
      <w:marTop w:val="0"/>
      <w:marBottom w:val="0"/>
      <w:divBdr>
        <w:top w:val="none" w:sz="0" w:space="0" w:color="auto"/>
        <w:left w:val="none" w:sz="0" w:space="0" w:color="auto"/>
        <w:bottom w:val="none" w:sz="0" w:space="0" w:color="auto"/>
        <w:right w:val="none" w:sz="0" w:space="0" w:color="auto"/>
      </w:divBdr>
    </w:div>
    <w:div w:id="723985981">
      <w:bodyDiv w:val="1"/>
      <w:marLeft w:val="0"/>
      <w:marRight w:val="0"/>
      <w:marTop w:val="0"/>
      <w:marBottom w:val="0"/>
      <w:divBdr>
        <w:top w:val="none" w:sz="0" w:space="0" w:color="auto"/>
        <w:left w:val="none" w:sz="0" w:space="0" w:color="auto"/>
        <w:bottom w:val="none" w:sz="0" w:space="0" w:color="auto"/>
        <w:right w:val="none" w:sz="0" w:space="0" w:color="auto"/>
      </w:divBdr>
    </w:div>
    <w:div w:id="746270136">
      <w:bodyDiv w:val="1"/>
      <w:marLeft w:val="0"/>
      <w:marRight w:val="0"/>
      <w:marTop w:val="0"/>
      <w:marBottom w:val="0"/>
      <w:divBdr>
        <w:top w:val="none" w:sz="0" w:space="0" w:color="auto"/>
        <w:left w:val="none" w:sz="0" w:space="0" w:color="auto"/>
        <w:bottom w:val="none" w:sz="0" w:space="0" w:color="auto"/>
        <w:right w:val="none" w:sz="0" w:space="0" w:color="auto"/>
      </w:divBdr>
    </w:div>
    <w:div w:id="749352532">
      <w:bodyDiv w:val="1"/>
      <w:marLeft w:val="0"/>
      <w:marRight w:val="0"/>
      <w:marTop w:val="0"/>
      <w:marBottom w:val="0"/>
      <w:divBdr>
        <w:top w:val="none" w:sz="0" w:space="0" w:color="auto"/>
        <w:left w:val="none" w:sz="0" w:space="0" w:color="auto"/>
        <w:bottom w:val="none" w:sz="0" w:space="0" w:color="auto"/>
        <w:right w:val="none" w:sz="0" w:space="0" w:color="auto"/>
      </w:divBdr>
    </w:div>
    <w:div w:id="767888371">
      <w:bodyDiv w:val="1"/>
      <w:marLeft w:val="0"/>
      <w:marRight w:val="0"/>
      <w:marTop w:val="0"/>
      <w:marBottom w:val="0"/>
      <w:divBdr>
        <w:top w:val="none" w:sz="0" w:space="0" w:color="auto"/>
        <w:left w:val="none" w:sz="0" w:space="0" w:color="auto"/>
        <w:bottom w:val="none" w:sz="0" w:space="0" w:color="auto"/>
        <w:right w:val="none" w:sz="0" w:space="0" w:color="auto"/>
      </w:divBdr>
    </w:div>
    <w:div w:id="780607009">
      <w:bodyDiv w:val="1"/>
      <w:marLeft w:val="0"/>
      <w:marRight w:val="0"/>
      <w:marTop w:val="0"/>
      <w:marBottom w:val="0"/>
      <w:divBdr>
        <w:top w:val="none" w:sz="0" w:space="0" w:color="auto"/>
        <w:left w:val="none" w:sz="0" w:space="0" w:color="auto"/>
        <w:bottom w:val="none" w:sz="0" w:space="0" w:color="auto"/>
        <w:right w:val="none" w:sz="0" w:space="0" w:color="auto"/>
      </w:divBdr>
    </w:div>
    <w:div w:id="784421749">
      <w:bodyDiv w:val="1"/>
      <w:marLeft w:val="0"/>
      <w:marRight w:val="0"/>
      <w:marTop w:val="0"/>
      <w:marBottom w:val="0"/>
      <w:divBdr>
        <w:top w:val="none" w:sz="0" w:space="0" w:color="auto"/>
        <w:left w:val="none" w:sz="0" w:space="0" w:color="auto"/>
        <w:bottom w:val="none" w:sz="0" w:space="0" w:color="auto"/>
        <w:right w:val="none" w:sz="0" w:space="0" w:color="auto"/>
      </w:divBdr>
    </w:div>
    <w:div w:id="818155415">
      <w:bodyDiv w:val="1"/>
      <w:marLeft w:val="0"/>
      <w:marRight w:val="0"/>
      <w:marTop w:val="0"/>
      <w:marBottom w:val="0"/>
      <w:divBdr>
        <w:top w:val="none" w:sz="0" w:space="0" w:color="auto"/>
        <w:left w:val="none" w:sz="0" w:space="0" w:color="auto"/>
        <w:bottom w:val="none" w:sz="0" w:space="0" w:color="auto"/>
        <w:right w:val="none" w:sz="0" w:space="0" w:color="auto"/>
      </w:divBdr>
    </w:div>
    <w:div w:id="820266728">
      <w:bodyDiv w:val="1"/>
      <w:marLeft w:val="0"/>
      <w:marRight w:val="0"/>
      <w:marTop w:val="0"/>
      <w:marBottom w:val="0"/>
      <w:divBdr>
        <w:top w:val="none" w:sz="0" w:space="0" w:color="auto"/>
        <w:left w:val="none" w:sz="0" w:space="0" w:color="auto"/>
        <w:bottom w:val="none" w:sz="0" w:space="0" w:color="auto"/>
        <w:right w:val="none" w:sz="0" w:space="0" w:color="auto"/>
      </w:divBdr>
    </w:div>
    <w:div w:id="826289408">
      <w:bodyDiv w:val="1"/>
      <w:marLeft w:val="0"/>
      <w:marRight w:val="0"/>
      <w:marTop w:val="0"/>
      <w:marBottom w:val="0"/>
      <w:divBdr>
        <w:top w:val="none" w:sz="0" w:space="0" w:color="auto"/>
        <w:left w:val="none" w:sz="0" w:space="0" w:color="auto"/>
        <w:bottom w:val="none" w:sz="0" w:space="0" w:color="auto"/>
        <w:right w:val="none" w:sz="0" w:space="0" w:color="auto"/>
      </w:divBdr>
    </w:div>
    <w:div w:id="828247567">
      <w:bodyDiv w:val="1"/>
      <w:marLeft w:val="0"/>
      <w:marRight w:val="0"/>
      <w:marTop w:val="0"/>
      <w:marBottom w:val="0"/>
      <w:divBdr>
        <w:top w:val="none" w:sz="0" w:space="0" w:color="auto"/>
        <w:left w:val="none" w:sz="0" w:space="0" w:color="auto"/>
        <w:bottom w:val="none" w:sz="0" w:space="0" w:color="auto"/>
        <w:right w:val="none" w:sz="0" w:space="0" w:color="auto"/>
      </w:divBdr>
    </w:div>
    <w:div w:id="834684730">
      <w:bodyDiv w:val="1"/>
      <w:marLeft w:val="0"/>
      <w:marRight w:val="0"/>
      <w:marTop w:val="0"/>
      <w:marBottom w:val="0"/>
      <w:divBdr>
        <w:top w:val="none" w:sz="0" w:space="0" w:color="auto"/>
        <w:left w:val="none" w:sz="0" w:space="0" w:color="auto"/>
        <w:bottom w:val="none" w:sz="0" w:space="0" w:color="auto"/>
        <w:right w:val="none" w:sz="0" w:space="0" w:color="auto"/>
      </w:divBdr>
    </w:div>
    <w:div w:id="834950745">
      <w:bodyDiv w:val="1"/>
      <w:marLeft w:val="0"/>
      <w:marRight w:val="0"/>
      <w:marTop w:val="0"/>
      <w:marBottom w:val="0"/>
      <w:divBdr>
        <w:top w:val="none" w:sz="0" w:space="0" w:color="auto"/>
        <w:left w:val="none" w:sz="0" w:space="0" w:color="auto"/>
        <w:bottom w:val="none" w:sz="0" w:space="0" w:color="auto"/>
        <w:right w:val="none" w:sz="0" w:space="0" w:color="auto"/>
      </w:divBdr>
    </w:div>
    <w:div w:id="838080110">
      <w:bodyDiv w:val="1"/>
      <w:marLeft w:val="0"/>
      <w:marRight w:val="0"/>
      <w:marTop w:val="0"/>
      <w:marBottom w:val="0"/>
      <w:divBdr>
        <w:top w:val="none" w:sz="0" w:space="0" w:color="auto"/>
        <w:left w:val="none" w:sz="0" w:space="0" w:color="auto"/>
        <w:bottom w:val="none" w:sz="0" w:space="0" w:color="auto"/>
        <w:right w:val="none" w:sz="0" w:space="0" w:color="auto"/>
      </w:divBdr>
    </w:div>
    <w:div w:id="849442994">
      <w:bodyDiv w:val="1"/>
      <w:marLeft w:val="0"/>
      <w:marRight w:val="0"/>
      <w:marTop w:val="0"/>
      <w:marBottom w:val="0"/>
      <w:divBdr>
        <w:top w:val="none" w:sz="0" w:space="0" w:color="auto"/>
        <w:left w:val="none" w:sz="0" w:space="0" w:color="auto"/>
        <w:bottom w:val="none" w:sz="0" w:space="0" w:color="auto"/>
        <w:right w:val="none" w:sz="0" w:space="0" w:color="auto"/>
      </w:divBdr>
    </w:div>
    <w:div w:id="868034076">
      <w:bodyDiv w:val="1"/>
      <w:marLeft w:val="0"/>
      <w:marRight w:val="0"/>
      <w:marTop w:val="0"/>
      <w:marBottom w:val="0"/>
      <w:divBdr>
        <w:top w:val="none" w:sz="0" w:space="0" w:color="auto"/>
        <w:left w:val="none" w:sz="0" w:space="0" w:color="auto"/>
        <w:bottom w:val="none" w:sz="0" w:space="0" w:color="auto"/>
        <w:right w:val="none" w:sz="0" w:space="0" w:color="auto"/>
      </w:divBdr>
    </w:div>
    <w:div w:id="878006225">
      <w:bodyDiv w:val="1"/>
      <w:marLeft w:val="0"/>
      <w:marRight w:val="0"/>
      <w:marTop w:val="0"/>
      <w:marBottom w:val="0"/>
      <w:divBdr>
        <w:top w:val="none" w:sz="0" w:space="0" w:color="auto"/>
        <w:left w:val="none" w:sz="0" w:space="0" w:color="auto"/>
        <w:bottom w:val="none" w:sz="0" w:space="0" w:color="auto"/>
        <w:right w:val="none" w:sz="0" w:space="0" w:color="auto"/>
      </w:divBdr>
    </w:div>
    <w:div w:id="896624813">
      <w:bodyDiv w:val="1"/>
      <w:marLeft w:val="0"/>
      <w:marRight w:val="0"/>
      <w:marTop w:val="0"/>
      <w:marBottom w:val="0"/>
      <w:divBdr>
        <w:top w:val="none" w:sz="0" w:space="0" w:color="auto"/>
        <w:left w:val="none" w:sz="0" w:space="0" w:color="auto"/>
        <w:bottom w:val="none" w:sz="0" w:space="0" w:color="auto"/>
        <w:right w:val="none" w:sz="0" w:space="0" w:color="auto"/>
      </w:divBdr>
    </w:div>
    <w:div w:id="899707565">
      <w:bodyDiv w:val="1"/>
      <w:marLeft w:val="0"/>
      <w:marRight w:val="0"/>
      <w:marTop w:val="0"/>
      <w:marBottom w:val="0"/>
      <w:divBdr>
        <w:top w:val="none" w:sz="0" w:space="0" w:color="auto"/>
        <w:left w:val="none" w:sz="0" w:space="0" w:color="auto"/>
        <w:bottom w:val="none" w:sz="0" w:space="0" w:color="auto"/>
        <w:right w:val="none" w:sz="0" w:space="0" w:color="auto"/>
      </w:divBdr>
    </w:div>
    <w:div w:id="902369626">
      <w:bodyDiv w:val="1"/>
      <w:marLeft w:val="0"/>
      <w:marRight w:val="0"/>
      <w:marTop w:val="0"/>
      <w:marBottom w:val="0"/>
      <w:divBdr>
        <w:top w:val="none" w:sz="0" w:space="0" w:color="auto"/>
        <w:left w:val="none" w:sz="0" w:space="0" w:color="auto"/>
        <w:bottom w:val="none" w:sz="0" w:space="0" w:color="auto"/>
        <w:right w:val="none" w:sz="0" w:space="0" w:color="auto"/>
      </w:divBdr>
    </w:div>
    <w:div w:id="904485466">
      <w:bodyDiv w:val="1"/>
      <w:marLeft w:val="0"/>
      <w:marRight w:val="0"/>
      <w:marTop w:val="0"/>
      <w:marBottom w:val="0"/>
      <w:divBdr>
        <w:top w:val="none" w:sz="0" w:space="0" w:color="auto"/>
        <w:left w:val="none" w:sz="0" w:space="0" w:color="auto"/>
        <w:bottom w:val="none" w:sz="0" w:space="0" w:color="auto"/>
        <w:right w:val="none" w:sz="0" w:space="0" w:color="auto"/>
      </w:divBdr>
    </w:div>
    <w:div w:id="927272789">
      <w:bodyDiv w:val="1"/>
      <w:marLeft w:val="0"/>
      <w:marRight w:val="0"/>
      <w:marTop w:val="0"/>
      <w:marBottom w:val="0"/>
      <w:divBdr>
        <w:top w:val="none" w:sz="0" w:space="0" w:color="auto"/>
        <w:left w:val="none" w:sz="0" w:space="0" w:color="auto"/>
        <w:bottom w:val="none" w:sz="0" w:space="0" w:color="auto"/>
        <w:right w:val="none" w:sz="0" w:space="0" w:color="auto"/>
      </w:divBdr>
    </w:div>
    <w:div w:id="933056762">
      <w:bodyDiv w:val="1"/>
      <w:marLeft w:val="0"/>
      <w:marRight w:val="0"/>
      <w:marTop w:val="0"/>
      <w:marBottom w:val="0"/>
      <w:divBdr>
        <w:top w:val="none" w:sz="0" w:space="0" w:color="auto"/>
        <w:left w:val="none" w:sz="0" w:space="0" w:color="auto"/>
        <w:bottom w:val="none" w:sz="0" w:space="0" w:color="auto"/>
        <w:right w:val="none" w:sz="0" w:space="0" w:color="auto"/>
      </w:divBdr>
    </w:div>
    <w:div w:id="942228806">
      <w:bodyDiv w:val="1"/>
      <w:marLeft w:val="0"/>
      <w:marRight w:val="0"/>
      <w:marTop w:val="0"/>
      <w:marBottom w:val="0"/>
      <w:divBdr>
        <w:top w:val="none" w:sz="0" w:space="0" w:color="auto"/>
        <w:left w:val="none" w:sz="0" w:space="0" w:color="auto"/>
        <w:bottom w:val="none" w:sz="0" w:space="0" w:color="auto"/>
        <w:right w:val="none" w:sz="0" w:space="0" w:color="auto"/>
      </w:divBdr>
    </w:div>
    <w:div w:id="946039857">
      <w:bodyDiv w:val="1"/>
      <w:marLeft w:val="0"/>
      <w:marRight w:val="0"/>
      <w:marTop w:val="0"/>
      <w:marBottom w:val="0"/>
      <w:divBdr>
        <w:top w:val="none" w:sz="0" w:space="0" w:color="auto"/>
        <w:left w:val="none" w:sz="0" w:space="0" w:color="auto"/>
        <w:bottom w:val="none" w:sz="0" w:space="0" w:color="auto"/>
        <w:right w:val="none" w:sz="0" w:space="0" w:color="auto"/>
      </w:divBdr>
    </w:div>
    <w:div w:id="951127915">
      <w:bodyDiv w:val="1"/>
      <w:marLeft w:val="0"/>
      <w:marRight w:val="0"/>
      <w:marTop w:val="0"/>
      <w:marBottom w:val="0"/>
      <w:divBdr>
        <w:top w:val="none" w:sz="0" w:space="0" w:color="auto"/>
        <w:left w:val="none" w:sz="0" w:space="0" w:color="auto"/>
        <w:bottom w:val="none" w:sz="0" w:space="0" w:color="auto"/>
        <w:right w:val="none" w:sz="0" w:space="0" w:color="auto"/>
      </w:divBdr>
    </w:div>
    <w:div w:id="956909543">
      <w:bodyDiv w:val="1"/>
      <w:marLeft w:val="0"/>
      <w:marRight w:val="0"/>
      <w:marTop w:val="0"/>
      <w:marBottom w:val="0"/>
      <w:divBdr>
        <w:top w:val="none" w:sz="0" w:space="0" w:color="auto"/>
        <w:left w:val="none" w:sz="0" w:space="0" w:color="auto"/>
        <w:bottom w:val="none" w:sz="0" w:space="0" w:color="auto"/>
        <w:right w:val="none" w:sz="0" w:space="0" w:color="auto"/>
      </w:divBdr>
    </w:div>
    <w:div w:id="985013851">
      <w:bodyDiv w:val="1"/>
      <w:marLeft w:val="0"/>
      <w:marRight w:val="0"/>
      <w:marTop w:val="0"/>
      <w:marBottom w:val="0"/>
      <w:divBdr>
        <w:top w:val="none" w:sz="0" w:space="0" w:color="auto"/>
        <w:left w:val="none" w:sz="0" w:space="0" w:color="auto"/>
        <w:bottom w:val="none" w:sz="0" w:space="0" w:color="auto"/>
        <w:right w:val="none" w:sz="0" w:space="0" w:color="auto"/>
      </w:divBdr>
    </w:div>
    <w:div w:id="994912334">
      <w:bodyDiv w:val="1"/>
      <w:marLeft w:val="0"/>
      <w:marRight w:val="0"/>
      <w:marTop w:val="0"/>
      <w:marBottom w:val="0"/>
      <w:divBdr>
        <w:top w:val="none" w:sz="0" w:space="0" w:color="auto"/>
        <w:left w:val="none" w:sz="0" w:space="0" w:color="auto"/>
        <w:bottom w:val="none" w:sz="0" w:space="0" w:color="auto"/>
        <w:right w:val="none" w:sz="0" w:space="0" w:color="auto"/>
      </w:divBdr>
    </w:div>
    <w:div w:id="1002585854">
      <w:bodyDiv w:val="1"/>
      <w:marLeft w:val="0"/>
      <w:marRight w:val="0"/>
      <w:marTop w:val="0"/>
      <w:marBottom w:val="0"/>
      <w:divBdr>
        <w:top w:val="none" w:sz="0" w:space="0" w:color="auto"/>
        <w:left w:val="none" w:sz="0" w:space="0" w:color="auto"/>
        <w:bottom w:val="none" w:sz="0" w:space="0" w:color="auto"/>
        <w:right w:val="none" w:sz="0" w:space="0" w:color="auto"/>
      </w:divBdr>
    </w:div>
    <w:div w:id="1010058919">
      <w:bodyDiv w:val="1"/>
      <w:marLeft w:val="0"/>
      <w:marRight w:val="0"/>
      <w:marTop w:val="0"/>
      <w:marBottom w:val="0"/>
      <w:divBdr>
        <w:top w:val="none" w:sz="0" w:space="0" w:color="auto"/>
        <w:left w:val="none" w:sz="0" w:space="0" w:color="auto"/>
        <w:bottom w:val="none" w:sz="0" w:space="0" w:color="auto"/>
        <w:right w:val="none" w:sz="0" w:space="0" w:color="auto"/>
      </w:divBdr>
    </w:div>
    <w:div w:id="1044056878">
      <w:bodyDiv w:val="1"/>
      <w:marLeft w:val="0"/>
      <w:marRight w:val="0"/>
      <w:marTop w:val="0"/>
      <w:marBottom w:val="0"/>
      <w:divBdr>
        <w:top w:val="none" w:sz="0" w:space="0" w:color="auto"/>
        <w:left w:val="none" w:sz="0" w:space="0" w:color="auto"/>
        <w:bottom w:val="none" w:sz="0" w:space="0" w:color="auto"/>
        <w:right w:val="none" w:sz="0" w:space="0" w:color="auto"/>
      </w:divBdr>
    </w:div>
    <w:div w:id="1054235326">
      <w:bodyDiv w:val="1"/>
      <w:marLeft w:val="0"/>
      <w:marRight w:val="0"/>
      <w:marTop w:val="0"/>
      <w:marBottom w:val="0"/>
      <w:divBdr>
        <w:top w:val="none" w:sz="0" w:space="0" w:color="auto"/>
        <w:left w:val="none" w:sz="0" w:space="0" w:color="auto"/>
        <w:bottom w:val="none" w:sz="0" w:space="0" w:color="auto"/>
        <w:right w:val="none" w:sz="0" w:space="0" w:color="auto"/>
      </w:divBdr>
    </w:div>
    <w:div w:id="1056587828">
      <w:bodyDiv w:val="1"/>
      <w:marLeft w:val="0"/>
      <w:marRight w:val="0"/>
      <w:marTop w:val="0"/>
      <w:marBottom w:val="0"/>
      <w:divBdr>
        <w:top w:val="none" w:sz="0" w:space="0" w:color="auto"/>
        <w:left w:val="none" w:sz="0" w:space="0" w:color="auto"/>
        <w:bottom w:val="none" w:sz="0" w:space="0" w:color="auto"/>
        <w:right w:val="none" w:sz="0" w:space="0" w:color="auto"/>
      </w:divBdr>
    </w:div>
    <w:div w:id="1056667159">
      <w:bodyDiv w:val="1"/>
      <w:marLeft w:val="0"/>
      <w:marRight w:val="0"/>
      <w:marTop w:val="0"/>
      <w:marBottom w:val="0"/>
      <w:divBdr>
        <w:top w:val="none" w:sz="0" w:space="0" w:color="auto"/>
        <w:left w:val="none" w:sz="0" w:space="0" w:color="auto"/>
        <w:bottom w:val="none" w:sz="0" w:space="0" w:color="auto"/>
        <w:right w:val="none" w:sz="0" w:space="0" w:color="auto"/>
      </w:divBdr>
    </w:div>
    <w:div w:id="1060862431">
      <w:bodyDiv w:val="1"/>
      <w:marLeft w:val="0"/>
      <w:marRight w:val="0"/>
      <w:marTop w:val="0"/>
      <w:marBottom w:val="0"/>
      <w:divBdr>
        <w:top w:val="none" w:sz="0" w:space="0" w:color="auto"/>
        <w:left w:val="none" w:sz="0" w:space="0" w:color="auto"/>
        <w:bottom w:val="none" w:sz="0" w:space="0" w:color="auto"/>
        <w:right w:val="none" w:sz="0" w:space="0" w:color="auto"/>
      </w:divBdr>
    </w:div>
    <w:div w:id="1062633141">
      <w:bodyDiv w:val="1"/>
      <w:marLeft w:val="0"/>
      <w:marRight w:val="0"/>
      <w:marTop w:val="0"/>
      <w:marBottom w:val="0"/>
      <w:divBdr>
        <w:top w:val="none" w:sz="0" w:space="0" w:color="auto"/>
        <w:left w:val="none" w:sz="0" w:space="0" w:color="auto"/>
        <w:bottom w:val="none" w:sz="0" w:space="0" w:color="auto"/>
        <w:right w:val="none" w:sz="0" w:space="0" w:color="auto"/>
      </w:divBdr>
    </w:div>
    <w:div w:id="1068110200">
      <w:bodyDiv w:val="1"/>
      <w:marLeft w:val="0"/>
      <w:marRight w:val="0"/>
      <w:marTop w:val="0"/>
      <w:marBottom w:val="0"/>
      <w:divBdr>
        <w:top w:val="none" w:sz="0" w:space="0" w:color="auto"/>
        <w:left w:val="none" w:sz="0" w:space="0" w:color="auto"/>
        <w:bottom w:val="none" w:sz="0" w:space="0" w:color="auto"/>
        <w:right w:val="none" w:sz="0" w:space="0" w:color="auto"/>
      </w:divBdr>
    </w:div>
    <w:div w:id="1094210065">
      <w:bodyDiv w:val="1"/>
      <w:marLeft w:val="0"/>
      <w:marRight w:val="0"/>
      <w:marTop w:val="0"/>
      <w:marBottom w:val="0"/>
      <w:divBdr>
        <w:top w:val="none" w:sz="0" w:space="0" w:color="auto"/>
        <w:left w:val="none" w:sz="0" w:space="0" w:color="auto"/>
        <w:bottom w:val="none" w:sz="0" w:space="0" w:color="auto"/>
        <w:right w:val="none" w:sz="0" w:space="0" w:color="auto"/>
      </w:divBdr>
    </w:div>
    <w:div w:id="1125848362">
      <w:bodyDiv w:val="1"/>
      <w:marLeft w:val="0"/>
      <w:marRight w:val="0"/>
      <w:marTop w:val="0"/>
      <w:marBottom w:val="0"/>
      <w:divBdr>
        <w:top w:val="none" w:sz="0" w:space="0" w:color="auto"/>
        <w:left w:val="none" w:sz="0" w:space="0" w:color="auto"/>
        <w:bottom w:val="none" w:sz="0" w:space="0" w:color="auto"/>
        <w:right w:val="none" w:sz="0" w:space="0" w:color="auto"/>
      </w:divBdr>
    </w:div>
    <w:div w:id="1137603159">
      <w:bodyDiv w:val="1"/>
      <w:marLeft w:val="0"/>
      <w:marRight w:val="0"/>
      <w:marTop w:val="0"/>
      <w:marBottom w:val="0"/>
      <w:divBdr>
        <w:top w:val="none" w:sz="0" w:space="0" w:color="auto"/>
        <w:left w:val="none" w:sz="0" w:space="0" w:color="auto"/>
        <w:bottom w:val="none" w:sz="0" w:space="0" w:color="auto"/>
        <w:right w:val="none" w:sz="0" w:space="0" w:color="auto"/>
      </w:divBdr>
    </w:div>
    <w:div w:id="1148091026">
      <w:bodyDiv w:val="1"/>
      <w:marLeft w:val="0"/>
      <w:marRight w:val="0"/>
      <w:marTop w:val="0"/>
      <w:marBottom w:val="0"/>
      <w:divBdr>
        <w:top w:val="none" w:sz="0" w:space="0" w:color="auto"/>
        <w:left w:val="none" w:sz="0" w:space="0" w:color="auto"/>
        <w:bottom w:val="none" w:sz="0" w:space="0" w:color="auto"/>
        <w:right w:val="none" w:sz="0" w:space="0" w:color="auto"/>
      </w:divBdr>
    </w:div>
    <w:div w:id="1161920301">
      <w:bodyDiv w:val="1"/>
      <w:marLeft w:val="0"/>
      <w:marRight w:val="0"/>
      <w:marTop w:val="0"/>
      <w:marBottom w:val="0"/>
      <w:divBdr>
        <w:top w:val="none" w:sz="0" w:space="0" w:color="auto"/>
        <w:left w:val="none" w:sz="0" w:space="0" w:color="auto"/>
        <w:bottom w:val="none" w:sz="0" w:space="0" w:color="auto"/>
        <w:right w:val="none" w:sz="0" w:space="0" w:color="auto"/>
      </w:divBdr>
    </w:div>
    <w:div w:id="1163856591">
      <w:bodyDiv w:val="1"/>
      <w:marLeft w:val="0"/>
      <w:marRight w:val="0"/>
      <w:marTop w:val="0"/>
      <w:marBottom w:val="0"/>
      <w:divBdr>
        <w:top w:val="none" w:sz="0" w:space="0" w:color="auto"/>
        <w:left w:val="none" w:sz="0" w:space="0" w:color="auto"/>
        <w:bottom w:val="none" w:sz="0" w:space="0" w:color="auto"/>
        <w:right w:val="none" w:sz="0" w:space="0" w:color="auto"/>
      </w:divBdr>
    </w:div>
    <w:div w:id="1167551355">
      <w:bodyDiv w:val="1"/>
      <w:marLeft w:val="0"/>
      <w:marRight w:val="0"/>
      <w:marTop w:val="0"/>
      <w:marBottom w:val="0"/>
      <w:divBdr>
        <w:top w:val="none" w:sz="0" w:space="0" w:color="auto"/>
        <w:left w:val="none" w:sz="0" w:space="0" w:color="auto"/>
        <w:bottom w:val="none" w:sz="0" w:space="0" w:color="auto"/>
        <w:right w:val="none" w:sz="0" w:space="0" w:color="auto"/>
      </w:divBdr>
    </w:div>
    <w:div w:id="1171676880">
      <w:bodyDiv w:val="1"/>
      <w:marLeft w:val="0"/>
      <w:marRight w:val="0"/>
      <w:marTop w:val="0"/>
      <w:marBottom w:val="0"/>
      <w:divBdr>
        <w:top w:val="none" w:sz="0" w:space="0" w:color="auto"/>
        <w:left w:val="none" w:sz="0" w:space="0" w:color="auto"/>
        <w:bottom w:val="none" w:sz="0" w:space="0" w:color="auto"/>
        <w:right w:val="none" w:sz="0" w:space="0" w:color="auto"/>
      </w:divBdr>
    </w:div>
    <w:div w:id="1171985847">
      <w:bodyDiv w:val="1"/>
      <w:marLeft w:val="0"/>
      <w:marRight w:val="0"/>
      <w:marTop w:val="0"/>
      <w:marBottom w:val="0"/>
      <w:divBdr>
        <w:top w:val="none" w:sz="0" w:space="0" w:color="auto"/>
        <w:left w:val="none" w:sz="0" w:space="0" w:color="auto"/>
        <w:bottom w:val="none" w:sz="0" w:space="0" w:color="auto"/>
        <w:right w:val="none" w:sz="0" w:space="0" w:color="auto"/>
      </w:divBdr>
    </w:div>
    <w:div w:id="1180267932">
      <w:bodyDiv w:val="1"/>
      <w:marLeft w:val="0"/>
      <w:marRight w:val="0"/>
      <w:marTop w:val="0"/>
      <w:marBottom w:val="0"/>
      <w:divBdr>
        <w:top w:val="none" w:sz="0" w:space="0" w:color="auto"/>
        <w:left w:val="none" w:sz="0" w:space="0" w:color="auto"/>
        <w:bottom w:val="none" w:sz="0" w:space="0" w:color="auto"/>
        <w:right w:val="none" w:sz="0" w:space="0" w:color="auto"/>
      </w:divBdr>
    </w:div>
    <w:div w:id="1186408522">
      <w:bodyDiv w:val="1"/>
      <w:marLeft w:val="0"/>
      <w:marRight w:val="0"/>
      <w:marTop w:val="0"/>
      <w:marBottom w:val="0"/>
      <w:divBdr>
        <w:top w:val="none" w:sz="0" w:space="0" w:color="auto"/>
        <w:left w:val="none" w:sz="0" w:space="0" w:color="auto"/>
        <w:bottom w:val="none" w:sz="0" w:space="0" w:color="auto"/>
        <w:right w:val="none" w:sz="0" w:space="0" w:color="auto"/>
      </w:divBdr>
    </w:div>
    <w:div w:id="1189026274">
      <w:bodyDiv w:val="1"/>
      <w:marLeft w:val="0"/>
      <w:marRight w:val="0"/>
      <w:marTop w:val="0"/>
      <w:marBottom w:val="0"/>
      <w:divBdr>
        <w:top w:val="none" w:sz="0" w:space="0" w:color="auto"/>
        <w:left w:val="none" w:sz="0" w:space="0" w:color="auto"/>
        <w:bottom w:val="none" w:sz="0" w:space="0" w:color="auto"/>
        <w:right w:val="none" w:sz="0" w:space="0" w:color="auto"/>
      </w:divBdr>
    </w:div>
    <w:div w:id="1203901436">
      <w:bodyDiv w:val="1"/>
      <w:marLeft w:val="0"/>
      <w:marRight w:val="0"/>
      <w:marTop w:val="0"/>
      <w:marBottom w:val="0"/>
      <w:divBdr>
        <w:top w:val="none" w:sz="0" w:space="0" w:color="auto"/>
        <w:left w:val="none" w:sz="0" w:space="0" w:color="auto"/>
        <w:bottom w:val="none" w:sz="0" w:space="0" w:color="auto"/>
        <w:right w:val="none" w:sz="0" w:space="0" w:color="auto"/>
      </w:divBdr>
    </w:div>
    <w:div w:id="1209410875">
      <w:bodyDiv w:val="1"/>
      <w:marLeft w:val="0"/>
      <w:marRight w:val="0"/>
      <w:marTop w:val="0"/>
      <w:marBottom w:val="0"/>
      <w:divBdr>
        <w:top w:val="none" w:sz="0" w:space="0" w:color="auto"/>
        <w:left w:val="none" w:sz="0" w:space="0" w:color="auto"/>
        <w:bottom w:val="none" w:sz="0" w:space="0" w:color="auto"/>
        <w:right w:val="none" w:sz="0" w:space="0" w:color="auto"/>
      </w:divBdr>
    </w:div>
    <w:div w:id="1214387482">
      <w:bodyDiv w:val="1"/>
      <w:marLeft w:val="0"/>
      <w:marRight w:val="0"/>
      <w:marTop w:val="0"/>
      <w:marBottom w:val="0"/>
      <w:divBdr>
        <w:top w:val="none" w:sz="0" w:space="0" w:color="auto"/>
        <w:left w:val="none" w:sz="0" w:space="0" w:color="auto"/>
        <w:bottom w:val="none" w:sz="0" w:space="0" w:color="auto"/>
        <w:right w:val="none" w:sz="0" w:space="0" w:color="auto"/>
      </w:divBdr>
    </w:div>
    <w:div w:id="1241867506">
      <w:bodyDiv w:val="1"/>
      <w:marLeft w:val="0"/>
      <w:marRight w:val="0"/>
      <w:marTop w:val="0"/>
      <w:marBottom w:val="0"/>
      <w:divBdr>
        <w:top w:val="none" w:sz="0" w:space="0" w:color="auto"/>
        <w:left w:val="none" w:sz="0" w:space="0" w:color="auto"/>
        <w:bottom w:val="none" w:sz="0" w:space="0" w:color="auto"/>
        <w:right w:val="none" w:sz="0" w:space="0" w:color="auto"/>
      </w:divBdr>
    </w:div>
    <w:div w:id="1269389672">
      <w:bodyDiv w:val="1"/>
      <w:marLeft w:val="0"/>
      <w:marRight w:val="0"/>
      <w:marTop w:val="0"/>
      <w:marBottom w:val="0"/>
      <w:divBdr>
        <w:top w:val="none" w:sz="0" w:space="0" w:color="auto"/>
        <w:left w:val="none" w:sz="0" w:space="0" w:color="auto"/>
        <w:bottom w:val="none" w:sz="0" w:space="0" w:color="auto"/>
        <w:right w:val="none" w:sz="0" w:space="0" w:color="auto"/>
      </w:divBdr>
    </w:div>
    <w:div w:id="1274676370">
      <w:bodyDiv w:val="1"/>
      <w:marLeft w:val="0"/>
      <w:marRight w:val="0"/>
      <w:marTop w:val="0"/>
      <w:marBottom w:val="0"/>
      <w:divBdr>
        <w:top w:val="none" w:sz="0" w:space="0" w:color="auto"/>
        <w:left w:val="none" w:sz="0" w:space="0" w:color="auto"/>
        <w:bottom w:val="none" w:sz="0" w:space="0" w:color="auto"/>
        <w:right w:val="none" w:sz="0" w:space="0" w:color="auto"/>
      </w:divBdr>
    </w:div>
    <w:div w:id="1282104736">
      <w:bodyDiv w:val="1"/>
      <w:marLeft w:val="0"/>
      <w:marRight w:val="0"/>
      <w:marTop w:val="0"/>
      <w:marBottom w:val="0"/>
      <w:divBdr>
        <w:top w:val="none" w:sz="0" w:space="0" w:color="auto"/>
        <w:left w:val="none" w:sz="0" w:space="0" w:color="auto"/>
        <w:bottom w:val="none" w:sz="0" w:space="0" w:color="auto"/>
        <w:right w:val="none" w:sz="0" w:space="0" w:color="auto"/>
      </w:divBdr>
    </w:div>
    <w:div w:id="1289627714">
      <w:bodyDiv w:val="1"/>
      <w:marLeft w:val="0"/>
      <w:marRight w:val="0"/>
      <w:marTop w:val="0"/>
      <w:marBottom w:val="0"/>
      <w:divBdr>
        <w:top w:val="none" w:sz="0" w:space="0" w:color="auto"/>
        <w:left w:val="none" w:sz="0" w:space="0" w:color="auto"/>
        <w:bottom w:val="none" w:sz="0" w:space="0" w:color="auto"/>
        <w:right w:val="none" w:sz="0" w:space="0" w:color="auto"/>
      </w:divBdr>
    </w:div>
    <w:div w:id="1295520590">
      <w:bodyDiv w:val="1"/>
      <w:marLeft w:val="0"/>
      <w:marRight w:val="0"/>
      <w:marTop w:val="0"/>
      <w:marBottom w:val="0"/>
      <w:divBdr>
        <w:top w:val="none" w:sz="0" w:space="0" w:color="auto"/>
        <w:left w:val="none" w:sz="0" w:space="0" w:color="auto"/>
        <w:bottom w:val="none" w:sz="0" w:space="0" w:color="auto"/>
        <w:right w:val="none" w:sz="0" w:space="0" w:color="auto"/>
      </w:divBdr>
    </w:div>
    <w:div w:id="1296762991">
      <w:bodyDiv w:val="1"/>
      <w:marLeft w:val="0"/>
      <w:marRight w:val="0"/>
      <w:marTop w:val="0"/>
      <w:marBottom w:val="0"/>
      <w:divBdr>
        <w:top w:val="none" w:sz="0" w:space="0" w:color="auto"/>
        <w:left w:val="none" w:sz="0" w:space="0" w:color="auto"/>
        <w:bottom w:val="none" w:sz="0" w:space="0" w:color="auto"/>
        <w:right w:val="none" w:sz="0" w:space="0" w:color="auto"/>
      </w:divBdr>
    </w:div>
    <w:div w:id="1311058788">
      <w:bodyDiv w:val="1"/>
      <w:marLeft w:val="0"/>
      <w:marRight w:val="0"/>
      <w:marTop w:val="0"/>
      <w:marBottom w:val="0"/>
      <w:divBdr>
        <w:top w:val="none" w:sz="0" w:space="0" w:color="auto"/>
        <w:left w:val="none" w:sz="0" w:space="0" w:color="auto"/>
        <w:bottom w:val="none" w:sz="0" w:space="0" w:color="auto"/>
        <w:right w:val="none" w:sz="0" w:space="0" w:color="auto"/>
      </w:divBdr>
    </w:div>
    <w:div w:id="1311785382">
      <w:bodyDiv w:val="1"/>
      <w:marLeft w:val="0"/>
      <w:marRight w:val="0"/>
      <w:marTop w:val="0"/>
      <w:marBottom w:val="0"/>
      <w:divBdr>
        <w:top w:val="none" w:sz="0" w:space="0" w:color="auto"/>
        <w:left w:val="none" w:sz="0" w:space="0" w:color="auto"/>
        <w:bottom w:val="none" w:sz="0" w:space="0" w:color="auto"/>
        <w:right w:val="none" w:sz="0" w:space="0" w:color="auto"/>
      </w:divBdr>
    </w:div>
    <w:div w:id="1314455690">
      <w:bodyDiv w:val="1"/>
      <w:marLeft w:val="0"/>
      <w:marRight w:val="0"/>
      <w:marTop w:val="0"/>
      <w:marBottom w:val="0"/>
      <w:divBdr>
        <w:top w:val="none" w:sz="0" w:space="0" w:color="auto"/>
        <w:left w:val="none" w:sz="0" w:space="0" w:color="auto"/>
        <w:bottom w:val="none" w:sz="0" w:space="0" w:color="auto"/>
        <w:right w:val="none" w:sz="0" w:space="0" w:color="auto"/>
      </w:divBdr>
    </w:div>
    <w:div w:id="1317302533">
      <w:bodyDiv w:val="1"/>
      <w:marLeft w:val="0"/>
      <w:marRight w:val="0"/>
      <w:marTop w:val="0"/>
      <w:marBottom w:val="0"/>
      <w:divBdr>
        <w:top w:val="none" w:sz="0" w:space="0" w:color="auto"/>
        <w:left w:val="none" w:sz="0" w:space="0" w:color="auto"/>
        <w:bottom w:val="none" w:sz="0" w:space="0" w:color="auto"/>
        <w:right w:val="none" w:sz="0" w:space="0" w:color="auto"/>
      </w:divBdr>
    </w:div>
    <w:div w:id="1319187081">
      <w:bodyDiv w:val="1"/>
      <w:marLeft w:val="0"/>
      <w:marRight w:val="0"/>
      <w:marTop w:val="0"/>
      <w:marBottom w:val="0"/>
      <w:divBdr>
        <w:top w:val="none" w:sz="0" w:space="0" w:color="auto"/>
        <w:left w:val="none" w:sz="0" w:space="0" w:color="auto"/>
        <w:bottom w:val="none" w:sz="0" w:space="0" w:color="auto"/>
        <w:right w:val="none" w:sz="0" w:space="0" w:color="auto"/>
      </w:divBdr>
    </w:div>
    <w:div w:id="1330674887">
      <w:bodyDiv w:val="1"/>
      <w:marLeft w:val="0"/>
      <w:marRight w:val="0"/>
      <w:marTop w:val="0"/>
      <w:marBottom w:val="0"/>
      <w:divBdr>
        <w:top w:val="none" w:sz="0" w:space="0" w:color="auto"/>
        <w:left w:val="none" w:sz="0" w:space="0" w:color="auto"/>
        <w:bottom w:val="none" w:sz="0" w:space="0" w:color="auto"/>
        <w:right w:val="none" w:sz="0" w:space="0" w:color="auto"/>
      </w:divBdr>
    </w:div>
    <w:div w:id="1337489819">
      <w:bodyDiv w:val="1"/>
      <w:marLeft w:val="0"/>
      <w:marRight w:val="0"/>
      <w:marTop w:val="0"/>
      <w:marBottom w:val="0"/>
      <w:divBdr>
        <w:top w:val="none" w:sz="0" w:space="0" w:color="auto"/>
        <w:left w:val="none" w:sz="0" w:space="0" w:color="auto"/>
        <w:bottom w:val="none" w:sz="0" w:space="0" w:color="auto"/>
        <w:right w:val="none" w:sz="0" w:space="0" w:color="auto"/>
      </w:divBdr>
    </w:div>
    <w:div w:id="1358695775">
      <w:bodyDiv w:val="1"/>
      <w:marLeft w:val="0"/>
      <w:marRight w:val="0"/>
      <w:marTop w:val="0"/>
      <w:marBottom w:val="0"/>
      <w:divBdr>
        <w:top w:val="none" w:sz="0" w:space="0" w:color="auto"/>
        <w:left w:val="none" w:sz="0" w:space="0" w:color="auto"/>
        <w:bottom w:val="none" w:sz="0" w:space="0" w:color="auto"/>
        <w:right w:val="none" w:sz="0" w:space="0" w:color="auto"/>
      </w:divBdr>
    </w:div>
    <w:div w:id="1359163884">
      <w:bodyDiv w:val="1"/>
      <w:marLeft w:val="0"/>
      <w:marRight w:val="0"/>
      <w:marTop w:val="0"/>
      <w:marBottom w:val="0"/>
      <w:divBdr>
        <w:top w:val="none" w:sz="0" w:space="0" w:color="auto"/>
        <w:left w:val="none" w:sz="0" w:space="0" w:color="auto"/>
        <w:bottom w:val="none" w:sz="0" w:space="0" w:color="auto"/>
        <w:right w:val="none" w:sz="0" w:space="0" w:color="auto"/>
      </w:divBdr>
    </w:div>
    <w:div w:id="1365979200">
      <w:bodyDiv w:val="1"/>
      <w:marLeft w:val="0"/>
      <w:marRight w:val="0"/>
      <w:marTop w:val="0"/>
      <w:marBottom w:val="0"/>
      <w:divBdr>
        <w:top w:val="none" w:sz="0" w:space="0" w:color="auto"/>
        <w:left w:val="none" w:sz="0" w:space="0" w:color="auto"/>
        <w:bottom w:val="none" w:sz="0" w:space="0" w:color="auto"/>
        <w:right w:val="none" w:sz="0" w:space="0" w:color="auto"/>
      </w:divBdr>
    </w:div>
    <w:div w:id="1374815819">
      <w:bodyDiv w:val="1"/>
      <w:marLeft w:val="0"/>
      <w:marRight w:val="0"/>
      <w:marTop w:val="0"/>
      <w:marBottom w:val="0"/>
      <w:divBdr>
        <w:top w:val="none" w:sz="0" w:space="0" w:color="auto"/>
        <w:left w:val="none" w:sz="0" w:space="0" w:color="auto"/>
        <w:bottom w:val="none" w:sz="0" w:space="0" w:color="auto"/>
        <w:right w:val="none" w:sz="0" w:space="0" w:color="auto"/>
      </w:divBdr>
    </w:div>
    <w:div w:id="1403137609">
      <w:bodyDiv w:val="1"/>
      <w:marLeft w:val="0"/>
      <w:marRight w:val="0"/>
      <w:marTop w:val="0"/>
      <w:marBottom w:val="0"/>
      <w:divBdr>
        <w:top w:val="none" w:sz="0" w:space="0" w:color="auto"/>
        <w:left w:val="none" w:sz="0" w:space="0" w:color="auto"/>
        <w:bottom w:val="none" w:sz="0" w:space="0" w:color="auto"/>
        <w:right w:val="none" w:sz="0" w:space="0" w:color="auto"/>
      </w:divBdr>
    </w:div>
    <w:div w:id="1421826879">
      <w:bodyDiv w:val="1"/>
      <w:marLeft w:val="0"/>
      <w:marRight w:val="0"/>
      <w:marTop w:val="0"/>
      <w:marBottom w:val="0"/>
      <w:divBdr>
        <w:top w:val="none" w:sz="0" w:space="0" w:color="auto"/>
        <w:left w:val="none" w:sz="0" w:space="0" w:color="auto"/>
        <w:bottom w:val="none" w:sz="0" w:space="0" w:color="auto"/>
        <w:right w:val="none" w:sz="0" w:space="0" w:color="auto"/>
      </w:divBdr>
    </w:div>
    <w:div w:id="1425880791">
      <w:bodyDiv w:val="1"/>
      <w:marLeft w:val="0"/>
      <w:marRight w:val="0"/>
      <w:marTop w:val="0"/>
      <w:marBottom w:val="0"/>
      <w:divBdr>
        <w:top w:val="none" w:sz="0" w:space="0" w:color="auto"/>
        <w:left w:val="none" w:sz="0" w:space="0" w:color="auto"/>
        <w:bottom w:val="none" w:sz="0" w:space="0" w:color="auto"/>
        <w:right w:val="none" w:sz="0" w:space="0" w:color="auto"/>
      </w:divBdr>
    </w:div>
    <w:div w:id="1430587322">
      <w:bodyDiv w:val="1"/>
      <w:marLeft w:val="0"/>
      <w:marRight w:val="0"/>
      <w:marTop w:val="0"/>
      <w:marBottom w:val="0"/>
      <w:divBdr>
        <w:top w:val="none" w:sz="0" w:space="0" w:color="auto"/>
        <w:left w:val="none" w:sz="0" w:space="0" w:color="auto"/>
        <w:bottom w:val="none" w:sz="0" w:space="0" w:color="auto"/>
        <w:right w:val="none" w:sz="0" w:space="0" w:color="auto"/>
      </w:divBdr>
    </w:div>
    <w:div w:id="1479112526">
      <w:bodyDiv w:val="1"/>
      <w:marLeft w:val="0"/>
      <w:marRight w:val="0"/>
      <w:marTop w:val="0"/>
      <w:marBottom w:val="0"/>
      <w:divBdr>
        <w:top w:val="none" w:sz="0" w:space="0" w:color="auto"/>
        <w:left w:val="none" w:sz="0" w:space="0" w:color="auto"/>
        <w:bottom w:val="none" w:sz="0" w:space="0" w:color="auto"/>
        <w:right w:val="none" w:sz="0" w:space="0" w:color="auto"/>
      </w:divBdr>
    </w:div>
    <w:div w:id="1486358396">
      <w:bodyDiv w:val="1"/>
      <w:marLeft w:val="0"/>
      <w:marRight w:val="0"/>
      <w:marTop w:val="0"/>
      <w:marBottom w:val="0"/>
      <w:divBdr>
        <w:top w:val="none" w:sz="0" w:space="0" w:color="auto"/>
        <w:left w:val="none" w:sz="0" w:space="0" w:color="auto"/>
        <w:bottom w:val="none" w:sz="0" w:space="0" w:color="auto"/>
        <w:right w:val="none" w:sz="0" w:space="0" w:color="auto"/>
      </w:divBdr>
    </w:div>
    <w:div w:id="1491679709">
      <w:bodyDiv w:val="1"/>
      <w:marLeft w:val="0"/>
      <w:marRight w:val="0"/>
      <w:marTop w:val="0"/>
      <w:marBottom w:val="0"/>
      <w:divBdr>
        <w:top w:val="none" w:sz="0" w:space="0" w:color="auto"/>
        <w:left w:val="none" w:sz="0" w:space="0" w:color="auto"/>
        <w:bottom w:val="none" w:sz="0" w:space="0" w:color="auto"/>
        <w:right w:val="none" w:sz="0" w:space="0" w:color="auto"/>
      </w:divBdr>
    </w:div>
    <w:div w:id="1512185298">
      <w:bodyDiv w:val="1"/>
      <w:marLeft w:val="0"/>
      <w:marRight w:val="0"/>
      <w:marTop w:val="0"/>
      <w:marBottom w:val="0"/>
      <w:divBdr>
        <w:top w:val="none" w:sz="0" w:space="0" w:color="auto"/>
        <w:left w:val="none" w:sz="0" w:space="0" w:color="auto"/>
        <w:bottom w:val="none" w:sz="0" w:space="0" w:color="auto"/>
        <w:right w:val="none" w:sz="0" w:space="0" w:color="auto"/>
      </w:divBdr>
    </w:div>
    <w:div w:id="1521310536">
      <w:bodyDiv w:val="1"/>
      <w:marLeft w:val="0"/>
      <w:marRight w:val="0"/>
      <w:marTop w:val="0"/>
      <w:marBottom w:val="0"/>
      <w:divBdr>
        <w:top w:val="none" w:sz="0" w:space="0" w:color="auto"/>
        <w:left w:val="none" w:sz="0" w:space="0" w:color="auto"/>
        <w:bottom w:val="none" w:sz="0" w:space="0" w:color="auto"/>
        <w:right w:val="none" w:sz="0" w:space="0" w:color="auto"/>
      </w:divBdr>
    </w:div>
    <w:div w:id="1529949759">
      <w:bodyDiv w:val="1"/>
      <w:marLeft w:val="0"/>
      <w:marRight w:val="0"/>
      <w:marTop w:val="0"/>
      <w:marBottom w:val="0"/>
      <w:divBdr>
        <w:top w:val="none" w:sz="0" w:space="0" w:color="auto"/>
        <w:left w:val="none" w:sz="0" w:space="0" w:color="auto"/>
        <w:bottom w:val="none" w:sz="0" w:space="0" w:color="auto"/>
        <w:right w:val="none" w:sz="0" w:space="0" w:color="auto"/>
      </w:divBdr>
    </w:div>
    <w:div w:id="1538271534">
      <w:bodyDiv w:val="1"/>
      <w:marLeft w:val="0"/>
      <w:marRight w:val="0"/>
      <w:marTop w:val="0"/>
      <w:marBottom w:val="0"/>
      <w:divBdr>
        <w:top w:val="none" w:sz="0" w:space="0" w:color="auto"/>
        <w:left w:val="none" w:sz="0" w:space="0" w:color="auto"/>
        <w:bottom w:val="none" w:sz="0" w:space="0" w:color="auto"/>
        <w:right w:val="none" w:sz="0" w:space="0" w:color="auto"/>
      </w:divBdr>
    </w:div>
    <w:div w:id="1541894727">
      <w:bodyDiv w:val="1"/>
      <w:marLeft w:val="0"/>
      <w:marRight w:val="0"/>
      <w:marTop w:val="0"/>
      <w:marBottom w:val="0"/>
      <w:divBdr>
        <w:top w:val="none" w:sz="0" w:space="0" w:color="auto"/>
        <w:left w:val="none" w:sz="0" w:space="0" w:color="auto"/>
        <w:bottom w:val="none" w:sz="0" w:space="0" w:color="auto"/>
        <w:right w:val="none" w:sz="0" w:space="0" w:color="auto"/>
      </w:divBdr>
    </w:div>
    <w:div w:id="1578438359">
      <w:bodyDiv w:val="1"/>
      <w:marLeft w:val="0"/>
      <w:marRight w:val="0"/>
      <w:marTop w:val="0"/>
      <w:marBottom w:val="0"/>
      <w:divBdr>
        <w:top w:val="none" w:sz="0" w:space="0" w:color="auto"/>
        <w:left w:val="none" w:sz="0" w:space="0" w:color="auto"/>
        <w:bottom w:val="none" w:sz="0" w:space="0" w:color="auto"/>
        <w:right w:val="none" w:sz="0" w:space="0" w:color="auto"/>
      </w:divBdr>
    </w:div>
    <w:div w:id="1587493576">
      <w:bodyDiv w:val="1"/>
      <w:marLeft w:val="0"/>
      <w:marRight w:val="0"/>
      <w:marTop w:val="0"/>
      <w:marBottom w:val="0"/>
      <w:divBdr>
        <w:top w:val="none" w:sz="0" w:space="0" w:color="auto"/>
        <w:left w:val="none" w:sz="0" w:space="0" w:color="auto"/>
        <w:bottom w:val="none" w:sz="0" w:space="0" w:color="auto"/>
        <w:right w:val="none" w:sz="0" w:space="0" w:color="auto"/>
      </w:divBdr>
    </w:div>
    <w:div w:id="1598828411">
      <w:bodyDiv w:val="1"/>
      <w:marLeft w:val="0"/>
      <w:marRight w:val="0"/>
      <w:marTop w:val="0"/>
      <w:marBottom w:val="0"/>
      <w:divBdr>
        <w:top w:val="none" w:sz="0" w:space="0" w:color="auto"/>
        <w:left w:val="none" w:sz="0" w:space="0" w:color="auto"/>
        <w:bottom w:val="none" w:sz="0" w:space="0" w:color="auto"/>
        <w:right w:val="none" w:sz="0" w:space="0" w:color="auto"/>
      </w:divBdr>
    </w:div>
    <w:div w:id="1609507792">
      <w:bodyDiv w:val="1"/>
      <w:marLeft w:val="0"/>
      <w:marRight w:val="0"/>
      <w:marTop w:val="0"/>
      <w:marBottom w:val="0"/>
      <w:divBdr>
        <w:top w:val="none" w:sz="0" w:space="0" w:color="auto"/>
        <w:left w:val="none" w:sz="0" w:space="0" w:color="auto"/>
        <w:bottom w:val="none" w:sz="0" w:space="0" w:color="auto"/>
        <w:right w:val="none" w:sz="0" w:space="0" w:color="auto"/>
      </w:divBdr>
    </w:div>
    <w:div w:id="1616668835">
      <w:bodyDiv w:val="1"/>
      <w:marLeft w:val="0"/>
      <w:marRight w:val="0"/>
      <w:marTop w:val="0"/>
      <w:marBottom w:val="0"/>
      <w:divBdr>
        <w:top w:val="none" w:sz="0" w:space="0" w:color="auto"/>
        <w:left w:val="none" w:sz="0" w:space="0" w:color="auto"/>
        <w:bottom w:val="none" w:sz="0" w:space="0" w:color="auto"/>
        <w:right w:val="none" w:sz="0" w:space="0" w:color="auto"/>
      </w:divBdr>
    </w:div>
    <w:div w:id="1627393421">
      <w:bodyDiv w:val="1"/>
      <w:marLeft w:val="0"/>
      <w:marRight w:val="0"/>
      <w:marTop w:val="0"/>
      <w:marBottom w:val="0"/>
      <w:divBdr>
        <w:top w:val="none" w:sz="0" w:space="0" w:color="auto"/>
        <w:left w:val="none" w:sz="0" w:space="0" w:color="auto"/>
        <w:bottom w:val="none" w:sz="0" w:space="0" w:color="auto"/>
        <w:right w:val="none" w:sz="0" w:space="0" w:color="auto"/>
      </w:divBdr>
    </w:div>
    <w:div w:id="1628974914">
      <w:bodyDiv w:val="1"/>
      <w:marLeft w:val="0"/>
      <w:marRight w:val="0"/>
      <w:marTop w:val="0"/>
      <w:marBottom w:val="0"/>
      <w:divBdr>
        <w:top w:val="none" w:sz="0" w:space="0" w:color="auto"/>
        <w:left w:val="none" w:sz="0" w:space="0" w:color="auto"/>
        <w:bottom w:val="none" w:sz="0" w:space="0" w:color="auto"/>
        <w:right w:val="none" w:sz="0" w:space="0" w:color="auto"/>
      </w:divBdr>
    </w:div>
    <w:div w:id="1646085055">
      <w:bodyDiv w:val="1"/>
      <w:marLeft w:val="0"/>
      <w:marRight w:val="0"/>
      <w:marTop w:val="0"/>
      <w:marBottom w:val="0"/>
      <w:divBdr>
        <w:top w:val="none" w:sz="0" w:space="0" w:color="auto"/>
        <w:left w:val="none" w:sz="0" w:space="0" w:color="auto"/>
        <w:bottom w:val="none" w:sz="0" w:space="0" w:color="auto"/>
        <w:right w:val="none" w:sz="0" w:space="0" w:color="auto"/>
      </w:divBdr>
    </w:div>
    <w:div w:id="1648123309">
      <w:bodyDiv w:val="1"/>
      <w:marLeft w:val="0"/>
      <w:marRight w:val="0"/>
      <w:marTop w:val="0"/>
      <w:marBottom w:val="0"/>
      <w:divBdr>
        <w:top w:val="none" w:sz="0" w:space="0" w:color="auto"/>
        <w:left w:val="none" w:sz="0" w:space="0" w:color="auto"/>
        <w:bottom w:val="none" w:sz="0" w:space="0" w:color="auto"/>
        <w:right w:val="none" w:sz="0" w:space="0" w:color="auto"/>
      </w:divBdr>
    </w:div>
    <w:div w:id="1651783448">
      <w:bodyDiv w:val="1"/>
      <w:marLeft w:val="0"/>
      <w:marRight w:val="0"/>
      <w:marTop w:val="0"/>
      <w:marBottom w:val="0"/>
      <w:divBdr>
        <w:top w:val="none" w:sz="0" w:space="0" w:color="auto"/>
        <w:left w:val="none" w:sz="0" w:space="0" w:color="auto"/>
        <w:bottom w:val="none" w:sz="0" w:space="0" w:color="auto"/>
        <w:right w:val="none" w:sz="0" w:space="0" w:color="auto"/>
      </w:divBdr>
    </w:div>
    <w:div w:id="1658797922">
      <w:bodyDiv w:val="1"/>
      <w:marLeft w:val="0"/>
      <w:marRight w:val="0"/>
      <w:marTop w:val="0"/>
      <w:marBottom w:val="0"/>
      <w:divBdr>
        <w:top w:val="none" w:sz="0" w:space="0" w:color="auto"/>
        <w:left w:val="none" w:sz="0" w:space="0" w:color="auto"/>
        <w:bottom w:val="none" w:sz="0" w:space="0" w:color="auto"/>
        <w:right w:val="none" w:sz="0" w:space="0" w:color="auto"/>
      </w:divBdr>
    </w:div>
    <w:div w:id="1673877329">
      <w:bodyDiv w:val="1"/>
      <w:marLeft w:val="0"/>
      <w:marRight w:val="0"/>
      <w:marTop w:val="0"/>
      <w:marBottom w:val="0"/>
      <w:divBdr>
        <w:top w:val="none" w:sz="0" w:space="0" w:color="auto"/>
        <w:left w:val="none" w:sz="0" w:space="0" w:color="auto"/>
        <w:bottom w:val="none" w:sz="0" w:space="0" w:color="auto"/>
        <w:right w:val="none" w:sz="0" w:space="0" w:color="auto"/>
      </w:divBdr>
    </w:div>
    <w:div w:id="1680541446">
      <w:bodyDiv w:val="1"/>
      <w:marLeft w:val="0"/>
      <w:marRight w:val="0"/>
      <w:marTop w:val="0"/>
      <w:marBottom w:val="0"/>
      <w:divBdr>
        <w:top w:val="none" w:sz="0" w:space="0" w:color="auto"/>
        <w:left w:val="none" w:sz="0" w:space="0" w:color="auto"/>
        <w:bottom w:val="none" w:sz="0" w:space="0" w:color="auto"/>
        <w:right w:val="none" w:sz="0" w:space="0" w:color="auto"/>
      </w:divBdr>
    </w:div>
    <w:div w:id="1681540536">
      <w:bodyDiv w:val="1"/>
      <w:marLeft w:val="0"/>
      <w:marRight w:val="0"/>
      <w:marTop w:val="0"/>
      <w:marBottom w:val="0"/>
      <w:divBdr>
        <w:top w:val="none" w:sz="0" w:space="0" w:color="auto"/>
        <w:left w:val="none" w:sz="0" w:space="0" w:color="auto"/>
        <w:bottom w:val="none" w:sz="0" w:space="0" w:color="auto"/>
        <w:right w:val="none" w:sz="0" w:space="0" w:color="auto"/>
      </w:divBdr>
    </w:div>
    <w:div w:id="1681933327">
      <w:bodyDiv w:val="1"/>
      <w:marLeft w:val="0"/>
      <w:marRight w:val="0"/>
      <w:marTop w:val="0"/>
      <w:marBottom w:val="0"/>
      <w:divBdr>
        <w:top w:val="none" w:sz="0" w:space="0" w:color="auto"/>
        <w:left w:val="none" w:sz="0" w:space="0" w:color="auto"/>
        <w:bottom w:val="none" w:sz="0" w:space="0" w:color="auto"/>
        <w:right w:val="none" w:sz="0" w:space="0" w:color="auto"/>
      </w:divBdr>
    </w:div>
    <w:div w:id="1683817529">
      <w:bodyDiv w:val="1"/>
      <w:marLeft w:val="0"/>
      <w:marRight w:val="0"/>
      <w:marTop w:val="0"/>
      <w:marBottom w:val="0"/>
      <w:divBdr>
        <w:top w:val="none" w:sz="0" w:space="0" w:color="auto"/>
        <w:left w:val="none" w:sz="0" w:space="0" w:color="auto"/>
        <w:bottom w:val="none" w:sz="0" w:space="0" w:color="auto"/>
        <w:right w:val="none" w:sz="0" w:space="0" w:color="auto"/>
      </w:divBdr>
    </w:div>
    <w:div w:id="1698431121">
      <w:bodyDiv w:val="1"/>
      <w:marLeft w:val="0"/>
      <w:marRight w:val="0"/>
      <w:marTop w:val="0"/>
      <w:marBottom w:val="0"/>
      <w:divBdr>
        <w:top w:val="none" w:sz="0" w:space="0" w:color="auto"/>
        <w:left w:val="none" w:sz="0" w:space="0" w:color="auto"/>
        <w:bottom w:val="none" w:sz="0" w:space="0" w:color="auto"/>
        <w:right w:val="none" w:sz="0" w:space="0" w:color="auto"/>
      </w:divBdr>
    </w:div>
    <w:div w:id="1703507182">
      <w:bodyDiv w:val="1"/>
      <w:marLeft w:val="0"/>
      <w:marRight w:val="0"/>
      <w:marTop w:val="0"/>
      <w:marBottom w:val="0"/>
      <w:divBdr>
        <w:top w:val="none" w:sz="0" w:space="0" w:color="auto"/>
        <w:left w:val="none" w:sz="0" w:space="0" w:color="auto"/>
        <w:bottom w:val="none" w:sz="0" w:space="0" w:color="auto"/>
        <w:right w:val="none" w:sz="0" w:space="0" w:color="auto"/>
      </w:divBdr>
    </w:div>
    <w:div w:id="1711225421">
      <w:bodyDiv w:val="1"/>
      <w:marLeft w:val="0"/>
      <w:marRight w:val="0"/>
      <w:marTop w:val="0"/>
      <w:marBottom w:val="0"/>
      <w:divBdr>
        <w:top w:val="none" w:sz="0" w:space="0" w:color="auto"/>
        <w:left w:val="none" w:sz="0" w:space="0" w:color="auto"/>
        <w:bottom w:val="none" w:sz="0" w:space="0" w:color="auto"/>
        <w:right w:val="none" w:sz="0" w:space="0" w:color="auto"/>
      </w:divBdr>
    </w:div>
    <w:div w:id="1712455833">
      <w:bodyDiv w:val="1"/>
      <w:marLeft w:val="0"/>
      <w:marRight w:val="0"/>
      <w:marTop w:val="0"/>
      <w:marBottom w:val="0"/>
      <w:divBdr>
        <w:top w:val="none" w:sz="0" w:space="0" w:color="auto"/>
        <w:left w:val="none" w:sz="0" w:space="0" w:color="auto"/>
        <w:bottom w:val="none" w:sz="0" w:space="0" w:color="auto"/>
        <w:right w:val="none" w:sz="0" w:space="0" w:color="auto"/>
      </w:divBdr>
    </w:div>
    <w:div w:id="1717850543">
      <w:bodyDiv w:val="1"/>
      <w:marLeft w:val="0"/>
      <w:marRight w:val="0"/>
      <w:marTop w:val="0"/>
      <w:marBottom w:val="0"/>
      <w:divBdr>
        <w:top w:val="none" w:sz="0" w:space="0" w:color="auto"/>
        <w:left w:val="none" w:sz="0" w:space="0" w:color="auto"/>
        <w:bottom w:val="none" w:sz="0" w:space="0" w:color="auto"/>
        <w:right w:val="none" w:sz="0" w:space="0" w:color="auto"/>
      </w:divBdr>
    </w:div>
    <w:div w:id="1720593932">
      <w:bodyDiv w:val="1"/>
      <w:marLeft w:val="0"/>
      <w:marRight w:val="0"/>
      <w:marTop w:val="0"/>
      <w:marBottom w:val="0"/>
      <w:divBdr>
        <w:top w:val="none" w:sz="0" w:space="0" w:color="auto"/>
        <w:left w:val="none" w:sz="0" w:space="0" w:color="auto"/>
        <w:bottom w:val="none" w:sz="0" w:space="0" w:color="auto"/>
        <w:right w:val="none" w:sz="0" w:space="0" w:color="auto"/>
      </w:divBdr>
    </w:div>
    <w:div w:id="1721123566">
      <w:bodyDiv w:val="1"/>
      <w:marLeft w:val="0"/>
      <w:marRight w:val="0"/>
      <w:marTop w:val="0"/>
      <w:marBottom w:val="0"/>
      <w:divBdr>
        <w:top w:val="none" w:sz="0" w:space="0" w:color="auto"/>
        <w:left w:val="none" w:sz="0" w:space="0" w:color="auto"/>
        <w:bottom w:val="none" w:sz="0" w:space="0" w:color="auto"/>
        <w:right w:val="none" w:sz="0" w:space="0" w:color="auto"/>
      </w:divBdr>
    </w:div>
    <w:div w:id="1740977826">
      <w:bodyDiv w:val="1"/>
      <w:marLeft w:val="0"/>
      <w:marRight w:val="0"/>
      <w:marTop w:val="0"/>
      <w:marBottom w:val="0"/>
      <w:divBdr>
        <w:top w:val="none" w:sz="0" w:space="0" w:color="auto"/>
        <w:left w:val="none" w:sz="0" w:space="0" w:color="auto"/>
        <w:bottom w:val="none" w:sz="0" w:space="0" w:color="auto"/>
        <w:right w:val="none" w:sz="0" w:space="0" w:color="auto"/>
      </w:divBdr>
    </w:div>
    <w:div w:id="1742293304">
      <w:bodyDiv w:val="1"/>
      <w:marLeft w:val="0"/>
      <w:marRight w:val="0"/>
      <w:marTop w:val="0"/>
      <w:marBottom w:val="0"/>
      <w:divBdr>
        <w:top w:val="none" w:sz="0" w:space="0" w:color="auto"/>
        <w:left w:val="none" w:sz="0" w:space="0" w:color="auto"/>
        <w:bottom w:val="none" w:sz="0" w:space="0" w:color="auto"/>
        <w:right w:val="none" w:sz="0" w:space="0" w:color="auto"/>
      </w:divBdr>
    </w:div>
    <w:div w:id="1744644942">
      <w:bodyDiv w:val="1"/>
      <w:marLeft w:val="0"/>
      <w:marRight w:val="0"/>
      <w:marTop w:val="0"/>
      <w:marBottom w:val="0"/>
      <w:divBdr>
        <w:top w:val="none" w:sz="0" w:space="0" w:color="auto"/>
        <w:left w:val="none" w:sz="0" w:space="0" w:color="auto"/>
        <w:bottom w:val="none" w:sz="0" w:space="0" w:color="auto"/>
        <w:right w:val="none" w:sz="0" w:space="0" w:color="auto"/>
      </w:divBdr>
    </w:div>
    <w:div w:id="1746104032">
      <w:bodyDiv w:val="1"/>
      <w:marLeft w:val="0"/>
      <w:marRight w:val="0"/>
      <w:marTop w:val="0"/>
      <w:marBottom w:val="0"/>
      <w:divBdr>
        <w:top w:val="none" w:sz="0" w:space="0" w:color="auto"/>
        <w:left w:val="none" w:sz="0" w:space="0" w:color="auto"/>
        <w:bottom w:val="none" w:sz="0" w:space="0" w:color="auto"/>
        <w:right w:val="none" w:sz="0" w:space="0" w:color="auto"/>
      </w:divBdr>
    </w:div>
    <w:div w:id="1748920385">
      <w:bodyDiv w:val="1"/>
      <w:marLeft w:val="0"/>
      <w:marRight w:val="0"/>
      <w:marTop w:val="0"/>
      <w:marBottom w:val="0"/>
      <w:divBdr>
        <w:top w:val="none" w:sz="0" w:space="0" w:color="auto"/>
        <w:left w:val="none" w:sz="0" w:space="0" w:color="auto"/>
        <w:bottom w:val="none" w:sz="0" w:space="0" w:color="auto"/>
        <w:right w:val="none" w:sz="0" w:space="0" w:color="auto"/>
      </w:divBdr>
    </w:div>
    <w:div w:id="1750345837">
      <w:bodyDiv w:val="1"/>
      <w:marLeft w:val="0"/>
      <w:marRight w:val="0"/>
      <w:marTop w:val="0"/>
      <w:marBottom w:val="0"/>
      <w:divBdr>
        <w:top w:val="none" w:sz="0" w:space="0" w:color="auto"/>
        <w:left w:val="none" w:sz="0" w:space="0" w:color="auto"/>
        <w:bottom w:val="none" w:sz="0" w:space="0" w:color="auto"/>
        <w:right w:val="none" w:sz="0" w:space="0" w:color="auto"/>
      </w:divBdr>
    </w:div>
    <w:div w:id="1755205080">
      <w:bodyDiv w:val="1"/>
      <w:marLeft w:val="0"/>
      <w:marRight w:val="0"/>
      <w:marTop w:val="0"/>
      <w:marBottom w:val="0"/>
      <w:divBdr>
        <w:top w:val="none" w:sz="0" w:space="0" w:color="auto"/>
        <w:left w:val="none" w:sz="0" w:space="0" w:color="auto"/>
        <w:bottom w:val="none" w:sz="0" w:space="0" w:color="auto"/>
        <w:right w:val="none" w:sz="0" w:space="0" w:color="auto"/>
      </w:divBdr>
    </w:div>
    <w:div w:id="1755860060">
      <w:bodyDiv w:val="1"/>
      <w:marLeft w:val="0"/>
      <w:marRight w:val="0"/>
      <w:marTop w:val="0"/>
      <w:marBottom w:val="0"/>
      <w:divBdr>
        <w:top w:val="none" w:sz="0" w:space="0" w:color="auto"/>
        <w:left w:val="none" w:sz="0" w:space="0" w:color="auto"/>
        <w:bottom w:val="none" w:sz="0" w:space="0" w:color="auto"/>
        <w:right w:val="none" w:sz="0" w:space="0" w:color="auto"/>
      </w:divBdr>
    </w:div>
    <w:div w:id="1756130832">
      <w:bodyDiv w:val="1"/>
      <w:marLeft w:val="0"/>
      <w:marRight w:val="0"/>
      <w:marTop w:val="0"/>
      <w:marBottom w:val="0"/>
      <w:divBdr>
        <w:top w:val="none" w:sz="0" w:space="0" w:color="auto"/>
        <w:left w:val="none" w:sz="0" w:space="0" w:color="auto"/>
        <w:bottom w:val="none" w:sz="0" w:space="0" w:color="auto"/>
        <w:right w:val="none" w:sz="0" w:space="0" w:color="auto"/>
      </w:divBdr>
    </w:div>
    <w:div w:id="1757825740">
      <w:bodyDiv w:val="1"/>
      <w:marLeft w:val="0"/>
      <w:marRight w:val="0"/>
      <w:marTop w:val="0"/>
      <w:marBottom w:val="0"/>
      <w:divBdr>
        <w:top w:val="none" w:sz="0" w:space="0" w:color="auto"/>
        <w:left w:val="none" w:sz="0" w:space="0" w:color="auto"/>
        <w:bottom w:val="none" w:sz="0" w:space="0" w:color="auto"/>
        <w:right w:val="none" w:sz="0" w:space="0" w:color="auto"/>
      </w:divBdr>
    </w:div>
    <w:div w:id="1758096068">
      <w:bodyDiv w:val="1"/>
      <w:marLeft w:val="0"/>
      <w:marRight w:val="0"/>
      <w:marTop w:val="0"/>
      <w:marBottom w:val="0"/>
      <w:divBdr>
        <w:top w:val="none" w:sz="0" w:space="0" w:color="auto"/>
        <w:left w:val="none" w:sz="0" w:space="0" w:color="auto"/>
        <w:bottom w:val="none" w:sz="0" w:space="0" w:color="auto"/>
        <w:right w:val="none" w:sz="0" w:space="0" w:color="auto"/>
      </w:divBdr>
    </w:div>
    <w:div w:id="1776435421">
      <w:bodyDiv w:val="1"/>
      <w:marLeft w:val="0"/>
      <w:marRight w:val="0"/>
      <w:marTop w:val="0"/>
      <w:marBottom w:val="0"/>
      <w:divBdr>
        <w:top w:val="none" w:sz="0" w:space="0" w:color="auto"/>
        <w:left w:val="none" w:sz="0" w:space="0" w:color="auto"/>
        <w:bottom w:val="none" w:sz="0" w:space="0" w:color="auto"/>
        <w:right w:val="none" w:sz="0" w:space="0" w:color="auto"/>
      </w:divBdr>
    </w:div>
    <w:div w:id="1781953793">
      <w:bodyDiv w:val="1"/>
      <w:marLeft w:val="0"/>
      <w:marRight w:val="0"/>
      <w:marTop w:val="0"/>
      <w:marBottom w:val="0"/>
      <w:divBdr>
        <w:top w:val="none" w:sz="0" w:space="0" w:color="auto"/>
        <w:left w:val="none" w:sz="0" w:space="0" w:color="auto"/>
        <w:bottom w:val="none" w:sz="0" w:space="0" w:color="auto"/>
        <w:right w:val="none" w:sz="0" w:space="0" w:color="auto"/>
      </w:divBdr>
    </w:div>
    <w:div w:id="1806505238">
      <w:bodyDiv w:val="1"/>
      <w:marLeft w:val="0"/>
      <w:marRight w:val="0"/>
      <w:marTop w:val="0"/>
      <w:marBottom w:val="0"/>
      <w:divBdr>
        <w:top w:val="none" w:sz="0" w:space="0" w:color="auto"/>
        <w:left w:val="none" w:sz="0" w:space="0" w:color="auto"/>
        <w:bottom w:val="none" w:sz="0" w:space="0" w:color="auto"/>
        <w:right w:val="none" w:sz="0" w:space="0" w:color="auto"/>
      </w:divBdr>
    </w:div>
    <w:div w:id="1823884547">
      <w:bodyDiv w:val="1"/>
      <w:marLeft w:val="0"/>
      <w:marRight w:val="0"/>
      <w:marTop w:val="0"/>
      <w:marBottom w:val="0"/>
      <w:divBdr>
        <w:top w:val="none" w:sz="0" w:space="0" w:color="auto"/>
        <w:left w:val="none" w:sz="0" w:space="0" w:color="auto"/>
        <w:bottom w:val="none" w:sz="0" w:space="0" w:color="auto"/>
        <w:right w:val="none" w:sz="0" w:space="0" w:color="auto"/>
      </w:divBdr>
    </w:div>
    <w:div w:id="1833446171">
      <w:bodyDiv w:val="1"/>
      <w:marLeft w:val="0"/>
      <w:marRight w:val="0"/>
      <w:marTop w:val="0"/>
      <w:marBottom w:val="0"/>
      <w:divBdr>
        <w:top w:val="none" w:sz="0" w:space="0" w:color="auto"/>
        <w:left w:val="none" w:sz="0" w:space="0" w:color="auto"/>
        <w:bottom w:val="none" w:sz="0" w:space="0" w:color="auto"/>
        <w:right w:val="none" w:sz="0" w:space="0" w:color="auto"/>
      </w:divBdr>
    </w:div>
    <w:div w:id="1844708327">
      <w:bodyDiv w:val="1"/>
      <w:marLeft w:val="0"/>
      <w:marRight w:val="0"/>
      <w:marTop w:val="0"/>
      <w:marBottom w:val="0"/>
      <w:divBdr>
        <w:top w:val="none" w:sz="0" w:space="0" w:color="auto"/>
        <w:left w:val="none" w:sz="0" w:space="0" w:color="auto"/>
        <w:bottom w:val="none" w:sz="0" w:space="0" w:color="auto"/>
        <w:right w:val="none" w:sz="0" w:space="0" w:color="auto"/>
      </w:divBdr>
    </w:div>
    <w:div w:id="1861779087">
      <w:bodyDiv w:val="1"/>
      <w:marLeft w:val="0"/>
      <w:marRight w:val="0"/>
      <w:marTop w:val="0"/>
      <w:marBottom w:val="0"/>
      <w:divBdr>
        <w:top w:val="none" w:sz="0" w:space="0" w:color="auto"/>
        <w:left w:val="none" w:sz="0" w:space="0" w:color="auto"/>
        <w:bottom w:val="none" w:sz="0" w:space="0" w:color="auto"/>
        <w:right w:val="none" w:sz="0" w:space="0" w:color="auto"/>
      </w:divBdr>
    </w:div>
    <w:div w:id="1880781561">
      <w:bodyDiv w:val="1"/>
      <w:marLeft w:val="0"/>
      <w:marRight w:val="0"/>
      <w:marTop w:val="0"/>
      <w:marBottom w:val="0"/>
      <w:divBdr>
        <w:top w:val="none" w:sz="0" w:space="0" w:color="auto"/>
        <w:left w:val="none" w:sz="0" w:space="0" w:color="auto"/>
        <w:bottom w:val="none" w:sz="0" w:space="0" w:color="auto"/>
        <w:right w:val="none" w:sz="0" w:space="0" w:color="auto"/>
      </w:divBdr>
    </w:div>
    <w:div w:id="1892617075">
      <w:bodyDiv w:val="1"/>
      <w:marLeft w:val="0"/>
      <w:marRight w:val="0"/>
      <w:marTop w:val="0"/>
      <w:marBottom w:val="0"/>
      <w:divBdr>
        <w:top w:val="none" w:sz="0" w:space="0" w:color="auto"/>
        <w:left w:val="none" w:sz="0" w:space="0" w:color="auto"/>
        <w:bottom w:val="none" w:sz="0" w:space="0" w:color="auto"/>
        <w:right w:val="none" w:sz="0" w:space="0" w:color="auto"/>
      </w:divBdr>
    </w:div>
    <w:div w:id="1974018011">
      <w:bodyDiv w:val="1"/>
      <w:marLeft w:val="0"/>
      <w:marRight w:val="0"/>
      <w:marTop w:val="0"/>
      <w:marBottom w:val="0"/>
      <w:divBdr>
        <w:top w:val="none" w:sz="0" w:space="0" w:color="auto"/>
        <w:left w:val="none" w:sz="0" w:space="0" w:color="auto"/>
        <w:bottom w:val="none" w:sz="0" w:space="0" w:color="auto"/>
        <w:right w:val="none" w:sz="0" w:space="0" w:color="auto"/>
      </w:divBdr>
    </w:div>
    <w:div w:id="1979526095">
      <w:bodyDiv w:val="1"/>
      <w:marLeft w:val="0"/>
      <w:marRight w:val="0"/>
      <w:marTop w:val="0"/>
      <w:marBottom w:val="0"/>
      <w:divBdr>
        <w:top w:val="none" w:sz="0" w:space="0" w:color="auto"/>
        <w:left w:val="none" w:sz="0" w:space="0" w:color="auto"/>
        <w:bottom w:val="none" w:sz="0" w:space="0" w:color="auto"/>
        <w:right w:val="none" w:sz="0" w:space="0" w:color="auto"/>
      </w:divBdr>
    </w:div>
    <w:div w:id="1989547908">
      <w:bodyDiv w:val="1"/>
      <w:marLeft w:val="0"/>
      <w:marRight w:val="0"/>
      <w:marTop w:val="0"/>
      <w:marBottom w:val="0"/>
      <w:divBdr>
        <w:top w:val="none" w:sz="0" w:space="0" w:color="auto"/>
        <w:left w:val="none" w:sz="0" w:space="0" w:color="auto"/>
        <w:bottom w:val="none" w:sz="0" w:space="0" w:color="auto"/>
        <w:right w:val="none" w:sz="0" w:space="0" w:color="auto"/>
      </w:divBdr>
    </w:div>
    <w:div w:id="1992636757">
      <w:bodyDiv w:val="1"/>
      <w:marLeft w:val="0"/>
      <w:marRight w:val="0"/>
      <w:marTop w:val="0"/>
      <w:marBottom w:val="0"/>
      <w:divBdr>
        <w:top w:val="none" w:sz="0" w:space="0" w:color="auto"/>
        <w:left w:val="none" w:sz="0" w:space="0" w:color="auto"/>
        <w:bottom w:val="none" w:sz="0" w:space="0" w:color="auto"/>
        <w:right w:val="none" w:sz="0" w:space="0" w:color="auto"/>
      </w:divBdr>
    </w:div>
    <w:div w:id="1998873316">
      <w:bodyDiv w:val="1"/>
      <w:marLeft w:val="0"/>
      <w:marRight w:val="0"/>
      <w:marTop w:val="0"/>
      <w:marBottom w:val="0"/>
      <w:divBdr>
        <w:top w:val="none" w:sz="0" w:space="0" w:color="auto"/>
        <w:left w:val="none" w:sz="0" w:space="0" w:color="auto"/>
        <w:bottom w:val="none" w:sz="0" w:space="0" w:color="auto"/>
        <w:right w:val="none" w:sz="0" w:space="0" w:color="auto"/>
      </w:divBdr>
    </w:div>
    <w:div w:id="2002659040">
      <w:bodyDiv w:val="1"/>
      <w:marLeft w:val="0"/>
      <w:marRight w:val="0"/>
      <w:marTop w:val="0"/>
      <w:marBottom w:val="0"/>
      <w:divBdr>
        <w:top w:val="none" w:sz="0" w:space="0" w:color="auto"/>
        <w:left w:val="none" w:sz="0" w:space="0" w:color="auto"/>
        <w:bottom w:val="none" w:sz="0" w:space="0" w:color="auto"/>
        <w:right w:val="none" w:sz="0" w:space="0" w:color="auto"/>
      </w:divBdr>
    </w:div>
    <w:div w:id="2006468756">
      <w:bodyDiv w:val="1"/>
      <w:marLeft w:val="0"/>
      <w:marRight w:val="0"/>
      <w:marTop w:val="0"/>
      <w:marBottom w:val="0"/>
      <w:divBdr>
        <w:top w:val="none" w:sz="0" w:space="0" w:color="auto"/>
        <w:left w:val="none" w:sz="0" w:space="0" w:color="auto"/>
        <w:bottom w:val="none" w:sz="0" w:space="0" w:color="auto"/>
        <w:right w:val="none" w:sz="0" w:space="0" w:color="auto"/>
      </w:divBdr>
    </w:div>
    <w:div w:id="2012293765">
      <w:bodyDiv w:val="1"/>
      <w:marLeft w:val="0"/>
      <w:marRight w:val="0"/>
      <w:marTop w:val="0"/>
      <w:marBottom w:val="0"/>
      <w:divBdr>
        <w:top w:val="none" w:sz="0" w:space="0" w:color="auto"/>
        <w:left w:val="none" w:sz="0" w:space="0" w:color="auto"/>
        <w:bottom w:val="none" w:sz="0" w:space="0" w:color="auto"/>
        <w:right w:val="none" w:sz="0" w:space="0" w:color="auto"/>
      </w:divBdr>
    </w:div>
    <w:div w:id="2015912428">
      <w:bodyDiv w:val="1"/>
      <w:marLeft w:val="0"/>
      <w:marRight w:val="0"/>
      <w:marTop w:val="0"/>
      <w:marBottom w:val="0"/>
      <w:divBdr>
        <w:top w:val="none" w:sz="0" w:space="0" w:color="auto"/>
        <w:left w:val="none" w:sz="0" w:space="0" w:color="auto"/>
        <w:bottom w:val="none" w:sz="0" w:space="0" w:color="auto"/>
        <w:right w:val="none" w:sz="0" w:space="0" w:color="auto"/>
      </w:divBdr>
    </w:div>
    <w:div w:id="2035184417">
      <w:bodyDiv w:val="1"/>
      <w:marLeft w:val="0"/>
      <w:marRight w:val="0"/>
      <w:marTop w:val="0"/>
      <w:marBottom w:val="0"/>
      <w:divBdr>
        <w:top w:val="none" w:sz="0" w:space="0" w:color="auto"/>
        <w:left w:val="none" w:sz="0" w:space="0" w:color="auto"/>
        <w:bottom w:val="none" w:sz="0" w:space="0" w:color="auto"/>
        <w:right w:val="none" w:sz="0" w:space="0" w:color="auto"/>
      </w:divBdr>
    </w:div>
    <w:div w:id="2055888572">
      <w:bodyDiv w:val="1"/>
      <w:marLeft w:val="0"/>
      <w:marRight w:val="0"/>
      <w:marTop w:val="0"/>
      <w:marBottom w:val="0"/>
      <w:divBdr>
        <w:top w:val="none" w:sz="0" w:space="0" w:color="auto"/>
        <w:left w:val="none" w:sz="0" w:space="0" w:color="auto"/>
        <w:bottom w:val="none" w:sz="0" w:space="0" w:color="auto"/>
        <w:right w:val="none" w:sz="0" w:space="0" w:color="auto"/>
      </w:divBdr>
    </w:div>
    <w:div w:id="2095276752">
      <w:bodyDiv w:val="1"/>
      <w:marLeft w:val="0"/>
      <w:marRight w:val="0"/>
      <w:marTop w:val="0"/>
      <w:marBottom w:val="0"/>
      <w:divBdr>
        <w:top w:val="none" w:sz="0" w:space="0" w:color="auto"/>
        <w:left w:val="none" w:sz="0" w:space="0" w:color="auto"/>
        <w:bottom w:val="none" w:sz="0" w:space="0" w:color="auto"/>
        <w:right w:val="none" w:sz="0" w:space="0" w:color="auto"/>
      </w:divBdr>
    </w:div>
    <w:div w:id="2101217483">
      <w:bodyDiv w:val="1"/>
      <w:marLeft w:val="0"/>
      <w:marRight w:val="0"/>
      <w:marTop w:val="0"/>
      <w:marBottom w:val="0"/>
      <w:divBdr>
        <w:top w:val="none" w:sz="0" w:space="0" w:color="auto"/>
        <w:left w:val="none" w:sz="0" w:space="0" w:color="auto"/>
        <w:bottom w:val="none" w:sz="0" w:space="0" w:color="auto"/>
        <w:right w:val="none" w:sz="0" w:space="0" w:color="auto"/>
      </w:divBdr>
    </w:div>
    <w:div w:id="2103598819">
      <w:bodyDiv w:val="1"/>
      <w:marLeft w:val="0"/>
      <w:marRight w:val="0"/>
      <w:marTop w:val="0"/>
      <w:marBottom w:val="0"/>
      <w:divBdr>
        <w:top w:val="none" w:sz="0" w:space="0" w:color="auto"/>
        <w:left w:val="none" w:sz="0" w:space="0" w:color="auto"/>
        <w:bottom w:val="none" w:sz="0" w:space="0" w:color="auto"/>
        <w:right w:val="none" w:sz="0" w:space="0" w:color="auto"/>
      </w:divBdr>
    </w:div>
    <w:div w:id="2109277791">
      <w:bodyDiv w:val="1"/>
      <w:marLeft w:val="0"/>
      <w:marRight w:val="0"/>
      <w:marTop w:val="0"/>
      <w:marBottom w:val="0"/>
      <w:divBdr>
        <w:top w:val="none" w:sz="0" w:space="0" w:color="auto"/>
        <w:left w:val="none" w:sz="0" w:space="0" w:color="auto"/>
        <w:bottom w:val="none" w:sz="0" w:space="0" w:color="auto"/>
        <w:right w:val="none" w:sz="0" w:space="0" w:color="auto"/>
      </w:divBdr>
    </w:div>
    <w:div w:id="2130733874">
      <w:bodyDiv w:val="1"/>
      <w:marLeft w:val="0"/>
      <w:marRight w:val="0"/>
      <w:marTop w:val="0"/>
      <w:marBottom w:val="0"/>
      <w:divBdr>
        <w:top w:val="none" w:sz="0" w:space="0" w:color="auto"/>
        <w:left w:val="none" w:sz="0" w:space="0" w:color="auto"/>
        <w:bottom w:val="none" w:sz="0" w:space="0" w:color="auto"/>
        <w:right w:val="none" w:sz="0" w:space="0" w:color="auto"/>
      </w:divBdr>
    </w:div>
    <w:div w:id="214296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TheEnergyMashupLab.org" TargetMode="External"/><Relationship Id="rId10" Type="http://schemas.openxmlformats.org/officeDocument/2006/relationships/hyperlink" Target="http://coxsoftwarearchitect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by\OneDrive\Templates\TESC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2006">
  <b:Source>
    <b:Tag>Placeholder1</b:Tag>
    <b:SourceType>Book</b:SourceType>
    <b:Guid>{C87CD3A0-6795-C940-9E17-A4ABA7234DE4}</b:Guid>
    <b:Title>Design Patterns: Elements of Reusable Object-Oriented Software</b:Title>
    <b:Year>1994</b:Year>
    <b:Author>
      <b:Author>
        <b:NameList>
          <b:Person>
            <b:Last>Gamma</b:Last>
          </b:Person>
          <b:Person>
            <b:Last>Gamma</b:Last>
            <b:First>E</b:First>
          </b:Person>
          <b:Person>
            <b:Last>Helm</b:Last>
            <b:First>R</b:First>
          </b:Person>
          <b:Person>
            <b:Last>Vissides</b:Last>
            <b:First>J</b:First>
          </b:Person>
        </b:NameList>
      </b:Author>
    </b:Author>
    <b:Publisher>Addison-Wesley Professional</b:Publisher>
    <b:ShortTitle>Design Patterns</b:ShortTitle>
    <b:RefOrder>1</b:RefOrder>
  </b:Source>
  <b:Source>
    <b:Tag>Int14</b:Tag>
    <b:SourceType>DocumentFromInternetSite</b:SourceType>
    <b:Guid>{BFC53DB4-EA51-964E-B626-8FCCDC5AB383}</b:Guid>
    <b:Author>
      <b:Author>
        <b:Corporate>International Electrotechnical Commission</b:Corporate>
      </b:Author>
    </b:Author>
    <b:Title>Smart grid user interface - Part 1: Interface overview and country perspectives</b:Title>
    <b:URL>https://webstore.iec.ch/publication/7478</b:URL>
    <b:Year>2014</b:Year>
    <b:Month>November</b:Month>
    <b:Day>17</b:Day>
    <b:YearAccessed>2016</b:YearAccessed>
    <b:MonthAccessed>February</b:MonthAccessed>
    <b:DayAccessed>24</b:DayAccessed>
    <b:ShortTitle>SGUI TR</b:ShortTitle>
    <b:StandardNumber>IEC TR 62939-1:2014</b:StandardNumber>
    <b:RefOrder>2</b:RefOrder>
  </b:Source>
  <b:Source>
    <b:Tag>Nat141</b:Tag>
    <b:SourceType>DocumentFromInternetSite</b:SourceType>
    <b:Guid>{3761DEE7-3B21-B840-B83D-DC8FAEF48548}</b:Guid>
    <b:Author>
      <b:Author>
        <b:Corporate>National Institute of Standards and Technology</b:Corporate>
      </b:Author>
    </b:Author>
    <b:Title>NIST Framework and Roadmap for Smart Grid Interoperability Standards, Release 3.0</b:Title>
    <b:URL>http://nist.gov/smartgrid/upload/NIST-SP-1108r3.pdf</b:URL>
    <b:Year>2014</b:Year>
    <b:Month>September</b:Month>
    <b:YearAccessed>2016</b:YearAccessed>
    <b:MonthAccessed>February</b:MonthAccessed>
    <b:DayAccessed>24</b:DayAccessed>
    <b:ShortTitle>Smartgrid3</b:ShortTitle>
    <b:Version>3.0</b:Version>
    <b:RefOrder>3</b:RefOrder>
  </b:Source>
  <b:Source>
    <b:Tag>Gri14</b:Tag>
    <b:SourceType>DocumentFromInternetSite</b:SourceType>
    <b:Guid>{C675093F-B540-CD41-A738-757B9AF27016}</b:Guid>
    <b:Author>
      <b:Author>
        <b:Corporate>GridWise Architecture Council</b:Corporate>
      </b:Author>
    </b:Author>
    <b:URL>http://www.gridwiseac.org/pdfs/te_principles_slide_pnnl_sa_103625.pdf</b:URL>
    <b:Year>2014</b:Year>
    <b:Month>07</b:Month>
    <b:Title>Transactive Energy Principles</b:Title>
    <b:RefOrder>4</b:RefOrder>
  </b:Source>
  <b:Source>
    <b:Tag>Org12</b:Tag>
    <b:SourceType>DocumentFromInternetSite</b:SourceType>
    <b:Guid>{6DAD04BC-EBC9-E541-BFC7-D6BA82C2517C}</b:Guid>
    <b:Title>Energy Interoperation 1.0 OASIS Standard</b:Title>
    <b:Year>2011-2014</b:Year>
    <b:ShortTitle>Energy Interoperation</b:ShortTitle>
    <b:Author>
      <b:Author>
        <b:Corporate>OASIS</b:Corporate>
      </b:Author>
      <b:Editor>
        <b:NameList>
          <b:Person>
            <b:Last>Considine</b:Last>
            <b:First>Toby</b:First>
          </b:Person>
        </b:NameList>
      </b:Editor>
    </b:Author>
    <b:Medium>Web Page</b:Medium>
    <b:Month>February</b:Month>
    <b:Day>18</b:Day>
    <b:URL>http://docs.oasis-open.org/energyinterop/ei/v1.0/energyinterop-v1.0.html</b:URL>
    <b:PublicationTitle>Energy Interoperation 1.0</b:PublicationTitle>
    <b:YearAccessed>2016</b:YearAccessed>
    <b:MonthAccessed>February</b:MonthAccessed>
    <b:DayAccessed>24</b:DayAccessed>
    <b:RefOrder>5</b:RefOrder>
  </b:Source>
  <b:Source>
    <b:Tag>Gri08</b:Tag>
    <b:SourceType>DocumentFromInternetSite</b:SourceType>
    <b:Guid>{F4ABC067-D456-0945-A2D5-C6B632A0897E}</b:Guid>
    <b:Author>
      <b:Author>
        <b:Corporate>GridWise Architecture Council</b:Corporate>
      </b:Author>
    </b:Author>
    <b:Institution>GridWise Architecture Council</b:Institution>
    <b:Year>2008</b:Year>
    <b:ShortTitle>context-setting framework</b:ShortTitle>
    <b:InternetSiteTitle>Interoperability Context-Setting Framework</b:InternetSiteTitle>
    <b:URL>http://www.gridwiseac.org/pdfs/interopframework_v1_1.pdf</b:URL>
    <b:Month>March</b:Month>
    <b:YearAccessed>2016</b:YearAccessed>
    <b:MonthAccessed>February</b:MonthAccessed>
    <b:DayAccessed>25</b:DayAccessed>
    <b:RefOrder>7</b:RefOrder>
  </b:Source>
  <b:Source>
    <b:Tag>Gam94</b:Tag>
    <b:SourceType>Book</b:SourceType>
    <b:Guid>{5BF1C60F-4A7C-3E44-A1C5-500FDFF13418}</b:Guid>
    <b:Title>Design Patterns: Elements of Reusable Object-Oriented Software</b:Title>
    <b:Year>1994</b:Year>
    <b:Author>
      <b:Author>
        <b:NameList>
          <b:Person>
            <b:Last>Gamma</b:Last>
            <b:First>E</b:First>
          </b:Person>
          <b:Person>
            <b:Last>Helm</b:Last>
            <b:First>R</b:First>
          </b:Person>
          <b:Person>
            <b:Last>Vissides</b:Last>
            <b:First>J</b:First>
          </b:Person>
        </b:NameList>
      </b:Author>
    </b:Author>
    <b:Publisher>Addison-Wesley Professional</b:Publisher>
    <b:ShortTitle>Design Patterns</b:ShortTitle>
    <b:RefOrder>8</b:RefOrder>
  </b:Source>
  <b:Source>
    <b:Tag>Lib04</b:Tag>
    <b:SourceType>Report</b:SourceType>
    <b:Guid>{726AB2E6-043A-F946-8D1B-73A5FC663D5C}</b:Guid>
    <b:Title>The AMIS Approach to Systems Integration: An Overview</b:Title>
    <b:Institution>National Institute of Standards and Technology</b:Institution>
    <b:Year>2004</b:Year>
    <b:StandardNumber>NISTIR 7101</b:StandardNumber>
    <b:Author>
      <b:Author>
        <b:NameList>
          <b:Person>
            <b:Last>Libes</b:Last>
            <b:First>Don</b:First>
          </b:Person>
          <b:Person>
            <b:Last>Barkmeyer</b:Last>
            <b:Middle>J.</b:Middle>
            <b:First>Edward</b:First>
          </b:Person>
          <b:Person>
            <b:Last>Denno</b:Last>
            <b:First>Peter</b:First>
          </b:Person>
          <b:Person>
            <b:Last>Flater</b:Last>
            <b:First>David</b:First>
          </b:Person>
          <b:Person>
            <b:Last>Steves</b:Last>
            <b:Middle>Potts</b:Middle>
            <b:First>Michelle</b:First>
          </b:Person>
          <b:Person>
            <b:Last>Wallace</b:Last>
            <b:First>Evan</b:First>
          </b:Person>
          <b:Person>
            <b:Last>Feeney</b:Last>
            <b:Middle>Barnard</b:Middle>
            <b:First>Allison</b:First>
          </b:Person>
        </b:NameList>
      </b:Author>
    </b:Author>
    <b:RefOrder>9</b:RefOrder>
  </b:Source>
  <b:Source>
    <b:Tag>Gri15</b:Tag>
    <b:SourceType>DocumentFromInternetSite</b:SourceType>
    <b:Guid>{45C1E5F3-CD62-6346-8FCD-0BFA62ADCE3F}</b:Guid>
    <b:Author>
      <b:Author>
        <b:Corporate>GridWise Architecture Council</b:Corporate>
      </b:Author>
    </b:Author>
    <b:Title>GridWise Transactive Energy Framework Version 1.0</b:Title>
    <b:Year>2015</b:Year>
    <b:URL>http://www.gridwiseac.org/pdfs/te_framework_report_pnnl-22946.pdf</b:URL>
    <b:Month>01</b:Month>
    <b:RefOrder>10</b:RefOrder>
  </b:Source>
  <b:Source>
    <b:Tag>Tra16</b:Tag>
    <b:SourceType>DocumentFromInternetSite</b:SourceType>
    <b:Guid>{58736BBC-6336-2A44-AACD-4C464FE7FBEF}</b:Guid>
    <b:Author>
      <b:Author>
        <b:Corporate>Transactive Energy Associatiion</b:Corporate>
      </b:Author>
    </b:Author>
    <b:Title>Transactive Energy Description and Benefits</b:Title>
    <b:InternetSiteTitle>TEA - Transactive Energy Association</b:InternetSiteTitle>
    <b:URL>https://www.linkedin.com/groups/4778076/4778076-199816061</b:URL>
    <b:YearAccessed>2016</b:YearAccessed>
    <b:MonthAccessed>February</b:MonthAccessed>
    <b:DayAccessed>27</b:DayAccessed>
    <b:RefOrder>11</b:RefOrder>
  </b:Source>
  <b:Source>
    <b:Tag>NIS161</b:Tag>
    <b:SourceType>DocumentFromInternetSite</b:SourceType>
    <b:Guid>{91A79750-6B40-DE4B-ACF7-4E52B221E98E}</b:Guid>
    <b:Author>
      <b:Author>
        <b:Corporate>NIST Transactive Energy Challenge CTS Team</b:Corporate>
      </b:Author>
    </b:Author>
    <b:Title>Common Transactive Energy Services Report</b:Title>
    <b:Year>2016</b:Year>
    <b:URL>URI PENDING</b:URL>
    <b:Month>May</b:Month>
    <b:RefOrder>12</b:RefOrder>
  </b:Source>
  <b:Source>
    <b:Tag>Bat15</b:Tag>
    <b:SourceType>DocumentFromInternetSite</b:SourceType>
    <b:Guid>{ECD2C94C-4AFB-8341-BD8D-BD7E681B8189}</b:Guid>
    <b:Author>
      <b:Author>
        <b:Corporate>Battelle Memorial Institute</b:Corporate>
        <b:NameList>
          <b:Person>
            <b:Last>Hammerstrom</b:Last>
            <b:First>D</b:First>
          </b:Person>
        </b:NameList>
      </b:Author>
    </b:Author>
    <b:Title>Pacific Northwest GSmart Grid Demonstration Project Technology Performance Report</b:Title>
    <b:InternetSiteTitle>SmartGrid.gov</b:InternetSiteTitle>
    <b:URL>https://www.smartgrid.gov/document/Pacific_Northwest_Smart_Grid_Technology_Performance.html</b:URL>
    <b:Year>2015</b:Year>
    <b:Month>June</b:Month>
    <b:YearAccessed>2016</b:YearAccessed>
    <b:MonthAccessed>February</b:MonthAccessed>
    <b:DayAccessed>24</b:DayAccessed>
    <b:ShortTitle>PNW</b:ShortTitle>
    <b:ProductionCompany>Battelle Memorial Institute</b:ProductionCompany>
    <b:RefOrder>13</b:RefOrder>
  </b:Source>
  <b:Source>
    <b:Tag>Pow16</b:Tag>
    <b:SourceType>DocumentFromInternetSite</b:SourceType>
    <b:Guid>{54CE5123-096D-0946-939F-34350D85CD64}</b:Guid>
    <b:Author>
      <b:Author>
        <b:Corporate>FlexiblePower Alliance Network</b:Corporate>
      </b:Author>
    </b:Author>
    <b:InternetSiteTitle>The PowerMatcher Suite</b:InternetSiteTitle>
    <b:URL>http://flexiblepower.github.io/</b:URL>
    <b:Year>2016</b:Year>
    <b:YearAccessed>2016</b:YearAccessed>
    <b:MonthAccessed>Feb</b:MonthAccessed>
    <b:DayAccessed>24</b:DayAccessed>
    <b:RefOrder>14</b:RefOrder>
  </b:Source>
  <b:Source>
    <b:Tag>Int16</b:Tag>
    <b:SourceType>DocumentFromInternetSite</b:SourceType>
    <b:Guid>{069556AF-F248-9E48-A61D-76572870EDBB}</b:Guid>
    <b:Author>
      <b:Author>
        <b:Corporate>International Electrotechnical Commission</b:Corporate>
      </b:Author>
    </b:Author>
    <b:Title>IEC 62325</b:Title>
    <b:InternetSiteTitle>IEC Webstore IEC 62325</b:InternetSiteTitle>
    <b:URL>https://webstore.iec.ch/searchform&amp;q=62325</b:URL>
    <b:Year>2016</b:Year>
    <b:Month>Feb</b:Month>
    <b:YearAccessed>2016</b:YearAccessed>
    <b:MonthAccessed>Feb</b:MonthAccessed>
    <b:DayAccessed>24</b:DayAccessed>
    <b:RefOrder>15</b:RefOrder>
  </b:Source>
  <b:Source>
    <b:Tag>OAS12</b:Tag>
    <b:SourceType>DocumentFromInternetSite</b:SourceType>
    <b:Guid>{369CE049-21E5-3D4F-AB17-5382517677EA}</b:Guid>
    <b:Author>
      <b:Author>
        <b:Corporate>OASIS</b:Corporate>
      </b:Author>
      <b:Editor>
        <b:NameList>
          <b:Person>
            <b:Last>Considine</b:Last>
            <b:First>Toby</b:First>
          </b:Person>
        </b:NameList>
      </b:Editor>
    </b:Author>
    <b:Title>Energy Market Information Exchange Version 1.0</b:Title>
    <b:Year>2012</b:Year>
    <b:ShortTitle>EMIX</b:ShortTitle>
    <b:URL>http://docs.oasis-open.org/emix/emix/v1.0/emix-v1.0.html</b:URL>
    <b:Month>January</b:Month>
    <b:Day>11</b:Day>
    <b:Comments>http://docs.oasis-open.org/emix/emix/v1.0/emix-v1.0.html</b:Comments>
    <b:Version>1.0 CS02</b:Version>
    <b:RefOrder>16</b:RefOrder>
  </b:Source>
  <b:Source>
    <b:Tag>NIS16</b:Tag>
    <b:SourceType>DocumentFromInternetSite</b:SourceType>
    <b:Guid>{DCC19C7F-CC6D-6342-A7DE-81D32B5CC771}</b:Guid>
    <b:Author>
      <b:Author>
        <b:Corporate>TransactiveADR Team</b:Corporate>
      </b:Author>
    </b:Author>
    <b:Title>NIST Transactive Energy Challenge</b:Title>
    <b:URL>https://pages.nist.gov/TEChallenge/community/</b:URL>
    <b:YearAccessed>2016</b:YearAccessed>
    <b:MonthAccessed>February</b:MonthAccessed>
    <b:DayAccessed>25</b:DayAccessed>
    <b:InternetSiteTitle>NIST Transactive Energy Challenge Collaborative Site</b:InternetSiteTitle>
    <b:ShortTitle>TransactiveADR</b:ShortTitle>
    <b:RefOrder>17</b:RefOrder>
  </b:Source>
  <b:Source>
    <b:Tag>Bej14</b:Tag>
    <b:SourceType>JournalArticle</b:SourceType>
    <b:Guid>{955D3987-D49A-AE4F-BA92-5F910CB99666}</b:Guid>
    <b:Title>A Hierarchical Transactive Control Architecture for Renewables Integration in Smart Grids: Analytical Modeling and Stability</b:Title>
    <b:Year>2014</b:Year>
    <b:Pages>2054-2065</b:Pages>
    <b:ShortTitle>MIT1</b:ShortTitle>
    <b:JournalName>IEEE Transactions on Smart Grid</b:JournalName>
    <b:Month>July</b:Month>
    <b:Volume>5</b:Volume>
    <b:Issue>4</b:Issue>
    <b:Author>
      <b:Author>
        <b:NameList>
          <b:Person>
            <b:Last>Bejestani</b:Last>
            <b:First>A.</b:First>
            <b:Middle>Kiani</b:Middle>
          </b:Person>
          <b:Person>
            <b:Last>Annaswamy</b:Last>
            <b:First>A.</b:First>
          </b:Person>
          <b:Person>
            <b:Last>Samad</b:Last>
            <b:First>T.</b:First>
          </b:Person>
        </b:NameList>
      </b:Author>
    </b:Author>
    <b:RefOrder>18</b:RefOrder>
  </b:Source>
  <b:Source>
    <b:Tag>Caz11</b:Tag>
    <b:SourceType>DocumentFromInternetSite</b:SourceType>
    <b:Guid>{F89891B5-6B64-6B42-8FB9-61856D43CA41}</b:Guid>
    <b:Title>Automated Transactive Energy (TeMIX)</b:Title>
    <b:Year>2011</b:Year>
    <b:ConferenceName>Grid-Interop 2011</b:ConferenceName>
    <b:Publisher>GridWise Architecture Council</b:Publisher>
    <b:Author>
      <b:Author>
        <b:NameList>
          <b:Person>
            <b:Last>Cazalet</b:Last>
            <b:Middle>G.</b:Middle>
            <b:First>Edward</b:First>
          </b:Person>
        </b:NameList>
      </b:Author>
    </b:Author>
    <b:InternetSiteTitle>GridWise Architecture Council Grid-Interop 2011</b:InternetSiteTitle>
    <b:URL>http://www.gridwiseac.org/pdfs/forum_papers11/cazalet_paper_gi11.pdf</b:URL>
    <b:YearAccessed>2016</b:YearAccessed>
    <b:MonthAccessed>February</b:MonthAccessed>
    <b:DayAccessed>26</b:DayAccessed>
    <b:RefOrder>19</b:RefOrder>
  </b:Source>
  <b:Source>
    <b:Tag>Int1</b:Tag>
    <b:SourceType>Report</b:SourceType>
    <b:Guid>{688B171D-74E0-884D-AC39-9A473AF14B72}</b:Guid>
    <b:Author>
      <b:Author>
        <b:Corporate>International Electrotechnical Commission</b:Corporate>
      </b:Author>
    </b:Author>
    <b:Title>Smart Grid User Interface - Part 3 - Energy interoperation services</b:Title>
    <b:StandardNumber>IEC 62939-3 CDV</b:StandardNumber>
    <b:ThesisType>Draft Standard</b:ThesisType>
    <b:Year>2016</b:Year>
    <b:RefOrder>6</b:RefOrder>
  </b:Source>
</b:Sources>
</file>

<file path=customXml/itemProps1.xml><?xml version="1.0" encoding="utf-8"?>
<ds:datastoreItem xmlns:ds="http://schemas.openxmlformats.org/officeDocument/2006/customXml" ds:itemID="{DD1AB2D6-2199-3644-BD6D-5F417B28B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\Users\Toby\OneDrive\Templates\TESC_2016.dotx</Template>
  <TotalTime>12</TotalTime>
  <Pages>6</Pages>
  <Words>3519</Words>
  <Characters>20062</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Common Transactive Services</vt:lpstr>
    </vt:vector>
  </TitlesOfParts>
  <Manager/>
  <Company>NIST Transactive Energy Challenge - Common Transactive Services team</Company>
  <LinksUpToDate>false</LinksUpToDate>
  <CharactersWithSpaces>23534</CharactersWithSpaces>
  <SharedDoc>false</SharedDoc>
  <HyperlinkBase/>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Transactive Services</dc:title>
  <dc:subject/>
  <dc:creator>William Cox, et al</dc:creator>
  <cp:keywords/>
  <dc:description>Summary paper on Common Transactive Services_x000d__x000d_Transactive Energy Systems Confererence May 2016</dc:description>
  <cp:lastModifiedBy>William Cox</cp:lastModifiedBy>
  <cp:revision>9</cp:revision>
  <cp:lastPrinted>2016-05-04T19:19:00Z</cp:lastPrinted>
  <dcterms:created xsi:type="dcterms:W3CDTF">2016-05-11T22:06:00Z</dcterms:created>
  <dcterms:modified xsi:type="dcterms:W3CDTF">2016-05-13T15:03:00Z</dcterms:modified>
  <cp:category/>
</cp:coreProperties>
</file>