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1F6E1" w14:textId="57A4FA27" w:rsidR="009950D0" w:rsidRPr="009950D0" w:rsidRDefault="004915C0" w:rsidP="00AD355F">
      <w:pPr>
        <w:pStyle w:val="Title"/>
        <w:spacing w:after="120"/>
        <w:jc w:val="center"/>
        <w:rPr>
          <w:sz w:val="36"/>
          <w:szCs w:val="36"/>
        </w:rPr>
      </w:pPr>
      <w:r w:rsidRPr="009950D0">
        <w:rPr>
          <w:sz w:val="36"/>
          <w:szCs w:val="36"/>
        </w:rPr>
        <w:t>T</w:t>
      </w:r>
      <w:r w:rsidR="009950D0">
        <w:rPr>
          <w:sz w:val="36"/>
          <w:szCs w:val="36"/>
        </w:rPr>
        <w:t>ransactive Energy</w:t>
      </w:r>
      <w:r w:rsidRPr="009950D0">
        <w:rPr>
          <w:sz w:val="36"/>
          <w:szCs w:val="36"/>
        </w:rPr>
        <w:t xml:space="preserve"> Challenge</w:t>
      </w:r>
    </w:p>
    <w:p w14:paraId="74194A30" w14:textId="7B791B61" w:rsidR="004915C0" w:rsidRDefault="008343C2" w:rsidP="00AD355F">
      <w:pPr>
        <w:pStyle w:val="Title"/>
        <w:spacing w:after="120"/>
        <w:jc w:val="center"/>
        <w:rPr>
          <w:sz w:val="48"/>
          <w:szCs w:val="48"/>
        </w:rPr>
      </w:pPr>
      <w:r w:rsidRPr="0008132D">
        <w:rPr>
          <w:sz w:val="48"/>
          <w:szCs w:val="48"/>
        </w:rPr>
        <w:t>Common</w:t>
      </w:r>
      <w:r w:rsidR="00E00306" w:rsidRPr="0008132D">
        <w:rPr>
          <w:sz w:val="48"/>
          <w:szCs w:val="48"/>
        </w:rPr>
        <w:t xml:space="preserve"> Transactive</w:t>
      </w:r>
      <w:r w:rsidRPr="0008132D">
        <w:rPr>
          <w:sz w:val="48"/>
          <w:szCs w:val="48"/>
        </w:rPr>
        <w:t xml:space="preserve"> Service</w:t>
      </w:r>
      <w:r w:rsidR="000C761E">
        <w:rPr>
          <w:sz w:val="48"/>
          <w:szCs w:val="48"/>
        </w:rPr>
        <w:t>s</w:t>
      </w:r>
      <w:r w:rsidR="000C761E">
        <w:rPr>
          <w:sz w:val="48"/>
          <w:szCs w:val="48"/>
        </w:rPr>
        <w:br/>
      </w:r>
      <w:r w:rsidR="00921761">
        <w:rPr>
          <w:sz w:val="36"/>
          <w:szCs w:val="36"/>
        </w:rPr>
        <w:t>May 2</w:t>
      </w:r>
      <w:r w:rsidR="000C761E" w:rsidRPr="000C761E">
        <w:rPr>
          <w:sz w:val="36"/>
          <w:szCs w:val="36"/>
        </w:rPr>
        <w:t>, 2016</w:t>
      </w:r>
    </w:p>
    <w:p w14:paraId="59E5F080" w14:textId="1B4CE6BE" w:rsidR="002D6AA8" w:rsidRDefault="00371941" w:rsidP="0011593C">
      <w:pPr>
        <w:spacing w:after="120"/>
        <w:jc w:val="center"/>
      </w:pPr>
      <w:r>
        <w:t xml:space="preserve">Authors </w:t>
      </w:r>
      <w:r w:rsidR="008343C2" w:rsidRPr="007C14E5">
        <w:t>(in alphabetical order)</w:t>
      </w:r>
      <w:r w:rsidR="008343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4"/>
        <w:gridCol w:w="3502"/>
      </w:tblGrid>
      <w:tr w:rsidR="00FE5E8D" w14:paraId="254F18AE" w14:textId="77777777" w:rsidTr="00FE5E8D">
        <w:trPr>
          <w:jc w:val="center"/>
        </w:trPr>
        <w:tc>
          <w:tcPr>
            <w:tcW w:w="5688" w:type="dxa"/>
          </w:tcPr>
          <w:p w14:paraId="215697F7" w14:textId="18DC172A" w:rsidR="000C761E" w:rsidRDefault="000C761E" w:rsidP="00AD355F">
            <w:pPr>
              <w:spacing w:after="120"/>
            </w:pPr>
            <w:r w:rsidRPr="00825BE3">
              <w:t>Cazalet, Edward (TEMIX Inc)</w:t>
            </w:r>
          </w:p>
        </w:tc>
        <w:tc>
          <w:tcPr>
            <w:tcW w:w="3798" w:type="dxa"/>
          </w:tcPr>
          <w:p w14:paraId="1210B07B" w14:textId="341FD16A" w:rsidR="000C761E" w:rsidRDefault="00E35773" w:rsidP="00AD355F">
            <w:pPr>
              <w:spacing w:after="120"/>
            </w:pPr>
            <w:r w:rsidRPr="00825BE3">
              <w:t>Miller, William (</w:t>
            </w:r>
            <w:r>
              <w:t>MACT)</w:t>
            </w:r>
          </w:p>
        </w:tc>
      </w:tr>
      <w:tr w:rsidR="00FE5E8D" w14:paraId="59A2E00A" w14:textId="77777777" w:rsidTr="00FE5E8D">
        <w:trPr>
          <w:jc w:val="center"/>
        </w:trPr>
        <w:tc>
          <w:tcPr>
            <w:tcW w:w="5688" w:type="dxa"/>
          </w:tcPr>
          <w:p w14:paraId="66729550" w14:textId="487467C1" w:rsidR="000C761E" w:rsidRDefault="00371941" w:rsidP="00AD355F">
            <w:pPr>
              <w:spacing w:after="120"/>
            </w:pPr>
            <w:r w:rsidRPr="00825BE3">
              <w:t>Cox, William (The Energy Mashup Lap)</w:t>
            </w:r>
          </w:p>
        </w:tc>
        <w:tc>
          <w:tcPr>
            <w:tcW w:w="3798" w:type="dxa"/>
          </w:tcPr>
          <w:p w14:paraId="54D7108D" w14:textId="4F70F5FB" w:rsidR="000C761E" w:rsidRDefault="00E35773" w:rsidP="00AD355F">
            <w:pPr>
              <w:spacing w:after="120"/>
            </w:pPr>
            <w:r w:rsidRPr="00825BE3">
              <w:t>Wijbrandi, Wilco (TNO)</w:t>
            </w:r>
          </w:p>
        </w:tc>
      </w:tr>
      <w:tr w:rsidR="00FE5E8D" w14:paraId="4EABB582" w14:textId="77777777" w:rsidTr="00FE5E8D">
        <w:trPr>
          <w:jc w:val="center"/>
        </w:trPr>
        <w:tc>
          <w:tcPr>
            <w:tcW w:w="5688" w:type="dxa"/>
          </w:tcPr>
          <w:p w14:paraId="3DC5B9C7" w14:textId="69365BDF" w:rsidR="000C761E" w:rsidRPr="00825BE3" w:rsidRDefault="00E35773" w:rsidP="00AD355F">
            <w:pPr>
              <w:spacing w:after="120"/>
            </w:pPr>
            <w:r w:rsidRPr="00825BE3">
              <w:t>Krstulovic, Alexander (Alliander)</w:t>
            </w:r>
          </w:p>
        </w:tc>
        <w:tc>
          <w:tcPr>
            <w:tcW w:w="3798" w:type="dxa"/>
          </w:tcPr>
          <w:p w14:paraId="6574D8BD" w14:textId="102772CD" w:rsidR="000C761E" w:rsidRDefault="00E778C7" w:rsidP="00AD355F">
            <w:pPr>
              <w:spacing w:after="120"/>
            </w:pPr>
            <w:r>
              <w:t>Edited by Cox, William</w:t>
            </w:r>
          </w:p>
        </w:tc>
      </w:tr>
    </w:tbl>
    <w:p w14:paraId="27D25CC0" w14:textId="78C2F212" w:rsidR="004915C0" w:rsidRPr="00803039" w:rsidRDefault="00561B33" w:rsidP="00AD355F">
      <w:pPr>
        <w:pStyle w:val="Heading1"/>
        <w:spacing w:after="120"/>
      </w:pPr>
      <w:r>
        <w:t>Purpose</w:t>
      </w:r>
    </w:p>
    <w:p w14:paraId="19C2DC40" w14:textId="34199133" w:rsidR="007F7843" w:rsidRDefault="00561B33" w:rsidP="00AD355F">
      <w:pPr>
        <w:spacing w:after="120"/>
        <w:rPr>
          <w:lang w:val="en-GB"/>
        </w:rPr>
      </w:pPr>
      <w:r>
        <w:t xml:space="preserve">As Transactive Energy </w:t>
      </w:r>
      <w:r w:rsidR="009A4165">
        <w:t xml:space="preserve">system </w:t>
      </w:r>
      <w:r>
        <w:t xml:space="preserve">deployments proliferate, they need to work together at boundaries between systems. The Software Engineering </w:t>
      </w:r>
      <w:r>
        <w:rPr>
          <w:i/>
        </w:rPr>
        <w:t>Bridge Pattern</w:t>
      </w:r>
      <w:r w:rsidR="00E340D8">
        <w:t xml:space="preserve"> (see Section </w:t>
      </w:r>
      <w:r w:rsidR="00E340D8">
        <w:fldChar w:fldCharType="begin"/>
      </w:r>
      <w:r w:rsidR="00E340D8">
        <w:instrText xml:space="preserve"> REF _Ref317956809 \r \h </w:instrText>
      </w:r>
      <w:r w:rsidR="00E340D8">
        <w:fldChar w:fldCharType="separate"/>
      </w:r>
      <w:r w:rsidR="005E752B">
        <w:t>5</w:t>
      </w:r>
      <w:r w:rsidR="00E340D8">
        <w:fldChar w:fldCharType="end"/>
      </w:r>
      <w:r w:rsidR="00E340D8">
        <w:t>)</w:t>
      </w:r>
      <w:r w:rsidR="009750ED">
        <w:t xml:space="preserve"> </w:t>
      </w:r>
      <w:r w:rsidR="00C62245">
        <w:t>describes</w:t>
      </w:r>
      <w:r w:rsidR="00FC1C24" w:rsidRPr="00FC1C24">
        <w:rPr>
          <w:lang w:val="en-GB"/>
        </w:rPr>
        <w:t xml:space="preserve"> how to connect independently evolved and independently evolving technologies</w:t>
      </w:r>
      <w:r w:rsidR="00C62245">
        <w:rPr>
          <w:lang w:val="en-GB"/>
        </w:rPr>
        <w:t xml:space="preserve"> without re-implementing the sys</w:t>
      </w:r>
      <w:r w:rsidR="003E27C4">
        <w:rPr>
          <w:lang w:val="en-GB"/>
        </w:rPr>
        <w:t xml:space="preserve">tems at the ends of the bridge. Per the IEC Smart Grid User Interface </w:t>
      </w:r>
      <w:sdt>
        <w:sdtPr>
          <w:rPr>
            <w:lang w:val="en-GB"/>
          </w:rPr>
          <w:id w:val="-1870296548"/>
          <w:citation/>
        </w:sdtPr>
        <w:sdtContent>
          <w:r w:rsidR="003E27C4">
            <w:rPr>
              <w:lang w:val="en-GB"/>
            </w:rPr>
            <w:fldChar w:fldCharType="begin"/>
          </w:r>
          <w:r w:rsidR="003E27C4">
            <w:instrText xml:space="preserve"> CITATION Int14 \l 1033 </w:instrText>
          </w:r>
          <w:r w:rsidR="003E27C4">
            <w:rPr>
              <w:lang w:val="en-GB"/>
            </w:rPr>
            <w:fldChar w:fldCharType="separate"/>
          </w:r>
          <w:r w:rsidR="00AA1494">
            <w:rPr>
              <w:noProof/>
            </w:rPr>
            <w:t>[</w:t>
          </w:r>
          <w:hyperlink w:anchor="Int14" w:history="1">
            <w:r w:rsidR="00AA1494" w:rsidRPr="00AA1494">
              <w:rPr>
                <w:rStyle w:val="Heading2Char"/>
                <w:rFonts w:eastAsiaTheme="minorHAnsi" w:cstheme="minorBidi"/>
                <w:noProof/>
                <w:color w:val="auto"/>
                <w:sz w:val="24"/>
                <w:szCs w:val="24"/>
              </w:rPr>
              <w:t>1</w:t>
            </w:r>
          </w:hyperlink>
          <w:r w:rsidR="00AA1494">
            <w:rPr>
              <w:noProof/>
            </w:rPr>
            <w:t>]</w:t>
          </w:r>
          <w:r w:rsidR="003E27C4">
            <w:rPr>
              <w:lang w:val="en-GB"/>
            </w:rPr>
            <w:fldChar w:fldCharType="end"/>
          </w:r>
        </w:sdtContent>
      </w:sdt>
      <w:r w:rsidR="003E27C4">
        <w:rPr>
          <w:lang w:val="en-GB"/>
        </w:rPr>
        <w:t xml:space="preserve"> and the NIST Framework and Roadmap for Smart Grid Interoperability Standards </w:t>
      </w:r>
      <w:sdt>
        <w:sdtPr>
          <w:rPr>
            <w:lang w:val="en-GB"/>
          </w:rPr>
          <w:id w:val="1004010620"/>
          <w:citation/>
        </w:sdtPr>
        <w:sdtContent>
          <w:r w:rsidR="003E27C4">
            <w:rPr>
              <w:lang w:val="en-GB"/>
            </w:rPr>
            <w:fldChar w:fldCharType="begin"/>
          </w:r>
          <w:r w:rsidR="003E27C4">
            <w:instrText xml:space="preserve"> CITATION Nat141 \l 1033 </w:instrText>
          </w:r>
          <w:r w:rsidR="003E27C4">
            <w:rPr>
              <w:lang w:val="en-GB"/>
            </w:rPr>
            <w:fldChar w:fldCharType="separate"/>
          </w:r>
          <w:r w:rsidR="00AA1494">
            <w:rPr>
              <w:noProof/>
            </w:rPr>
            <w:t>[</w:t>
          </w:r>
          <w:hyperlink w:anchor="Nat141" w:history="1">
            <w:r w:rsidR="00AA1494" w:rsidRPr="00AA1494">
              <w:rPr>
                <w:rStyle w:val="Heading2Char"/>
                <w:rFonts w:eastAsiaTheme="minorHAnsi" w:cstheme="minorBidi"/>
                <w:noProof/>
                <w:color w:val="auto"/>
                <w:sz w:val="24"/>
                <w:szCs w:val="24"/>
              </w:rPr>
              <w:t>2</w:t>
            </w:r>
          </w:hyperlink>
          <w:r w:rsidR="00AA1494">
            <w:rPr>
              <w:noProof/>
            </w:rPr>
            <w:t>]</w:t>
          </w:r>
          <w:r w:rsidR="003E27C4">
            <w:rPr>
              <w:lang w:val="en-GB"/>
            </w:rPr>
            <w:fldChar w:fldCharType="end"/>
          </w:r>
        </w:sdtContent>
      </w:sdt>
      <w:r w:rsidR="003E27C4">
        <w:rPr>
          <w:lang w:val="en-GB"/>
        </w:rPr>
        <w:t xml:space="preserve"> this protects investment and decouples to simplify evolution</w:t>
      </w:r>
      <w:r w:rsidR="00C42780">
        <w:rPr>
          <w:lang w:val="en-GB"/>
        </w:rPr>
        <w:t>.</w:t>
      </w:r>
    </w:p>
    <w:p w14:paraId="1490DFEC" w14:textId="77777777" w:rsidR="00C977AE" w:rsidRDefault="00C977AE" w:rsidP="00C977AE">
      <w:pPr>
        <w:spacing w:after="120"/>
      </w:pPr>
      <w:r>
        <w:t xml:space="preserve">Our goal was to identify common services that may meet the needs of transactive energy and describe how those services could be used as a basis for interoperability among existing TE systems; that is, whether they may be taken as </w:t>
      </w:r>
      <w:r w:rsidRPr="00CB2CBA">
        <w:t xml:space="preserve">a set of Common Transactive Services that are both minimal and complete with respect to </w:t>
      </w:r>
      <w:r>
        <w:t>a</w:t>
      </w:r>
      <w:r w:rsidRPr="00CB2CBA">
        <w:t xml:space="preserve"> </w:t>
      </w:r>
      <w:r>
        <w:t xml:space="preserve">specific </w:t>
      </w:r>
      <w:r w:rsidRPr="00CB2CBA">
        <w:t xml:space="preserve">set of </w:t>
      </w:r>
      <w:r>
        <w:t>existing transactive systems</w:t>
      </w:r>
      <w:r w:rsidRPr="00CB2CBA">
        <w:t xml:space="preserve">. </w:t>
      </w:r>
    </w:p>
    <w:p w14:paraId="5C40A1D0" w14:textId="72613673" w:rsidR="00C42780" w:rsidRDefault="00C42780" w:rsidP="00AD355F">
      <w:pPr>
        <w:spacing w:after="120"/>
        <w:rPr>
          <w:lang w:val="en-GB"/>
        </w:rPr>
      </w:pPr>
      <w:r>
        <w:rPr>
          <w:lang w:val="en-GB"/>
        </w:rPr>
        <w:t xml:space="preserve">We describe a simple standard and complete set of transactive services </w:t>
      </w:r>
      <w:r w:rsidR="001325B0">
        <w:rPr>
          <w:lang w:val="en-GB"/>
        </w:rPr>
        <w:t>(the Common Transactive Services</w:t>
      </w:r>
      <w:r w:rsidR="00B46CEB">
        <w:rPr>
          <w:lang w:val="en-GB"/>
        </w:rPr>
        <w:t>,</w:t>
      </w:r>
      <w:r w:rsidR="001325B0">
        <w:rPr>
          <w:lang w:val="en-GB"/>
        </w:rPr>
        <w:t xml:space="preserve"> because they </w:t>
      </w:r>
      <w:r w:rsidR="00B46CEB">
        <w:rPr>
          <w:lang w:val="en-GB"/>
        </w:rPr>
        <w:t xml:space="preserve">semantically interoperate with all of our systems of interest) </w:t>
      </w:r>
      <w:r>
        <w:rPr>
          <w:lang w:val="en-GB"/>
        </w:rPr>
        <w:t>to address this need and to</w:t>
      </w:r>
    </w:p>
    <w:p w14:paraId="494372ED" w14:textId="043D582D" w:rsidR="00C42780" w:rsidRPr="00C42780" w:rsidRDefault="00C42780" w:rsidP="00C42780">
      <w:pPr>
        <w:pStyle w:val="ListParagraph"/>
        <w:numPr>
          <w:ilvl w:val="0"/>
          <w:numId w:val="22"/>
        </w:numPr>
        <w:spacing w:after="120"/>
        <w:rPr>
          <w:lang w:val="en-GB"/>
        </w:rPr>
      </w:pPr>
      <w:r w:rsidRPr="00C42780">
        <w:rPr>
          <w:lang w:val="en-GB"/>
        </w:rPr>
        <w:t xml:space="preserve">Simplify </w:t>
      </w:r>
      <w:r w:rsidR="00AB2CF0">
        <w:rPr>
          <w:lang w:val="en-GB"/>
        </w:rPr>
        <w:t>interoperation and integration</w:t>
      </w:r>
      <w:r w:rsidRPr="00C42780">
        <w:rPr>
          <w:lang w:val="en-GB"/>
        </w:rPr>
        <w:t xml:space="preserve"> between transactive systems</w:t>
      </w:r>
    </w:p>
    <w:p w14:paraId="6DA76961" w14:textId="4BE9E45F" w:rsidR="00C42780" w:rsidRDefault="00C42780" w:rsidP="00C42780">
      <w:pPr>
        <w:pStyle w:val="ListParagraph"/>
        <w:numPr>
          <w:ilvl w:val="0"/>
          <w:numId w:val="22"/>
        </w:numPr>
        <w:spacing w:after="120"/>
      </w:pPr>
      <w:r>
        <w:t xml:space="preserve">Allow </w:t>
      </w:r>
      <w:r>
        <w:rPr>
          <w:i/>
        </w:rPr>
        <w:t>mix and match</w:t>
      </w:r>
      <w:r>
        <w:t xml:space="preserve"> combining of systems</w:t>
      </w:r>
      <w:r w:rsidR="00D00F83">
        <w:t>—for example, deploying PowerMatcher</w:t>
      </w:r>
      <w:r w:rsidR="007D049E">
        <w:t xml:space="preserve"> and other</w:t>
      </w:r>
      <w:r w:rsidR="00D00F83">
        <w:t xml:space="preserve"> microgrids inside a TEMIX </w:t>
      </w:r>
      <w:r w:rsidR="007D049E">
        <w:t>system inside a CIM Markets system</w:t>
      </w:r>
    </w:p>
    <w:p w14:paraId="2912A85E" w14:textId="4AE9058C" w:rsidR="007D049E" w:rsidRDefault="007D049E" w:rsidP="00C42780">
      <w:pPr>
        <w:pStyle w:val="ListParagraph"/>
        <w:numPr>
          <w:ilvl w:val="0"/>
          <w:numId w:val="22"/>
        </w:numPr>
        <w:spacing w:after="120"/>
      </w:pPr>
      <w:r>
        <w:t>Simplify design of simulations by using the Common Transactive Services</w:t>
      </w:r>
    </w:p>
    <w:p w14:paraId="66EAE6E7" w14:textId="68558786" w:rsidR="007D049E" w:rsidRDefault="00C42780" w:rsidP="007D049E">
      <w:pPr>
        <w:pStyle w:val="ListParagraph"/>
        <w:numPr>
          <w:ilvl w:val="0"/>
          <w:numId w:val="22"/>
        </w:numPr>
        <w:spacing w:after="120"/>
      </w:pPr>
      <w:r>
        <w:t>Allow straightforward generalization of simulation results to other transactive systems</w:t>
      </w:r>
    </w:p>
    <w:p w14:paraId="626E2840" w14:textId="46311F26" w:rsidR="00014098" w:rsidRDefault="00E033FD" w:rsidP="00014098">
      <w:pPr>
        <w:spacing w:after="120"/>
      </w:pPr>
      <w:r>
        <w:t>This</w:t>
      </w:r>
      <w:r w:rsidR="00014098">
        <w:t xml:space="preserve"> work builds on the work of the GridWise Architecture Council (GWAC) and the SGIP/OASIS-produced Energy Interoperation and Energy Market Information Exchange.</w:t>
      </w:r>
    </w:p>
    <w:p w14:paraId="5420F97B" w14:textId="57F07F75" w:rsidR="009B4AF9" w:rsidRDefault="00845B47" w:rsidP="00AD355F">
      <w:pPr>
        <w:spacing w:after="120"/>
      </w:pPr>
      <w:r>
        <w:t>The team plans to release this report</w:t>
      </w:r>
      <w:r w:rsidR="009B4AF9">
        <w:t xml:space="preserve"> under the Apache 2 license</w:t>
      </w:r>
      <w:r w:rsidR="00E35773">
        <w:t xml:space="preserve"> allowing broad </w:t>
      </w:r>
      <w:r w:rsidR="0044598A">
        <w:t xml:space="preserve">application and </w:t>
      </w:r>
      <w:r w:rsidR="00E35773">
        <w:t>reuse of this work</w:t>
      </w:r>
      <w:r w:rsidR="0061696A">
        <w:t>.</w:t>
      </w:r>
      <w:r w:rsidR="00014098">
        <w:t xml:space="preserve"> </w:t>
      </w:r>
      <w:r w:rsidR="00014098" w:rsidRPr="00CB2CBA">
        <w:t xml:space="preserve">This document </w:t>
      </w:r>
      <w:r w:rsidR="00014098">
        <w:t>has been provided to</w:t>
      </w:r>
      <w:r w:rsidR="00014098" w:rsidRPr="00CB2CBA">
        <w:t xml:space="preserve"> other teams </w:t>
      </w:r>
      <w:r w:rsidR="00014098" w:rsidRPr="00CB2CBA">
        <w:lastRenderedPageBreak/>
        <w:t xml:space="preserve">in </w:t>
      </w:r>
      <w:r w:rsidR="00014098">
        <w:t>the Transactive Energy Challenge</w:t>
      </w:r>
      <w:r w:rsidR="00014098" w:rsidRPr="00CB2CBA">
        <w:t>, including the Co-Simulation, Transactive Microgrid, Transactive ADR, and Bus</w:t>
      </w:r>
      <w:r w:rsidR="00014098">
        <w:t>iness &amp; Regulatory Model Teams.</w:t>
      </w:r>
    </w:p>
    <w:p w14:paraId="04C4567C" w14:textId="5033C7AA" w:rsidR="00CB2CBA" w:rsidRPr="00CB2CBA" w:rsidRDefault="00810CA7" w:rsidP="00AD355F">
      <w:pPr>
        <w:pStyle w:val="Heading1"/>
        <w:spacing w:after="120"/>
      </w:pPr>
      <w:r>
        <w:t>Common Transactive Services</w:t>
      </w:r>
      <w:r w:rsidR="00B3575B">
        <w:t xml:space="preserve"> Requirements</w:t>
      </w:r>
    </w:p>
    <w:p w14:paraId="0038E8EF" w14:textId="4BD1A668" w:rsidR="00F02C1D" w:rsidRDefault="00F02C1D" w:rsidP="00F02C1D">
      <w:pPr>
        <w:spacing w:after="120"/>
      </w:pPr>
      <w:r>
        <w:t xml:space="preserve">We analyzed five transactive systems of interest and two proposed transactive systems to better understand their nature and </w:t>
      </w:r>
      <w:r w:rsidR="00810CA7">
        <w:t xml:space="preserve">requirements for </w:t>
      </w:r>
      <w:r>
        <w:t xml:space="preserve">bridging to, from, and between them. </w:t>
      </w:r>
    </w:p>
    <w:p w14:paraId="75F0530E" w14:textId="3D88507C" w:rsidR="00CB2CBA" w:rsidRPr="00CB2CBA" w:rsidRDefault="00CB2CBA" w:rsidP="00AD355F">
      <w:pPr>
        <w:spacing w:after="120"/>
      </w:pPr>
      <w:r w:rsidRPr="00CB2CBA">
        <w:t xml:space="preserve">By </w:t>
      </w:r>
      <w:r w:rsidRPr="00CB2CBA">
        <w:rPr>
          <w:i/>
        </w:rPr>
        <w:t>Common Transactive Services</w:t>
      </w:r>
      <w:r w:rsidRPr="00CB2CBA">
        <w:t xml:space="preserve"> we mean a minimal set of standardized services that can interoperate with each of the</w:t>
      </w:r>
      <w:r w:rsidR="009B4AF9">
        <w:t xml:space="preserve"> existing</w:t>
      </w:r>
      <w:r w:rsidRPr="00CB2CBA">
        <w:t xml:space="preserve"> transactive </w:t>
      </w:r>
      <w:r w:rsidR="0011593C">
        <w:t>systems</w:t>
      </w:r>
      <w:r w:rsidRPr="00CB2CBA">
        <w:t xml:space="preserve">, possibly with extensions, and at an architectural level appropriate to the semantics of all transactive </w:t>
      </w:r>
      <w:r w:rsidR="0011593C">
        <w:t>systems</w:t>
      </w:r>
      <w:r w:rsidRPr="00CB2CBA">
        <w:t xml:space="preserve">. </w:t>
      </w:r>
      <w:r w:rsidR="00810CA7">
        <w:t>M</w:t>
      </w:r>
      <w:r w:rsidRPr="00CB2CBA">
        <w:t>essage payloads need to be standardized as well to allow decoupled evolution.</w:t>
      </w:r>
      <w:r w:rsidR="006660F0">
        <w:t xml:space="preserve"> </w:t>
      </w:r>
    </w:p>
    <w:p w14:paraId="0B98063A" w14:textId="1E3F2A8D" w:rsidR="006D44B0" w:rsidRDefault="00C71567" w:rsidP="00762DB5">
      <w:pPr>
        <w:spacing w:after="120"/>
      </w:pPr>
      <w:r>
        <w:t>The</w:t>
      </w:r>
      <w:r w:rsidR="00CB2CBA" w:rsidRPr="00CB2CBA">
        <w:t xml:space="preserve"> Common Tr</w:t>
      </w:r>
      <w:r w:rsidR="006D44B0">
        <w:t>ansactive Services (CTS) should</w:t>
      </w:r>
      <w:r w:rsidR="00762DB5">
        <w:t xml:space="preserve"> be</w:t>
      </w:r>
    </w:p>
    <w:p w14:paraId="583FC259" w14:textId="6D2B72E1" w:rsidR="00762DB5" w:rsidRDefault="00762DB5" w:rsidP="006D44B0">
      <w:pPr>
        <w:pStyle w:val="ListParagraph"/>
        <w:numPr>
          <w:ilvl w:val="0"/>
          <w:numId w:val="23"/>
        </w:numPr>
        <w:spacing w:after="120"/>
      </w:pPr>
      <w:r>
        <w:t>E</w:t>
      </w:r>
      <w:r w:rsidR="00D00F83">
        <w:t>xtensible</w:t>
      </w:r>
    </w:p>
    <w:p w14:paraId="114B389D" w14:textId="178B7DCB" w:rsidR="00762DB5" w:rsidRDefault="00762DB5" w:rsidP="006D44B0">
      <w:pPr>
        <w:pStyle w:val="ListParagraph"/>
        <w:numPr>
          <w:ilvl w:val="0"/>
          <w:numId w:val="23"/>
        </w:numPr>
        <w:spacing w:after="120"/>
      </w:pPr>
      <w:r>
        <w:t>Standard</w:t>
      </w:r>
    </w:p>
    <w:p w14:paraId="2205520E" w14:textId="71B8CBF0" w:rsidR="00762DB5" w:rsidRDefault="00762DB5" w:rsidP="006D44B0">
      <w:pPr>
        <w:pStyle w:val="ListParagraph"/>
        <w:numPr>
          <w:ilvl w:val="0"/>
          <w:numId w:val="23"/>
        </w:numPr>
        <w:spacing w:after="120"/>
      </w:pPr>
      <w:r>
        <w:t>Open (including free to read and use)</w:t>
      </w:r>
    </w:p>
    <w:p w14:paraId="1C375665" w14:textId="3A91436A" w:rsidR="00762DB5" w:rsidRDefault="00762DB5" w:rsidP="006D44B0">
      <w:pPr>
        <w:pStyle w:val="ListParagraph"/>
        <w:numPr>
          <w:ilvl w:val="0"/>
          <w:numId w:val="23"/>
        </w:numPr>
        <w:spacing w:after="120"/>
      </w:pPr>
      <w:r>
        <w:t>Amenable to open source implementations</w:t>
      </w:r>
    </w:p>
    <w:p w14:paraId="0DCFBBBF" w14:textId="649793DF" w:rsidR="00B3575B" w:rsidRDefault="00B3575B" w:rsidP="006D44B0">
      <w:pPr>
        <w:pStyle w:val="ListParagraph"/>
        <w:numPr>
          <w:ilvl w:val="0"/>
          <w:numId w:val="23"/>
        </w:numPr>
        <w:spacing w:after="120"/>
      </w:pPr>
      <w:r>
        <w:t>As simple and minimal as possible</w:t>
      </w:r>
    </w:p>
    <w:p w14:paraId="2D35364D" w14:textId="1A2334EF" w:rsidR="00762DB5" w:rsidRDefault="00762DB5" w:rsidP="00762DB5">
      <w:pPr>
        <w:spacing w:after="120"/>
      </w:pPr>
      <w:r>
        <w:t>And capable of</w:t>
      </w:r>
      <w:r w:rsidR="00B3575B">
        <w:t xml:space="preserve"> implementing broadly used definitions of transactive energy and</w:t>
      </w:r>
    </w:p>
    <w:p w14:paraId="28869F5D" w14:textId="41649B1B" w:rsidR="00894E1C" w:rsidRDefault="00762DB5" w:rsidP="00762DB5">
      <w:pPr>
        <w:pStyle w:val="ListParagraph"/>
        <w:numPr>
          <w:ilvl w:val="0"/>
          <w:numId w:val="24"/>
        </w:numPr>
        <w:spacing w:after="120"/>
      </w:pPr>
      <w:r>
        <w:t>S</w:t>
      </w:r>
      <w:r w:rsidR="00806D16">
        <w:t>upport</w:t>
      </w:r>
      <w:r>
        <w:t>ing</w:t>
      </w:r>
      <w:r w:rsidR="00806D16">
        <w:t xml:space="preserve"> GWAC’s Transactive Energy Principle </w:t>
      </w:r>
      <w:r w:rsidR="000E4F4B">
        <w:t xml:space="preserve">1 </w:t>
      </w:r>
      <w:sdt>
        <w:sdtPr>
          <w:id w:val="2146316055"/>
          <w:citation/>
        </w:sdtPr>
        <w:sdtContent>
          <w:r w:rsidR="00F734FD">
            <w:fldChar w:fldCharType="begin"/>
          </w:r>
          <w:r w:rsidR="00F734FD">
            <w:instrText xml:space="preserve"> CITATION Gri14 \l 1033 </w:instrText>
          </w:r>
          <w:r w:rsidR="00F734FD">
            <w:fldChar w:fldCharType="separate"/>
          </w:r>
          <w:r w:rsidR="00AA1494">
            <w:rPr>
              <w:noProof/>
            </w:rPr>
            <w:t>[</w:t>
          </w:r>
          <w:hyperlink w:anchor="Gri14" w:history="1">
            <w:r w:rsidR="00AA1494" w:rsidRPr="00AA1494">
              <w:rPr>
                <w:rStyle w:val="Heading2Char"/>
                <w:rFonts w:eastAsiaTheme="minorHAnsi" w:cstheme="minorBidi"/>
                <w:noProof/>
                <w:color w:val="auto"/>
                <w:sz w:val="24"/>
                <w:szCs w:val="24"/>
              </w:rPr>
              <w:t>3</w:t>
            </w:r>
          </w:hyperlink>
          <w:r w:rsidR="00AA1494">
            <w:rPr>
              <w:noProof/>
            </w:rPr>
            <w:t>]</w:t>
          </w:r>
          <w:r w:rsidR="00F734FD">
            <w:fldChar w:fldCharType="end"/>
          </w:r>
        </w:sdtContent>
      </w:sdt>
      <w:r w:rsidR="00431F9B">
        <w:t xml:space="preserve"> </w:t>
      </w:r>
      <w:r w:rsidR="00A85095">
        <w:t>in order to</w:t>
      </w:r>
      <w:r w:rsidR="00431F9B">
        <w:t xml:space="preserve"> </w:t>
      </w:r>
      <w:r w:rsidR="00806D16">
        <w:t>allow “highly automated coordinated self-optimization”.</w:t>
      </w:r>
    </w:p>
    <w:p w14:paraId="1167D927" w14:textId="07932FA5" w:rsidR="00762DB5" w:rsidRDefault="00762DB5" w:rsidP="00762DB5">
      <w:pPr>
        <w:pStyle w:val="ListParagraph"/>
        <w:numPr>
          <w:ilvl w:val="0"/>
          <w:numId w:val="24"/>
        </w:numPr>
        <w:spacing w:after="120"/>
      </w:pPr>
      <w:r>
        <w:t>Bridging to and from</w:t>
      </w:r>
      <w:r w:rsidR="00B3575B">
        <w:t xml:space="preserve"> each transactive system of interest</w:t>
      </w:r>
    </w:p>
    <w:p w14:paraId="785027EE" w14:textId="14AEC20C" w:rsidR="00762DB5" w:rsidRDefault="00B3575B" w:rsidP="00762DB5">
      <w:pPr>
        <w:pStyle w:val="ListParagraph"/>
        <w:numPr>
          <w:ilvl w:val="0"/>
          <w:numId w:val="24"/>
        </w:numPr>
        <w:spacing w:after="120"/>
      </w:pPr>
      <w:r>
        <w:t>H</w:t>
      </w:r>
      <w:r w:rsidR="00762DB5">
        <w:t>a</w:t>
      </w:r>
      <w:r w:rsidR="00C977AE">
        <w:t>ving</w:t>
      </w:r>
      <w:r w:rsidR="00762DB5">
        <w:t xml:space="preserve"> </w:t>
      </w:r>
      <w:r w:rsidR="00762DB5" w:rsidRPr="00CB2CBA">
        <w:t xml:space="preserve">a clean and clear mapping to each </w:t>
      </w:r>
      <w:r w:rsidR="00762DB5">
        <w:t>t</w:t>
      </w:r>
      <w:r w:rsidR="00762DB5" w:rsidRPr="00CB2CBA">
        <w:t xml:space="preserve">ransactive </w:t>
      </w:r>
      <w:r w:rsidR="00762DB5">
        <w:t xml:space="preserve">system </w:t>
      </w:r>
      <w:r w:rsidR="00C977AE">
        <w:t>of interest</w:t>
      </w:r>
    </w:p>
    <w:p w14:paraId="321D5397" w14:textId="0A16FCBD" w:rsidR="00D34A70" w:rsidRDefault="00B3615E" w:rsidP="00D34A70">
      <w:pPr>
        <w:spacing w:after="120"/>
      </w:pPr>
      <w:r>
        <w:t xml:space="preserve">The ability to integrate and interoperate is key to </w:t>
      </w:r>
      <w:r w:rsidR="00BD4EC3">
        <w:t xml:space="preserve">obtaining </w:t>
      </w:r>
      <w:r>
        <w:t>widespread benefit from transactive energy.</w:t>
      </w:r>
    </w:p>
    <w:p w14:paraId="30F9EE04" w14:textId="7DC1E6A8" w:rsidR="00CB2CBA" w:rsidRPr="00CB2CBA" w:rsidRDefault="00E340D8" w:rsidP="00AD355F">
      <w:pPr>
        <w:pStyle w:val="Heading1"/>
        <w:spacing w:after="120"/>
      </w:pPr>
      <w:bookmarkStart w:id="0" w:name="_Ref323416973"/>
      <w:r>
        <w:t>Transactive Service Names</w:t>
      </w:r>
      <w:bookmarkEnd w:id="0"/>
    </w:p>
    <w:p w14:paraId="62B6D7AC" w14:textId="4AEDC98F" w:rsidR="00D4057D" w:rsidRDefault="00B3575B" w:rsidP="00AD355F">
      <w:pPr>
        <w:spacing w:after="120"/>
      </w:pPr>
      <w:r>
        <w:t>O</w:t>
      </w:r>
      <w:r w:rsidR="00894E1C">
        <w:t>perations</w:t>
      </w:r>
      <w:r>
        <w:t xml:space="preserve"> and interactions</w:t>
      </w:r>
      <w:r w:rsidR="00CB2CBA" w:rsidRPr="00CB2CBA">
        <w:t xml:space="preserve"> have many and varied names. For this report we use the </w:t>
      </w:r>
      <w:r w:rsidR="0060628A">
        <w:t>names</w:t>
      </w:r>
      <w:r w:rsidR="009B4AF9">
        <w:t xml:space="preserve"> and </w:t>
      </w:r>
      <w:r w:rsidR="00CB2CBA" w:rsidRPr="00CB2CBA">
        <w:t xml:space="preserve">definitions </w:t>
      </w:r>
      <w:r w:rsidR="00CB2CBA">
        <w:t xml:space="preserve">drawn </w:t>
      </w:r>
      <w:r w:rsidR="006660F0">
        <w:t xml:space="preserve">from economics and markets, as codified </w:t>
      </w:r>
      <w:r w:rsidR="00CB2CBA" w:rsidRPr="00CB2CBA">
        <w:t>in OASIS Energy Interoperation</w:t>
      </w:r>
      <w:r w:rsidR="00D67A01">
        <w:t xml:space="preserve"> </w:t>
      </w:r>
      <w:sdt>
        <w:sdtPr>
          <w:id w:val="-61491966"/>
          <w:citation/>
        </w:sdtPr>
        <w:sdtContent>
          <w:r w:rsidR="00D67A01">
            <w:fldChar w:fldCharType="begin"/>
          </w:r>
          <w:r w:rsidR="00D67A01">
            <w:instrText xml:space="preserve"> CITATION Org12 \l 1033 </w:instrText>
          </w:r>
          <w:r w:rsidR="00D67A01">
            <w:fldChar w:fldCharType="separate"/>
          </w:r>
          <w:r w:rsidR="00AA1494">
            <w:rPr>
              <w:noProof/>
            </w:rPr>
            <w:t>[</w:t>
          </w:r>
          <w:hyperlink w:anchor="Org12" w:history="1">
            <w:r w:rsidR="00AA1494" w:rsidRPr="00AA1494">
              <w:rPr>
                <w:rStyle w:val="Heading2Char"/>
                <w:rFonts w:eastAsiaTheme="minorHAnsi" w:cstheme="minorBidi"/>
                <w:noProof/>
                <w:color w:val="auto"/>
                <w:sz w:val="24"/>
                <w:szCs w:val="24"/>
              </w:rPr>
              <w:t>4</w:t>
            </w:r>
          </w:hyperlink>
          <w:r w:rsidR="00AA1494">
            <w:rPr>
              <w:noProof/>
            </w:rPr>
            <w:t>]</w:t>
          </w:r>
          <w:r w:rsidR="00D67A01">
            <w:fldChar w:fldCharType="end"/>
          </w:r>
        </w:sdtContent>
      </w:sdt>
      <w:r w:rsidR="00D4057D">
        <w:t xml:space="preserve">, to </w:t>
      </w:r>
      <w:r w:rsidR="00305294">
        <w:t>describe</w:t>
      </w:r>
      <w:r w:rsidR="009B4AF9" w:rsidRPr="00CB2CBA">
        <w:t xml:space="preserve"> </w:t>
      </w:r>
      <w:r w:rsidR="00CB2CBA" w:rsidRPr="00CB2CBA">
        <w:t xml:space="preserve">Transactive Services. </w:t>
      </w:r>
    </w:p>
    <w:p w14:paraId="50D69051" w14:textId="154D3653" w:rsidR="00D4057D" w:rsidRDefault="00D4057D" w:rsidP="00AD355F">
      <w:pPr>
        <w:spacing w:after="120"/>
      </w:pPr>
      <w:r>
        <w:t xml:space="preserve">OASIS Energy Interoperation is an OASIS standard undergoing international standardization </w:t>
      </w:r>
      <w:r w:rsidR="004A79C9">
        <w:t>as</w:t>
      </w:r>
      <w:r>
        <w:t xml:space="preserve"> IEC</w:t>
      </w:r>
      <w:r w:rsidR="004A79C9">
        <w:t xml:space="preserve"> 62939-3, and used for bridging </w:t>
      </w:r>
      <w:r>
        <w:t xml:space="preserve">both event-based demand response and general transactive services, and the profile base for both TEMIX and OpenADR2 </w:t>
      </w:r>
      <w:sdt>
        <w:sdtPr>
          <w:id w:val="686258185"/>
          <w:citation/>
        </w:sdtPr>
        <w:sdtContent>
          <w:r>
            <w:fldChar w:fldCharType="begin"/>
          </w:r>
          <w:r>
            <w:instrText xml:space="preserve"> CITATION Org12 \l 1033 </w:instrText>
          </w:r>
          <w:r>
            <w:fldChar w:fldCharType="separate"/>
          </w:r>
          <w:r w:rsidR="00AA1494">
            <w:rPr>
              <w:noProof/>
            </w:rPr>
            <w:t>[</w:t>
          </w:r>
          <w:hyperlink w:anchor="Org12" w:history="1">
            <w:r w:rsidR="00AA1494" w:rsidRPr="00AA1494">
              <w:rPr>
                <w:rStyle w:val="Heading2Char"/>
                <w:rFonts w:eastAsiaTheme="minorHAnsi" w:cstheme="minorBidi"/>
                <w:noProof/>
                <w:color w:val="auto"/>
                <w:sz w:val="24"/>
                <w:szCs w:val="24"/>
              </w:rPr>
              <w:t>4</w:t>
            </w:r>
          </w:hyperlink>
          <w:r w:rsidR="00AA1494">
            <w:rPr>
              <w:noProof/>
            </w:rPr>
            <w:t>]</w:t>
          </w:r>
          <w:r>
            <w:fldChar w:fldCharType="end"/>
          </w:r>
        </w:sdtContent>
      </w:sdt>
      <w:r>
        <w:t>.</w:t>
      </w:r>
    </w:p>
    <w:p w14:paraId="7F2CDD13" w14:textId="1B7CCA50" w:rsidR="00CB2CBA" w:rsidRPr="00CB2CBA" w:rsidRDefault="00CB2CBA" w:rsidP="00AD355F">
      <w:pPr>
        <w:spacing w:after="120"/>
      </w:pPr>
      <w:r w:rsidRPr="00CB2CBA">
        <w:t xml:space="preserve">The services are described in greater detail </w:t>
      </w:r>
      <w:r w:rsidR="006660F0">
        <w:t>below</w:t>
      </w:r>
      <w:r w:rsidRPr="00CB2CBA">
        <w:t xml:space="preserve"> and in Annex 2. They are:</w:t>
      </w:r>
    </w:p>
    <w:p w14:paraId="772A28FF" w14:textId="77777777" w:rsidR="00CB2CBA" w:rsidRPr="00CB2CBA" w:rsidRDefault="00CB2CBA" w:rsidP="0097191D">
      <w:pPr>
        <w:numPr>
          <w:ilvl w:val="0"/>
          <w:numId w:val="5"/>
        </w:numPr>
        <w:spacing w:after="120"/>
      </w:pPr>
      <w:r w:rsidRPr="00CB2CBA">
        <w:t>Quote—Request and receive a quote on a product</w:t>
      </w:r>
    </w:p>
    <w:p w14:paraId="2773ABA9" w14:textId="24BD636B" w:rsidR="00CB2CBA" w:rsidRPr="00CB2CBA" w:rsidRDefault="00CB2CBA" w:rsidP="0097191D">
      <w:pPr>
        <w:numPr>
          <w:ilvl w:val="0"/>
          <w:numId w:val="5"/>
        </w:numPr>
        <w:spacing w:after="120"/>
      </w:pPr>
      <w:r w:rsidRPr="00CB2CBA">
        <w:t>Tender—Make an offer to buy or sell a product</w:t>
      </w:r>
      <w:r w:rsidR="00931817">
        <w:t xml:space="preserve"> (offer, bid in some environments)</w:t>
      </w:r>
    </w:p>
    <w:p w14:paraId="1B8D30F6" w14:textId="109BBCA4" w:rsidR="00CB2CBA" w:rsidRPr="00CB2CBA" w:rsidRDefault="00CB2CBA" w:rsidP="0097191D">
      <w:pPr>
        <w:numPr>
          <w:ilvl w:val="0"/>
          <w:numId w:val="5"/>
        </w:numPr>
        <w:spacing w:after="120"/>
      </w:pPr>
      <w:r w:rsidRPr="00CB2CBA">
        <w:lastRenderedPageBreak/>
        <w:t>Transaction—Accept a Tender, creating a Transaction binding on the parties</w:t>
      </w:r>
      <w:r w:rsidR="00931817">
        <w:t xml:space="preserve"> (acceptance, contract, clearing in some environments)</w:t>
      </w:r>
    </w:p>
    <w:p w14:paraId="71DEFC34" w14:textId="6F0652B7" w:rsidR="00CB2CBA" w:rsidRDefault="00CB2CBA" w:rsidP="0097191D">
      <w:pPr>
        <w:numPr>
          <w:ilvl w:val="0"/>
          <w:numId w:val="5"/>
        </w:numPr>
        <w:spacing w:after="120"/>
      </w:pPr>
      <w:r w:rsidRPr="00CB2CBA">
        <w:t xml:space="preserve">Delivery—Verify, certify or otherwise determine that delivery has </w:t>
      </w:r>
      <w:r w:rsidR="00894E1C">
        <w:t>occurred</w:t>
      </w:r>
    </w:p>
    <w:p w14:paraId="7C7B6311" w14:textId="0B86C302" w:rsidR="00D4057D" w:rsidRDefault="00ED6162" w:rsidP="002F56D8">
      <w:pPr>
        <w:spacing w:after="120"/>
      </w:pPr>
      <w:r>
        <w:t>Some</w:t>
      </w:r>
      <w:r w:rsidR="00D4057D">
        <w:t xml:space="preserve"> TE systems do not use these names for their various services and may not have one or more of these concepts. </w:t>
      </w:r>
      <w:r>
        <w:t xml:space="preserve">We describe some aspects of bridging including terminology differences in Section </w:t>
      </w:r>
      <w:r>
        <w:fldChar w:fldCharType="begin"/>
      </w:r>
      <w:r>
        <w:instrText xml:space="preserve"> REF _Ref315355838 \r \h </w:instrText>
      </w:r>
      <w:r>
        <w:fldChar w:fldCharType="separate"/>
      </w:r>
      <w:r w:rsidR="005E752B">
        <w:t>8</w:t>
      </w:r>
      <w:r>
        <w:fldChar w:fldCharType="end"/>
      </w:r>
      <w:r w:rsidR="00D4057D">
        <w:t xml:space="preserve">. </w:t>
      </w:r>
    </w:p>
    <w:p w14:paraId="6B731CE7" w14:textId="3A28CAF2" w:rsidR="00832B30" w:rsidRDefault="00832B30" w:rsidP="00AD355F">
      <w:pPr>
        <w:pStyle w:val="Heading1"/>
        <w:spacing w:after="120"/>
      </w:pPr>
      <w:bookmarkStart w:id="1" w:name="_Ref317353444"/>
      <w:r>
        <w:t>Transactive Systems of Interest</w:t>
      </w:r>
      <w:bookmarkEnd w:id="1"/>
    </w:p>
    <w:p w14:paraId="25B05BCC" w14:textId="5F102DB7" w:rsidR="00832B30" w:rsidRDefault="00832B30" w:rsidP="00AD355F">
      <w:pPr>
        <w:spacing w:after="120"/>
      </w:pPr>
      <w:r>
        <w:t xml:space="preserve">The transactive systems examined </w:t>
      </w:r>
      <w:r w:rsidR="00305294">
        <w:t>below</w:t>
      </w:r>
      <w:r w:rsidR="00E340D8">
        <w:t xml:space="preserve"> and</w:t>
      </w:r>
      <w:r w:rsidR="00305294">
        <w:t xml:space="preserve"> in Section </w:t>
      </w:r>
      <w:r w:rsidR="00305294">
        <w:fldChar w:fldCharType="begin"/>
      </w:r>
      <w:r w:rsidR="00305294">
        <w:instrText xml:space="preserve"> REF _Ref315355838 \r \h </w:instrText>
      </w:r>
      <w:r w:rsidR="00305294">
        <w:fldChar w:fldCharType="separate"/>
      </w:r>
      <w:r w:rsidR="005E752B">
        <w:t>8</w:t>
      </w:r>
      <w:r w:rsidR="00305294">
        <w:fldChar w:fldCharType="end"/>
      </w:r>
      <w:r w:rsidR="00305294">
        <w:t xml:space="preserve"> </w:t>
      </w:r>
      <w:r>
        <w:t>are:</w:t>
      </w:r>
    </w:p>
    <w:p w14:paraId="5CC4E292" w14:textId="16745445" w:rsidR="00C977AE" w:rsidRDefault="00C977AE" w:rsidP="004A5D3F">
      <w:pPr>
        <w:pStyle w:val="ListParagraph"/>
        <w:numPr>
          <w:ilvl w:val="0"/>
          <w:numId w:val="25"/>
        </w:numPr>
        <w:spacing w:after="120"/>
      </w:pPr>
      <w:r>
        <w:t>OASIS Energy Interoperation [EI</w:t>
      </w:r>
      <w:r w:rsidR="00ED6162">
        <w:t>]</w:t>
      </w:r>
      <w:r>
        <w:t xml:space="preserve"> – designed as a bridge between diverse systems</w:t>
      </w:r>
      <w:r w:rsidR="00ED6162">
        <w:t xml:space="preserve"> </w:t>
      </w:r>
      <w:sdt>
        <w:sdtPr>
          <w:id w:val="1420525431"/>
          <w:citation/>
        </w:sdtPr>
        <w:sdtContent>
          <w:r w:rsidR="00ED6162">
            <w:fldChar w:fldCharType="begin"/>
          </w:r>
          <w:r w:rsidR="00ED6162">
            <w:instrText xml:space="preserve"> CITATION Org12 \l 1033 </w:instrText>
          </w:r>
          <w:r w:rsidR="00ED6162">
            <w:fldChar w:fldCharType="separate"/>
          </w:r>
          <w:r w:rsidR="00AA1494">
            <w:rPr>
              <w:noProof/>
            </w:rPr>
            <w:t>[</w:t>
          </w:r>
          <w:hyperlink w:anchor="Org12" w:history="1">
            <w:r w:rsidR="00AA1494" w:rsidRPr="00AA1494">
              <w:rPr>
                <w:rStyle w:val="Heading2Char"/>
                <w:rFonts w:eastAsiaTheme="minorHAnsi" w:cstheme="minorBidi"/>
                <w:noProof/>
                <w:color w:val="auto"/>
                <w:sz w:val="24"/>
                <w:szCs w:val="24"/>
              </w:rPr>
              <w:t>4</w:t>
            </w:r>
          </w:hyperlink>
          <w:r w:rsidR="00AA1494">
            <w:rPr>
              <w:noProof/>
            </w:rPr>
            <w:t>]</w:t>
          </w:r>
          <w:r w:rsidR="00ED6162">
            <w:fldChar w:fldCharType="end"/>
          </w:r>
        </w:sdtContent>
      </w:sdt>
      <w:r>
        <w:t>; prof</w:t>
      </w:r>
      <w:r w:rsidR="00ED6162">
        <w:t>iles include TEMIX and OpenADR2</w:t>
      </w:r>
    </w:p>
    <w:p w14:paraId="79BE7181" w14:textId="0834D927" w:rsidR="00832B30" w:rsidRDefault="00832B30" w:rsidP="004A5D3F">
      <w:pPr>
        <w:pStyle w:val="ListParagraph"/>
        <w:numPr>
          <w:ilvl w:val="0"/>
          <w:numId w:val="25"/>
        </w:numPr>
        <w:spacing w:after="120"/>
      </w:pPr>
      <w:r>
        <w:t>PowerMatcher [PM] – used in power balancing among devices and subsystems</w:t>
      </w:r>
      <w:r w:rsidR="00F547B6">
        <w:t xml:space="preserve"> </w:t>
      </w:r>
      <w:sdt>
        <w:sdtPr>
          <w:id w:val="-1784490349"/>
          <w:citation/>
        </w:sdtPr>
        <w:sdtContent>
          <w:r w:rsidR="00F547B6">
            <w:fldChar w:fldCharType="begin"/>
          </w:r>
          <w:r w:rsidR="00F547B6">
            <w:instrText xml:space="preserve"> CITATION Pow161 \l 1033 </w:instrText>
          </w:r>
          <w:r w:rsidR="00F547B6">
            <w:fldChar w:fldCharType="separate"/>
          </w:r>
          <w:r w:rsidR="00AA1494">
            <w:rPr>
              <w:noProof/>
            </w:rPr>
            <w:t>[</w:t>
          </w:r>
          <w:hyperlink w:anchor="Pow161" w:history="1">
            <w:r w:rsidR="00AA1494" w:rsidRPr="00AA1494">
              <w:rPr>
                <w:rStyle w:val="Heading2Char"/>
                <w:rFonts w:eastAsiaTheme="minorHAnsi" w:cstheme="minorBidi"/>
                <w:noProof/>
                <w:color w:val="auto"/>
                <w:sz w:val="24"/>
                <w:szCs w:val="24"/>
              </w:rPr>
              <w:t>5</w:t>
            </w:r>
          </w:hyperlink>
          <w:r w:rsidR="00AA1494">
            <w:rPr>
              <w:noProof/>
            </w:rPr>
            <w:t>]</w:t>
          </w:r>
          <w:r w:rsidR="00F547B6">
            <w:fldChar w:fldCharType="end"/>
          </w:r>
        </w:sdtContent>
      </w:sdt>
      <w:sdt>
        <w:sdtPr>
          <w:id w:val="-239030908"/>
          <w:citation/>
        </w:sdtPr>
        <w:sdtContent>
          <w:r w:rsidR="00F547B6">
            <w:fldChar w:fldCharType="begin"/>
          </w:r>
          <w:r w:rsidR="00F547B6">
            <w:instrText xml:space="preserve"> CITATION Pow16 \l 1033 </w:instrText>
          </w:r>
          <w:r w:rsidR="00F547B6">
            <w:fldChar w:fldCharType="separate"/>
          </w:r>
          <w:r w:rsidR="00AA1494">
            <w:rPr>
              <w:noProof/>
            </w:rPr>
            <w:t xml:space="preserve"> [</w:t>
          </w:r>
          <w:hyperlink w:anchor="Pow16" w:history="1">
            <w:r w:rsidR="00AA1494" w:rsidRPr="00AA1494">
              <w:rPr>
                <w:rStyle w:val="Heading2Char"/>
                <w:rFonts w:eastAsiaTheme="minorHAnsi" w:cstheme="minorBidi"/>
                <w:noProof/>
                <w:color w:val="auto"/>
                <w:sz w:val="24"/>
                <w:szCs w:val="24"/>
              </w:rPr>
              <w:t>6</w:t>
            </w:r>
          </w:hyperlink>
          <w:r w:rsidR="00AA1494">
            <w:rPr>
              <w:noProof/>
            </w:rPr>
            <w:t>]</w:t>
          </w:r>
          <w:r w:rsidR="00F547B6">
            <w:fldChar w:fldCharType="end"/>
          </w:r>
        </w:sdtContent>
      </w:sdt>
      <w:r w:rsidR="004A5D3F">
        <w:t xml:space="preserve"> </w:t>
      </w:r>
    </w:p>
    <w:p w14:paraId="1A155E3F" w14:textId="57E59B1D" w:rsidR="00832B30" w:rsidRDefault="00832B30" w:rsidP="004A5D3F">
      <w:pPr>
        <w:pStyle w:val="ListParagraph"/>
        <w:numPr>
          <w:ilvl w:val="0"/>
          <w:numId w:val="25"/>
        </w:numPr>
        <w:spacing w:after="120"/>
      </w:pPr>
      <w:r>
        <w:t xml:space="preserve">Pacific Northwest Demonstration Project [PNW] – a Department of Energy Project </w:t>
      </w:r>
      <w:r w:rsidR="0060628A">
        <w:t xml:space="preserve">using </w:t>
      </w:r>
      <w:r>
        <w:t>incentive signals for balancing power across a region</w:t>
      </w:r>
      <w:r w:rsidR="00F547B6">
        <w:t xml:space="preserve"> </w:t>
      </w:r>
      <w:sdt>
        <w:sdtPr>
          <w:id w:val="-1320267611"/>
          <w:citation/>
        </w:sdtPr>
        <w:sdtContent>
          <w:r w:rsidR="00F547B6">
            <w:fldChar w:fldCharType="begin"/>
          </w:r>
          <w:r w:rsidR="003F4457">
            <w:instrText xml:space="preserve">CITATION Bat15 \l 1033 </w:instrText>
          </w:r>
          <w:r w:rsidR="00F547B6">
            <w:fldChar w:fldCharType="separate"/>
          </w:r>
          <w:r w:rsidR="00AA1494">
            <w:rPr>
              <w:noProof/>
            </w:rPr>
            <w:t>[</w:t>
          </w:r>
          <w:hyperlink w:anchor="Bat15" w:history="1">
            <w:r w:rsidR="00AA1494" w:rsidRPr="00AA1494">
              <w:rPr>
                <w:rStyle w:val="Heading2Char"/>
                <w:rFonts w:eastAsiaTheme="minorHAnsi" w:cstheme="minorBidi"/>
                <w:noProof/>
                <w:color w:val="auto"/>
                <w:sz w:val="24"/>
                <w:szCs w:val="24"/>
              </w:rPr>
              <w:t>7</w:t>
            </w:r>
          </w:hyperlink>
          <w:r w:rsidR="00AA1494">
            <w:rPr>
              <w:noProof/>
            </w:rPr>
            <w:t>]</w:t>
          </w:r>
          <w:r w:rsidR="00F547B6">
            <w:fldChar w:fldCharType="end"/>
          </w:r>
        </w:sdtContent>
      </w:sdt>
    </w:p>
    <w:p w14:paraId="40CD5E72" w14:textId="58820065" w:rsidR="00832B30" w:rsidRDefault="00832B30" w:rsidP="004A5D3F">
      <w:pPr>
        <w:pStyle w:val="ListParagraph"/>
        <w:numPr>
          <w:ilvl w:val="0"/>
          <w:numId w:val="25"/>
        </w:numPr>
        <w:spacing w:after="120"/>
      </w:pPr>
      <w:r>
        <w:t xml:space="preserve">IEC 62325 Family [IEC Markets] </w:t>
      </w:r>
      <w:r w:rsidR="00C977AE">
        <w:t xml:space="preserve">– </w:t>
      </w:r>
      <w:r>
        <w:t>as used in national and regional markets</w:t>
      </w:r>
      <w:r w:rsidR="00F547B6">
        <w:t xml:space="preserve"> </w:t>
      </w:r>
      <w:sdt>
        <w:sdtPr>
          <w:id w:val="-707031234"/>
          <w:citation/>
        </w:sdtPr>
        <w:sdtContent>
          <w:r w:rsidR="00F547B6">
            <w:fldChar w:fldCharType="begin"/>
          </w:r>
          <w:r w:rsidR="00F547B6">
            <w:instrText xml:space="preserve"> CITATION Int16 \l 1033 </w:instrText>
          </w:r>
          <w:r w:rsidR="00F547B6">
            <w:fldChar w:fldCharType="separate"/>
          </w:r>
          <w:r w:rsidR="00AA1494">
            <w:rPr>
              <w:noProof/>
            </w:rPr>
            <w:t>[</w:t>
          </w:r>
          <w:hyperlink w:anchor="Int16" w:history="1">
            <w:r w:rsidR="00AA1494" w:rsidRPr="00AA1494">
              <w:rPr>
                <w:rStyle w:val="Heading2Char"/>
                <w:rFonts w:eastAsiaTheme="minorHAnsi" w:cstheme="minorBidi"/>
                <w:noProof/>
                <w:color w:val="auto"/>
                <w:sz w:val="24"/>
                <w:szCs w:val="24"/>
              </w:rPr>
              <w:t>8</w:t>
            </w:r>
          </w:hyperlink>
          <w:r w:rsidR="00AA1494">
            <w:rPr>
              <w:noProof/>
            </w:rPr>
            <w:t>]</w:t>
          </w:r>
          <w:r w:rsidR="00F547B6">
            <w:fldChar w:fldCharType="end"/>
          </w:r>
        </w:sdtContent>
      </w:sdt>
      <w:r w:rsidR="00ED6162">
        <w:t xml:space="preserve"> </w:t>
      </w:r>
    </w:p>
    <w:p w14:paraId="21AD00CD" w14:textId="0D0095C1" w:rsidR="00832B30" w:rsidRDefault="00832B30" w:rsidP="004A5D3F">
      <w:pPr>
        <w:pStyle w:val="ListParagraph"/>
        <w:numPr>
          <w:ilvl w:val="0"/>
          <w:numId w:val="25"/>
        </w:numPr>
        <w:spacing w:after="120"/>
      </w:pPr>
      <w:r>
        <w:t>TEMIX or Transactive EMIX [TEMIX]</w:t>
      </w:r>
      <w:r w:rsidR="00C977AE">
        <w:t xml:space="preserve"> </w:t>
      </w:r>
      <w:r>
        <w:t>– A profile of OASIS Energy Interoperation</w:t>
      </w:r>
      <w:r w:rsidR="000A0DF2">
        <w:t xml:space="preserve"> </w:t>
      </w:r>
      <w:sdt>
        <w:sdtPr>
          <w:id w:val="-243106880"/>
          <w:citation/>
        </w:sdtPr>
        <w:sdtContent>
          <w:r w:rsidR="000A0DF2">
            <w:fldChar w:fldCharType="begin"/>
          </w:r>
          <w:r w:rsidR="000A0DF2">
            <w:instrText xml:space="preserve"> CITATION Org12 \l 1033 </w:instrText>
          </w:r>
          <w:r w:rsidR="000A0DF2">
            <w:fldChar w:fldCharType="separate"/>
          </w:r>
          <w:r w:rsidR="00AA1494">
            <w:rPr>
              <w:noProof/>
            </w:rPr>
            <w:t>[</w:t>
          </w:r>
          <w:hyperlink w:anchor="Org12" w:history="1">
            <w:r w:rsidR="00AA1494" w:rsidRPr="00AA1494">
              <w:rPr>
                <w:rStyle w:val="Heading2Char"/>
                <w:rFonts w:eastAsiaTheme="minorHAnsi" w:cstheme="minorBidi"/>
                <w:noProof/>
                <w:color w:val="auto"/>
                <w:sz w:val="24"/>
                <w:szCs w:val="24"/>
              </w:rPr>
              <w:t>4</w:t>
            </w:r>
          </w:hyperlink>
          <w:r w:rsidR="00AA1494">
            <w:rPr>
              <w:noProof/>
            </w:rPr>
            <w:t>]</w:t>
          </w:r>
          <w:r w:rsidR="000A0DF2">
            <w:fldChar w:fldCharType="end"/>
          </w:r>
        </w:sdtContent>
      </w:sdt>
      <w:r>
        <w:t xml:space="preserve"> and </w:t>
      </w:r>
      <w:r w:rsidR="00F547B6">
        <w:t>OASIS Energy Market Information Exchange (</w:t>
      </w:r>
      <w:r>
        <w:t>EMIX</w:t>
      </w:r>
      <w:r w:rsidR="00F547B6">
        <w:t>)</w:t>
      </w:r>
      <w:r w:rsidR="000A0DF2">
        <w:t xml:space="preserve"> </w:t>
      </w:r>
      <w:sdt>
        <w:sdtPr>
          <w:id w:val="987361360"/>
          <w:citation/>
        </w:sdtPr>
        <w:sdtContent>
          <w:r w:rsidR="000A0DF2">
            <w:fldChar w:fldCharType="begin"/>
          </w:r>
          <w:r w:rsidR="00AF045F">
            <w:instrText xml:space="preserve">CITATION OAS12 \l 1033 </w:instrText>
          </w:r>
          <w:r w:rsidR="000A0DF2">
            <w:fldChar w:fldCharType="separate"/>
          </w:r>
          <w:r w:rsidR="00AA1494">
            <w:rPr>
              <w:noProof/>
            </w:rPr>
            <w:t>[</w:t>
          </w:r>
          <w:hyperlink w:anchor="OAS12" w:history="1">
            <w:r w:rsidR="00AA1494" w:rsidRPr="00AA1494">
              <w:rPr>
                <w:rStyle w:val="Heading2Char"/>
                <w:rFonts w:eastAsiaTheme="minorHAnsi" w:cstheme="minorBidi"/>
                <w:noProof/>
                <w:color w:val="auto"/>
                <w:sz w:val="24"/>
                <w:szCs w:val="24"/>
              </w:rPr>
              <w:t>9</w:t>
            </w:r>
          </w:hyperlink>
          <w:r w:rsidR="00AA1494">
            <w:rPr>
              <w:noProof/>
            </w:rPr>
            <w:t>]</w:t>
          </w:r>
          <w:r w:rsidR="000A0DF2">
            <w:fldChar w:fldCharType="end"/>
          </w:r>
        </w:sdtContent>
      </w:sdt>
      <w:r w:rsidR="00F547B6">
        <w:t xml:space="preserve">. </w:t>
      </w:r>
    </w:p>
    <w:p w14:paraId="52E8D4C6" w14:textId="2165712A" w:rsidR="00894E1C" w:rsidRDefault="00894E1C" w:rsidP="00894E1C">
      <w:pPr>
        <w:spacing w:after="120"/>
      </w:pPr>
      <w:r>
        <w:t xml:space="preserve">In addition we briefly </w:t>
      </w:r>
      <w:r w:rsidR="00E340D8">
        <w:t>discuss</w:t>
      </w:r>
      <w:r>
        <w:t xml:space="preserve"> two systems in development:</w:t>
      </w:r>
    </w:p>
    <w:p w14:paraId="16D34DC3" w14:textId="4E9429B3" w:rsidR="00832B30" w:rsidRDefault="00832B30" w:rsidP="00894E1C">
      <w:pPr>
        <w:pStyle w:val="ListParagraph"/>
        <w:numPr>
          <w:ilvl w:val="0"/>
          <w:numId w:val="18"/>
        </w:numPr>
        <w:spacing w:after="120"/>
      </w:pPr>
      <w:r>
        <w:t>Transactive ADR</w:t>
      </w:r>
      <w:r w:rsidR="000D75C0">
        <w:t xml:space="preserve"> [TADR]</w:t>
      </w:r>
      <w:r w:rsidR="00014098">
        <w:t>—</w:t>
      </w:r>
      <w:r>
        <w:t xml:space="preserve">a project underway in the NIST TEC </w:t>
      </w:r>
      <w:r w:rsidR="00ED6162">
        <w:t xml:space="preserve">to extend OpenADR2 with transactive services </w:t>
      </w:r>
      <w:r>
        <w:t>and supported by participants including the OpenADR Alliance</w:t>
      </w:r>
      <w:r w:rsidR="00894E1C">
        <w:t xml:space="preserve"> </w:t>
      </w:r>
      <w:sdt>
        <w:sdtPr>
          <w:id w:val="-1469574389"/>
          <w:citation/>
        </w:sdtPr>
        <w:sdtContent>
          <w:r w:rsidR="009079C7">
            <w:fldChar w:fldCharType="begin"/>
          </w:r>
          <w:r w:rsidR="009079C7">
            <w:instrText xml:space="preserve"> CITATION NIS16 \l 1033 </w:instrText>
          </w:r>
          <w:r w:rsidR="009079C7">
            <w:fldChar w:fldCharType="separate"/>
          </w:r>
          <w:r w:rsidR="00AA1494">
            <w:rPr>
              <w:noProof/>
            </w:rPr>
            <w:t>[</w:t>
          </w:r>
          <w:hyperlink w:anchor="NIS16" w:history="1">
            <w:r w:rsidR="00AA1494" w:rsidRPr="00AA1494">
              <w:rPr>
                <w:rStyle w:val="Heading2Char"/>
                <w:rFonts w:eastAsiaTheme="minorHAnsi" w:cstheme="minorBidi"/>
                <w:noProof/>
                <w:color w:val="auto"/>
                <w:sz w:val="24"/>
                <w:szCs w:val="24"/>
              </w:rPr>
              <w:t>10</w:t>
            </w:r>
          </w:hyperlink>
          <w:r w:rsidR="00AA1494">
            <w:rPr>
              <w:noProof/>
            </w:rPr>
            <w:t>]</w:t>
          </w:r>
          <w:r w:rsidR="009079C7">
            <w:fldChar w:fldCharType="end"/>
          </w:r>
        </w:sdtContent>
      </w:sdt>
    </w:p>
    <w:p w14:paraId="1CE563F1" w14:textId="3575524B" w:rsidR="00832B30" w:rsidRDefault="00894E1C" w:rsidP="00894E1C">
      <w:pPr>
        <w:pStyle w:val="ListParagraph"/>
        <w:numPr>
          <w:ilvl w:val="0"/>
          <w:numId w:val="18"/>
        </w:numPr>
        <w:spacing w:after="120"/>
      </w:pPr>
      <w:r>
        <w:t>The MIT Transactive Control System</w:t>
      </w:r>
      <w:r w:rsidR="00305294">
        <w:t xml:space="preserve"> [MIT</w:t>
      </w:r>
      <w:r w:rsidR="00234D3D">
        <w:t>-</w:t>
      </w:r>
      <w:r w:rsidR="00305294">
        <w:t>TC]</w:t>
      </w:r>
      <w:r w:rsidR="00014098">
        <w:t xml:space="preserve">—a system under development to address transactive algorithms </w:t>
      </w:r>
      <w:sdt>
        <w:sdtPr>
          <w:id w:val="1669989887"/>
          <w:citation/>
        </w:sdtPr>
        <w:sdtContent>
          <w:r w:rsidR="00897B29">
            <w:fldChar w:fldCharType="begin"/>
          </w:r>
          <w:r w:rsidR="00897B29">
            <w:instrText xml:space="preserve"> CITATION Bej14 \l 1033 </w:instrText>
          </w:r>
          <w:r w:rsidR="00897B29">
            <w:fldChar w:fldCharType="separate"/>
          </w:r>
          <w:r w:rsidR="00AA1494">
            <w:rPr>
              <w:noProof/>
            </w:rPr>
            <w:t>[</w:t>
          </w:r>
          <w:hyperlink w:anchor="Bej14" w:history="1">
            <w:r w:rsidR="00AA1494" w:rsidRPr="00AA1494">
              <w:rPr>
                <w:rStyle w:val="Heading2Char"/>
                <w:rFonts w:eastAsiaTheme="minorHAnsi" w:cstheme="minorBidi"/>
                <w:noProof/>
                <w:color w:val="auto"/>
                <w:sz w:val="24"/>
                <w:szCs w:val="24"/>
              </w:rPr>
              <w:t>11</w:t>
            </w:r>
          </w:hyperlink>
          <w:r w:rsidR="00AA1494">
            <w:rPr>
              <w:noProof/>
            </w:rPr>
            <w:t>]</w:t>
          </w:r>
          <w:r w:rsidR="00897B29">
            <w:fldChar w:fldCharType="end"/>
          </w:r>
        </w:sdtContent>
      </w:sdt>
      <w:sdt>
        <w:sdtPr>
          <w:id w:val="215860587"/>
          <w:citation/>
        </w:sdtPr>
        <w:sdtContent>
          <w:r w:rsidR="00897B29">
            <w:fldChar w:fldCharType="begin"/>
          </w:r>
          <w:r w:rsidR="00897B29">
            <w:instrText xml:space="preserve"> CITATION Knu15 \l 1033 </w:instrText>
          </w:r>
          <w:r w:rsidR="00897B29">
            <w:fldChar w:fldCharType="separate"/>
          </w:r>
          <w:r w:rsidR="00AA1494">
            <w:rPr>
              <w:noProof/>
            </w:rPr>
            <w:t xml:space="preserve"> [</w:t>
          </w:r>
          <w:hyperlink w:anchor="Knu15" w:history="1">
            <w:r w:rsidR="00AA1494" w:rsidRPr="00AA1494">
              <w:rPr>
                <w:rStyle w:val="Heading2Char"/>
                <w:rFonts w:eastAsiaTheme="minorHAnsi" w:cstheme="minorBidi"/>
                <w:noProof/>
                <w:color w:val="auto"/>
                <w:sz w:val="24"/>
                <w:szCs w:val="24"/>
              </w:rPr>
              <w:t>12</w:t>
            </w:r>
          </w:hyperlink>
          <w:r w:rsidR="00AA1494">
            <w:rPr>
              <w:noProof/>
            </w:rPr>
            <w:t>]</w:t>
          </w:r>
          <w:r w:rsidR="00897B29">
            <w:fldChar w:fldCharType="end"/>
          </w:r>
        </w:sdtContent>
      </w:sdt>
      <w:r w:rsidR="0060628A">
        <w:t xml:space="preserve">, </w:t>
      </w:r>
    </w:p>
    <w:p w14:paraId="656068EB" w14:textId="1C27DE75" w:rsidR="00C30AD6" w:rsidRDefault="00374894" w:rsidP="00AD355F">
      <w:pPr>
        <w:pStyle w:val="Heading1"/>
        <w:spacing w:after="120"/>
      </w:pPr>
      <w:bookmarkStart w:id="2" w:name="_Ref317956809"/>
      <w:r>
        <w:t>Sem</w:t>
      </w:r>
      <w:r w:rsidR="00C30AD6">
        <w:t>antic and System Interoperability</w:t>
      </w:r>
      <w:bookmarkEnd w:id="2"/>
    </w:p>
    <w:p w14:paraId="34ED8F32" w14:textId="08C675D3" w:rsidR="00E34F8B" w:rsidRDefault="0060628A" w:rsidP="00AD355F">
      <w:pPr>
        <w:spacing w:after="120"/>
      </w:pPr>
      <w:r>
        <w:t>S</w:t>
      </w:r>
      <w:r w:rsidR="00DC2533">
        <w:rPr>
          <w:i/>
        </w:rPr>
        <w:t>emantic interoperability</w:t>
      </w:r>
      <w:r>
        <w:t xml:space="preserve"> implies that </w:t>
      </w:r>
      <w:r w:rsidR="00DC2533">
        <w:t xml:space="preserve">core transactive functions can be mapped between transactive systems. </w:t>
      </w:r>
      <w:r w:rsidR="00BA7886" w:rsidRPr="002F56D8">
        <w:t>However,</w:t>
      </w:r>
      <w:r w:rsidR="00BA7886">
        <w:rPr>
          <w:i/>
        </w:rPr>
        <w:t xml:space="preserve"> s</w:t>
      </w:r>
      <w:r w:rsidR="00E34F8B">
        <w:rPr>
          <w:i/>
        </w:rPr>
        <w:t>emantic interoperability</w:t>
      </w:r>
      <w:r w:rsidR="00E34F8B">
        <w:t xml:space="preserve"> is necessary but not sufficient for </w:t>
      </w:r>
      <w:r w:rsidR="00E34F8B">
        <w:rPr>
          <w:i/>
        </w:rPr>
        <w:t>system interoperability</w:t>
      </w:r>
      <w:r w:rsidR="00BA7886">
        <w:t xml:space="preserve">; there is a broader set of </w:t>
      </w:r>
      <w:r w:rsidR="00BA7886">
        <w:rPr>
          <w:i/>
        </w:rPr>
        <w:t>system interoperability</w:t>
      </w:r>
      <w:r w:rsidR="00BA7886">
        <w:t xml:space="preserve"> requirements</w:t>
      </w:r>
      <w:r w:rsidR="00E34F8B">
        <w:t>.</w:t>
      </w:r>
      <w:r>
        <w:t xml:space="preserve"> </w:t>
      </w:r>
      <w:r w:rsidR="00E34F8B">
        <w:t>The GridWise Architecture Council stack (</w:t>
      </w:r>
      <w:r>
        <w:t xml:space="preserve">Figure 1, the </w:t>
      </w:r>
      <w:r w:rsidR="00E34F8B">
        <w:t>GWAC Stack)</w:t>
      </w:r>
      <w:r w:rsidR="00B4242D">
        <w:t xml:space="preserve"> </w:t>
      </w:r>
      <w:sdt>
        <w:sdtPr>
          <w:id w:val="-544133610"/>
          <w:citation/>
        </w:sdtPr>
        <w:sdtContent>
          <w:r w:rsidR="005B153E">
            <w:fldChar w:fldCharType="begin"/>
          </w:r>
          <w:r w:rsidR="005C5954">
            <w:instrText xml:space="preserve">CITATION Gri08 \l 1033 </w:instrText>
          </w:r>
          <w:r w:rsidR="005B153E">
            <w:fldChar w:fldCharType="separate"/>
          </w:r>
          <w:r w:rsidR="00AA1494">
            <w:rPr>
              <w:noProof/>
            </w:rPr>
            <w:t>[</w:t>
          </w:r>
          <w:hyperlink w:anchor="Gri08" w:history="1">
            <w:r w:rsidR="00AA1494" w:rsidRPr="00AA1494">
              <w:rPr>
                <w:rStyle w:val="Heading2Char"/>
                <w:rFonts w:eastAsiaTheme="minorHAnsi" w:cstheme="minorBidi"/>
                <w:noProof/>
                <w:color w:val="auto"/>
                <w:sz w:val="24"/>
                <w:szCs w:val="24"/>
              </w:rPr>
              <w:t>13</w:t>
            </w:r>
          </w:hyperlink>
          <w:r w:rsidR="00AA1494">
            <w:rPr>
              <w:noProof/>
            </w:rPr>
            <w:t>]</w:t>
          </w:r>
          <w:r w:rsidR="005B153E">
            <w:fldChar w:fldCharType="end"/>
          </w:r>
        </w:sdtContent>
      </w:sdt>
      <w:r w:rsidR="005B153E">
        <w:t xml:space="preserve"> </w:t>
      </w:r>
      <w:r w:rsidR="00B4242D">
        <w:t>illustrates this clearly</w:t>
      </w:r>
      <w:r>
        <w:t xml:space="preserve">. </w:t>
      </w:r>
    </w:p>
    <w:p w14:paraId="29363B6E" w14:textId="77777777" w:rsidR="00CE4382" w:rsidRDefault="00B4242D" w:rsidP="002F56D8">
      <w:pPr>
        <w:keepNext/>
        <w:spacing w:after="120"/>
        <w:jc w:val="center"/>
      </w:pPr>
      <w:r>
        <w:rPr>
          <w:noProof/>
        </w:rPr>
        <w:lastRenderedPageBreak/>
        <w:drawing>
          <wp:inline distT="0" distB="0" distL="0" distR="0" wp14:anchorId="76DC2AD0" wp14:editId="508A1BA8">
            <wp:extent cx="5012436" cy="37038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acStack20130314.png"/>
                    <pic:cNvPicPr/>
                  </pic:nvPicPr>
                  <pic:blipFill>
                    <a:blip r:embed="rId14">
                      <a:extLst>
                        <a:ext uri="{28A0092B-C50C-407E-A947-70E740481C1C}">
                          <a14:useLocalDpi xmlns:a14="http://schemas.microsoft.com/office/drawing/2010/main" val="0"/>
                        </a:ext>
                      </a:extLst>
                    </a:blip>
                    <a:stretch>
                      <a:fillRect/>
                    </a:stretch>
                  </pic:blipFill>
                  <pic:spPr>
                    <a:xfrm>
                      <a:off x="0" y="0"/>
                      <a:ext cx="5012436" cy="3703828"/>
                    </a:xfrm>
                    <a:prstGeom prst="rect">
                      <a:avLst/>
                    </a:prstGeom>
                  </pic:spPr>
                </pic:pic>
              </a:graphicData>
            </a:graphic>
          </wp:inline>
        </w:drawing>
      </w:r>
    </w:p>
    <w:p w14:paraId="2AAFFFF4" w14:textId="3D7D6CD9" w:rsidR="00E34F8B" w:rsidRPr="00E34F8B" w:rsidRDefault="00CE4382" w:rsidP="002F56D8">
      <w:pPr>
        <w:pStyle w:val="Caption"/>
        <w:jc w:val="center"/>
      </w:pPr>
      <w:proofErr w:type="gramStart"/>
      <w:r>
        <w:t xml:space="preserve">Figure </w:t>
      </w:r>
      <w:fldSimple w:instr=" SEQ Figure \* ARABIC ">
        <w:r w:rsidR="005E752B">
          <w:rPr>
            <w:noProof/>
          </w:rPr>
          <w:t>1</w:t>
        </w:r>
      </w:fldSimple>
      <w:r>
        <w:t xml:space="preserve"> Gridwise Architecture Council’s Interoperability Context Setting Framework Diagram.</w:t>
      </w:r>
      <w:proofErr w:type="gramEnd"/>
    </w:p>
    <w:p w14:paraId="2376EB83" w14:textId="43CF1853" w:rsidR="00562E1E" w:rsidRDefault="0060628A" w:rsidP="00AD355F">
      <w:pPr>
        <w:spacing w:after="120"/>
      </w:pPr>
      <w:r>
        <w:t xml:space="preserve">This report focuses on the Semantic Understanding layer. If one were </w:t>
      </w:r>
      <w:r w:rsidR="00562E1E">
        <w:t>to connect a PowerMatcher system to a TEMIX system</w:t>
      </w:r>
      <w:r>
        <w:t>, there is a need to bridge at the Semantic Understanding layer</w:t>
      </w:r>
      <w:r w:rsidR="00562E1E">
        <w:t>. The Syntactic Interoperability and lower layers are different; we must bridge those lower levels for communication to take place</w:t>
      </w:r>
      <w:r>
        <w:t xml:space="preserve"> by</w:t>
      </w:r>
      <w:r w:rsidR="00562E1E">
        <w:t xml:space="preserve"> applying the</w:t>
      </w:r>
      <w:r w:rsidR="009A4165">
        <w:t xml:space="preserve"> aptly named</w:t>
      </w:r>
      <w:r w:rsidR="00562E1E">
        <w:t xml:space="preserve"> Bridge</w:t>
      </w:r>
      <w:r>
        <w:t xml:space="preserve"> </w:t>
      </w:r>
      <w:r w:rsidR="00562E1E">
        <w:t>software engineering pattern</w:t>
      </w:r>
      <w:r w:rsidR="009A4165">
        <w:t xml:space="preserve"> </w:t>
      </w:r>
      <w:sdt>
        <w:sdtPr>
          <w:id w:val="1357469892"/>
          <w:citation/>
        </w:sdtPr>
        <w:sdtContent>
          <w:r w:rsidR="009A4165">
            <w:fldChar w:fldCharType="begin"/>
          </w:r>
          <w:r w:rsidR="009A4165">
            <w:instrText xml:space="preserve"> CITATION Gam94 \l 1033 </w:instrText>
          </w:r>
          <w:r w:rsidR="009A4165">
            <w:fldChar w:fldCharType="separate"/>
          </w:r>
          <w:r w:rsidR="00AA1494">
            <w:rPr>
              <w:noProof/>
            </w:rPr>
            <w:t>[</w:t>
          </w:r>
          <w:hyperlink w:anchor="Gam94" w:history="1">
            <w:r w:rsidR="00AA1494" w:rsidRPr="00AA1494">
              <w:rPr>
                <w:rStyle w:val="Heading2Char"/>
                <w:rFonts w:eastAsiaTheme="minorHAnsi" w:cstheme="minorBidi"/>
                <w:noProof/>
                <w:color w:val="auto"/>
                <w:sz w:val="24"/>
                <w:szCs w:val="24"/>
              </w:rPr>
              <w:t>14</w:t>
            </w:r>
          </w:hyperlink>
          <w:r w:rsidR="00AA1494">
            <w:rPr>
              <w:noProof/>
            </w:rPr>
            <w:t>]</w:t>
          </w:r>
          <w:r w:rsidR="009A4165">
            <w:fldChar w:fldCharType="end"/>
          </w:r>
        </w:sdtContent>
      </w:sdt>
      <w:r w:rsidR="00562E1E">
        <w:t>.</w:t>
      </w:r>
    </w:p>
    <w:p w14:paraId="2F5D7B4D" w14:textId="77777777" w:rsidR="004E0C44" w:rsidRDefault="00360714" w:rsidP="006E34BF">
      <w:pPr>
        <w:spacing w:after="120"/>
      </w:pPr>
      <w:r>
        <w:t xml:space="preserve">A set of Common Transactive Services that </w:t>
      </w:r>
      <w:r w:rsidR="009079C7">
        <w:t xml:space="preserve">semantically </w:t>
      </w:r>
      <w:r w:rsidR="009A4165">
        <w:t>support</w:t>
      </w:r>
      <w:r w:rsidR="008A5E81">
        <w:t xml:space="preserve"> </w:t>
      </w:r>
      <w:r w:rsidR="009079C7">
        <w:t>the services in</w:t>
      </w:r>
      <w:r>
        <w:t xml:space="preserve"> any transactive system </w:t>
      </w:r>
      <w:r w:rsidR="00234D3D">
        <w:t>can also</w:t>
      </w:r>
      <w:r w:rsidR="00CE4382">
        <w:t xml:space="preserve"> satisfy the requirements for semantic interoperability between systems</w:t>
      </w:r>
      <w:r w:rsidR="004E0C44">
        <w:t>—going from the first system to the common services to the second system</w:t>
      </w:r>
      <w:r w:rsidR="00CE4382">
        <w:t xml:space="preserve">. </w:t>
      </w:r>
    </w:p>
    <w:p w14:paraId="3EEE5565" w14:textId="2224A948" w:rsidR="00360714" w:rsidRDefault="004E0C44" w:rsidP="006E34BF">
      <w:pPr>
        <w:spacing w:after="120"/>
      </w:pPr>
      <w:r>
        <w:t>This satisfies our goal that at boundaries</w:t>
      </w:r>
      <w:r w:rsidR="009A4165">
        <w:t>—</w:t>
      </w:r>
      <w:r w:rsidR="003D2691">
        <w:t>system or grid or microgrid—</w:t>
      </w:r>
      <w:r w:rsidR="00474C1A">
        <w:t>we can connect diverse</w:t>
      </w:r>
      <w:r w:rsidR="00DC2533">
        <w:t xml:space="preserve"> transactive</w:t>
      </w:r>
      <w:r w:rsidR="00474C1A">
        <w:t xml:space="preserve"> systems</w:t>
      </w:r>
      <w:r w:rsidR="003D2691">
        <w:t xml:space="preserve">. So </w:t>
      </w:r>
      <w:r w:rsidR="00474C1A">
        <w:t xml:space="preserve">a PowerMatcher implementation </w:t>
      </w:r>
      <w:r w:rsidR="00BA7886">
        <w:t xml:space="preserve">could </w:t>
      </w:r>
      <w:r w:rsidR="00DC2533">
        <w:t xml:space="preserve">interoperate with an IEC Markets system </w:t>
      </w:r>
      <w:r w:rsidR="007D3CFC">
        <w:t>or</w:t>
      </w:r>
      <w:r w:rsidR="00DC2533">
        <w:t xml:space="preserve"> a TransactiveADR or TEMIX system</w:t>
      </w:r>
      <w:r w:rsidR="00DC2533" w:rsidRPr="003D2691">
        <w:t>.</w:t>
      </w:r>
      <w:r w:rsidR="00DC2533" w:rsidRPr="003D2691">
        <w:rPr>
          <w:rStyle w:val="FootnoteReference"/>
        </w:rPr>
        <w:footnoteReference w:id="1"/>
      </w:r>
      <w:r w:rsidR="00CE4382" w:rsidRPr="003D2691">
        <w:t xml:space="preserve"> We describe </w:t>
      </w:r>
      <w:r w:rsidR="00234D3D">
        <w:t>the system</w:t>
      </w:r>
      <w:r w:rsidR="003D2691">
        <w:t xml:space="preserve"> semantic </w:t>
      </w:r>
      <w:r w:rsidR="00CE4382" w:rsidRPr="003D2691">
        <w:t xml:space="preserve">relationships in Section </w:t>
      </w:r>
      <w:r w:rsidR="00CE4382" w:rsidRPr="003D2691">
        <w:fldChar w:fldCharType="begin"/>
      </w:r>
      <w:r w:rsidR="00CE4382" w:rsidRPr="003D2691">
        <w:instrText xml:space="preserve"> REF _Ref315355838 \r \h  \* MERGEFORMAT </w:instrText>
      </w:r>
      <w:r w:rsidR="00CE4382" w:rsidRPr="003D2691">
        <w:fldChar w:fldCharType="separate"/>
      </w:r>
      <w:r w:rsidR="005E752B">
        <w:t>8</w:t>
      </w:r>
      <w:r w:rsidR="00CE4382" w:rsidRPr="003D2691">
        <w:fldChar w:fldCharType="end"/>
      </w:r>
      <w:r w:rsidR="00CE4382" w:rsidRPr="003D2691">
        <w:t>.</w:t>
      </w:r>
    </w:p>
    <w:p w14:paraId="58AE753B" w14:textId="0168AA5D" w:rsidR="007D3CFC" w:rsidRDefault="007D3CFC" w:rsidP="007D3CFC">
      <w:r>
        <w:t xml:space="preserve">The Common Transactive Services define </w:t>
      </w:r>
      <w:r w:rsidR="004E0C44">
        <w:t>what needs to be mutually understood</w:t>
      </w:r>
      <w:r w:rsidR="004E0C44">
        <w:rPr>
          <w:rStyle w:val="FootnoteReference"/>
        </w:rPr>
        <w:footnoteReference w:id="2"/>
      </w:r>
      <w:r w:rsidR="004E0C44">
        <w:t xml:space="preserve"> by the parties to a transaction: </w:t>
      </w:r>
    </w:p>
    <w:p w14:paraId="37D44B39" w14:textId="77777777" w:rsidR="007D3CFC" w:rsidRDefault="007D3CFC" w:rsidP="007D3CFC">
      <w:pPr>
        <w:pStyle w:val="ListParagraph"/>
        <w:numPr>
          <w:ilvl w:val="0"/>
          <w:numId w:val="11"/>
        </w:numPr>
      </w:pPr>
      <w:r>
        <w:lastRenderedPageBreak/>
        <w:t>Transactions are energy-economic exchanges between parties. The exchanges between parties necessarily include information exchange to support the services including product description, delivery locations, and time interval</w:t>
      </w:r>
    </w:p>
    <w:p w14:paraId="6656AE09" w14:textId="77777777" w:rsidR="007D3CFC" w:rsidRDefault="007D3CFC" w:rsidP="007D3CFC">
      <w:pPr>
        <w:pStyle w:val="ListParagraph"/>
        <w:numPr>
          <w:ilvl w:val="0"/>
          <w:numId w:val="11"/>
        </w:numPr>
      </w:pPr>
      <w:r>
        <w:t>Transactions reference products and services (such as energy, transport, reserves, frequency support)</w:t>
      </w:r>
    </w:p>
    <w:p w14:paraId="265F716D" w14:textId="77777777" w:rsidR="007D3CFC" w:rsidRDefault="007D3CFC" w:rsidP="007D3CFC">
      <w:pPr>
        <w:pStyle w:val="ListParagraph"/>
        <w:numPr>
          <w:ilvl w:val="0"/>
          <w:numId w:val="11"/>
        </w:numPr>
      </w:pPr>
      <w:r>
        <w:t>Participants determine value of energy they may produce or consume. Value is reflected in willingness to buy or sell. Automatable systems typically mediate transactions with price</w:t>
      </w:r>
    </w:p>
    <w:p w14:paraId="4A22DEEC" w14:textId="732B10D8" w:rsidR="007D3CFC" w:rsidRPr="00374894" w:rsidRDefault="007D3CFC" w:rsidP="003D2691">
      <w:pPr>
        <w:pStyle w:val="ListParagraph"/>
        <w:numPr>
          <w:ilvl w:val="0"/>
          <w:numId w:val="11"/>
        </w:numPr>
      </w:pPr>
      <w:r>
        <w:t>Participants typically have different objectives</w:t>
      </w:r>
      <w:r>
        <w:rPr>
          <w:rStyle w:val="FootnoteReference"/>
        </w:rPr>
        <w:footnoteReference w:id="3"/>
      </w:r>
    </w:p>
    <w:p w14:paraId="7341E068" w14:textId="7A089CF1" w:rsidR="009950D0" w:rsidRPr="009950D0" w:rsidRDefault="000D75C0" w:rsidP="00AD355F">
      <w:pPr>
        <w:pStyle w:val="Heading1"/>
        <w:spacing w:after="120"/>
      </w:pPr>
      <w:r>
        <w:t>Transactive Energy Background</w:t>
      </w:r>
    </w:p>
    <w:p w14:paraId="44FBE7DA" w14:textId="7C549073" w:rsidR="00EB7A62" w:rsidRPr="000D75C0" w:rsidRDefault="00CB2CBA" w:rsidP="0097191D">
      <w:pPr>
        <w:pStyle w:val="Heading2"/>
        <w:numPr>
          <w:ilvl w:val="1"/>
          <w:numId w:val="4"/>
        </w:numPr>
        <w:spacing w:after="120"/>
      </w:pPr>
      <w:r w:rsidRPr="000D75C0">
        <w:t>Transactive Energy Overview</w:t>
      </w:r>
    </w:p>
    <w:p w14:paraId="6A559EEF" w14:textId="77777777" w:rsidR="00BD4EC3" w:rsidRPr="002C58B5" w:rsidRDefault="00BD4EC3" w:rsidP="00BD4EC3">
      <w:pPr>
        <w:spacing w:after="120"/>
      </w:pPr>
      <w:r w:rsidRPr="002C58B5">
        <w:t xml:space="preserve">We want to develop transactive </w:t>
      </w:r>
      <w:r>
        <w:t xml:space="preserve">systems </w:t>
      </w:r>
      <w:r w:rsidRPr="002C58B5">
        <w:t>to meet the</w:t>
      </w:r>
      <w:r>
        <w:t>se Transactive Energy</w:t>
      </w:r>
      <w:r w:rsidRPr="002C58B5">
        <w:t xml:space="preserve"> objectives</w:t>
      </w:r>
      <w:r>
        <w:t>:</w:t>
      </w:r>
    </w:p>
    <w:p w14:paraId="71BF2C75" w14:textId="77777777" w:rsidR="00BD4EC3" w:rsidRDefault="00BD4EC3" w:rsidP="00BD4EC3">
      <w:pPr>
        <w:pStyle w:val="ListParagraph"/>
        <w:numPr>
          <w:ilvl w:val="0"/>
          <w:numId w:val="8"/>
        </w:numPr>
        <w:spacing w:after="120"/>
      </w:pPr>
      <w:r>
        <w:t>Renewable resource integration</w:t>
      </w:r>
    </w:p>
    <w:p w14:paraId="4E198B73" w14:textId="77777777" w:rsidR="00BD4EC3" w:rsidRDefault="00BD4EC3" w:rsidP="00BD4EC3">
      <w:pPr>
        <w:pStyle w:val="ListParagraph"/>
        <w:numPr>
          <w:ilvl w:val="0"/>
          <w:numId w:val="8"/>
        </w:numPr>
        <w:spacing w:after="120"/>
      </w:pPr>
      <w:r>
        <w:t>Economic optimization of resource mix</w:t>
      </w:r>
    </w:p>
    <w:p w14:paraId="450799DD" w14:textId="77777777" w:rsidR="00BD4EC3" w:rsidRDefault="00BD4EC3" w:rsidP="00BD4EC3">
      <w:pPr>
        <w:pStyle w:val="ListParagraph"/>
        <w:numPr>
          <w:ilvl w:val="0"/>
          <w:numId w:val="8"/>
        </w:numPr>
        <w:spacing w:after="120"/>
      </w:pPr>
      <w:r>
        <w:t>Wholesale prices/production costs minimization</w:t>
      </w:r>
    </w:p>
    <w:p w14:paraId="4FA67A04" w14:textId="77777777" w:rsidR="00BD4EC3" w:rsidRDefault="00BD4EC3" w:rsidP="00BD4EC3">
      <w:pPr>
        <w:pStyle w:val="ListParagraph"/>
        <w:numPr>
          <w:ilvl w:val="0"/>
          <w:numId w:val="8"/>
        </w:numPr>
        <w:spacing w:after="120"/>
      </w:pPr>
      <w:r>
        <w:t>Provision of ancillary services, ramping, and balancing (especially in light of renewables)</w:t>
      </w:r>
    </w:p>
    <w:p w14:paraId="40A3D746" w14:textId="77777777" w:rsidR="00BD4EC3" w:rsidRDefault="00BD4EC3" w:rsidP="00BD4EC3">
      <w:pPr>
        <w:pStyle w:val="ListParagraph"/>
        <w:numPr>
          <w:ilvl w:val="0"/>
          <w:numId w:val="8"/>
        </w:numPr>
        <w:spacing w:after="120"/>
      </w:pPr>
      <w:r>
        <w:t>Managing transmission congestion costs</w:t>
      </w:r>
    </w:p>
    <w:p w14:paraId="688680E1" w14:textId="77777777" w:rsidR="00BD4EC3" w:rsidRDefault="00BD4EC3" w:rsidP="00BD4EC3">
      <w:pPr>
        <w:pStyle w:val="ListParagraph"/>
        <w:numPr>
          <w:ilvl w:val="0"/>
          <w:numId w:val="8"/>
        </w:numPr>
        <w:spacing w:after="120"/>
      </w:pPr>
      <w:r>
        <w:t>Managing peak load</w:t>
      </w:r>
    </w:p>
    <w:p w14:paraId="0B0B1986" w14:textId="77777777" w:rsidR="00BD4EC3" w:rsidRDefault="00BD4EC3" w:rsidP="00BD4EC3">
      <w:pPr>
        <w:pStyle w:val="ListParagraph"/>
        <w:numPr>
          <w:ilvl w:val="0"/>
          <w:numId w:val="8"/>
        </w:numPr>
        <w:spacing w:after="120"/>
      </w:pPr>
      <w:r>
        <w:t>Managing resource ramps</w:t>
      </w:r>
    </w:p>
    <w:p w14:paraId="43DEDEBB" w14:textId="77777777" w:rsidR="00BD4EC3" w:rsidRDefault="00BD4EC3" w:rsidP="00BD4EC3">
      <w:pPr>
        <w:pStyle w:val="ListParagraph"/>
        <w:numPr>
          <w:ilvl w:val="0"/>
          <w:numId w:val="8"/>
        </w:numPr>
        <w:spacing w:after="120"/>
      </w:pPr>
      <w:r>
        <w:t>Reduction of the need for new transmission capacity, relief from existing dynamically constrained capacity limits</w:t>
      </w:r>
    </w:p>
    <w:p w14:paraId="5813767C" w14:textId="77777777" w:rsidR="00BD4EC3" w:rsidRDefault="00BD4EC3" w:rsidP="00BD4EC3">
      <w:pPr>
        <w:pStyle w:val="ListParagraph"/>
        <w:numPr>
          <w:ilvl w:val="0"/>
          <w:numId w:val="8"/>
        </w:numPr>
        <w:spacing w:after="120"/>
      </w:pPr>
      <w:r>
        <w:t>Minimizing the requirement for new distribution capacity</w:t>
      </w:r>
    </w:p>
    <w:p w14:paraId="7DB568FB" w14:textId="77777777" w:rsidR="00BD4EC3" w:rsidRDefault="00BD4EC3" w:rsidP="00BD4EC3">
      <w:pPr>
        <w:pStyle w:val="ListParagraph"/>
        <w:numPr>
          <w:ilvl w:val="0"/>
          <w:numId w:val="8"/>
        </w:numPr>
        <w:spacing w:after="120"/>
      </w:pPr>
      <w:r>
        <w:t xml:space="preserve">Management of distribution voltages in light of rapid fluctuations in rooftop solar PV </w:t>
      </w:r>
    </w:p>
    <w:p w14:paraId="338961A4" w14:textId="77777777" w:rsidR="00BD4EC3" w:rsidRDefault="00BD4EC3" w:rsidP="00BD4EC3">
      <w:pPr>
        <w:pStyle w:val="ListParagraph"/>
        <w:numPr>
          <w:ilvl w:val="0"/>
          <w:numId w:val="8"/>
        </w:numPr>
        <w:spacing w:after="120"/>
      </w:pPr>
      <w:r>
        <w:t>Accommodation of new loads and integration of responsive loads</w:t>
      </w:r>
    </w:p>
    <w:p w14:paraId="4B839026" w14:textId="0A09468B" w:rsidR="00BD4EC3" w:rsidRPr="00BD4EC3" w:rsidRDefault="00BD4EC3" w:rsidP="00BD4EC3">
      <w:pPr>
        <w:pStyle w:val="ListParagraph"/>
        <w:numPr>
          <w:ilvl w:val="0"/>
          <w:numId w:val="8"/>
        </w:numPr>
        <w:spacing w:after="120"/>
      </w:pPr>
      <w:r>
        <w:t>Maintenance or improvement of the services electricity provides in homes and buildings.</w:t>
      </w:r>
    </w:p>
    <w:p w14:paraId="0EFA817F" w14:textId="6DA61999" w:rsidR="004D75C6" w:rsidRPr="009B401C" w:rsidRDefault="004915C0" w:rsidP="00AD355F">
      <w:pPr>
        <w:spacing w:after="120"/>
        <w:jc w:val="both"/>
        <w:rPr>
          <w:rFonts w:cs="Calibri"/>
          <w:color w:val="000000"/>
        </w:rPr>
      </w:pPr>
      <w:r w:rsidRPr="009B401C">
        <w:rPr>
          <w:rFonts w:cs="Calibri"/>
          <w:color w:val="000000"/>
        </w:rPr>
        <w:t xml:space="preserve">The </w:t>
      </w:r>
      <w:r w:rsidR="00DC2533">
        <w:rPr>
          <w:rFonts w:cs="Calibri"/>
          <w:color w:val="000000"/>
        </w:rPr>
        <w:t xml:space="preserve">GridWise Architecture Council </w:t>
      </w:r>
      <w:r w:rsidRPr="009B401C">
        <w:rPr>
          <w:rFonts w:cs="Calibri"/>
          <w:color w:val="000000"/>
        </w:rPr>
        <w:t>Transactive Energy Framework</w:t>
      </w:r>
      <w:r w:rsidR="00671CAA">
        <w:rPr>
          <w:rFonts w:cs="Calibri"/>
          <w:color w:val="000000"/>
        </w:rPr>
        <w:t xml:space="preserve"> </w:t>
      </w:r>
      <w:r w:rsidRPr="009B401C">
        <w:rPr>
          <w:rFonts w:cs="Calibri"/>
          <w:color w:val="000000"/>
        </w:rPr>
        <w:t xml:space="preserve">defines Transactive </w:t>
      </w:r>
      <w:r w:rsidR="002F40BE">
        <w:rPr>
          <w:rFonts w:cs="Calibri"/>
          <w:color w:val="000000"/>
        </w:rPr>
        <w:t>E</w:t>
      </w:r>
      <w:r w:rsidRPr="009B401C">
        <w:rPr>
          <w:rFonts w:cs="Calibri"/>
          <w:color w:val="000000"/>
        </w:rPr>
        <w:t>nergy as follows</w:t>
      </w:r>
      <w:r w:rsidR="004E27DF">
        <w:rPr>
          <w:rFonts w:cs="Calibri"/>
          <w:color w:val="000000"/>
        </w:rPr>
        <w:t>:</w:t>
      </w:r>
      <w:r w:rsidRPr="009B401C">
        <w:rPr>
          <w:rFonts w:cs="Calibri"/>
          <w:color w:val="000000"/>
        </w:rPr>
        <w:t xml:space="preserve"> </w:t>
      </w:r>
    </w:p>
    <w:p w14:paraId="1EFA8978" w14:textId="3966A5AE" w:rsidR="005D0EE2" w:rsidRDefault="005D0EE2" w:rsidP="00AD355F">
      <w:pPr>
        <w:pStyle w:val="CommentText"/>
        <w:spacing w:after="120"/>
        <w:ind w:left="720" w:right="720"/>
        <w:rPr>
          <w:sz w:val="24"/>
          <w:szCs w:val="24"/>
        </w:rPr>
      </w:pPr>
      <w:r w:rsidRPr="0008132D">
        <w:rPr>
          <w:sz w:val="24"/>
          <w:szCs w:val="24"/>
        </w:rPr>
        <w:t>A system of economic and control mechanisms that allows the dynamic balance of supply and demand across the entire electrical infrastructure using value as a key operational parameter.</w:t>
      </w:r>
      <w:r w:rsidR="00473021">
        <w:rPr>
          <w:sz w:val="24"/>
          <w:szCs w:val="24"/>
        </w:rPr>
        <w:t xml:space="preserve"> </w:t>
      </w:r>
      <w:sdt>
        <w:sdtPr>
          <w:rPr>
            <w:sz w:val="24"/>
            <w:szCs w:val="24"/>
          </w:rPr>
          <w:id w:val="1949970254"/>
          <w:citation/>
        </w:sdtPr>
        <w:sdtContent>
          <w:r w:rsidR="004A5D3F">
            <w:rPr>
              <w:sz w:val="24"/>
              <w:szCs w:val="24"/>
            </w:rPr>
            <w:fldChar w:fldCharType="begin"/>
          </w:r>
          <w:r w:rsidR="004A5D3F">
            <w:rPr>
              <w:sz w:val="24"/>
              <w:szCs w:val="24"/>
            </w:rPr>
            <w:instrText xml:space="preserve"> CITATION Gri15 \l 1033 </w:instrText>
          </w:r>
          <w:r w:rsidR="004A5D3F">
            <w:rPr>
              <w:sz w:val="24"/>
              <w:szCs w:val="24"/>
            </w:rPr>
            <w:fldChar w:fldCharType="separate"/>
          </w:r>
          <w:r w:rsidR="00AA1494" w:rsidRPr="00AA1494">
            <w:rPr>
              <w:noProof/>
              <w:sz w:val="24"/>
              <w:szCs w:val="24"/>
            </w:rPr>
            <w:t>[</w:t>
          </w:r>
          <w:hyperlink w:anchor="Gri15" w:history="1">
            <w:r w:rsidR="00AA1494" w:rsidRPr="00AA1494">
              <w:rPr>
                <w:rStyle w:val="Heading2Char"/>
                <w:rFonts w:eastAsiaTheme="minorHAnsi" w:cstheme="minorBidi"/>
                <w:noProof/>
                <w:color w:val="auto"/>
                <w:sz w:val="24"/>
                <w:szCs w:val="24"/>
              </w:rPr>
              <w:t>15</w:t>
            </w:r>
          </w:hyperlink>
          <w:r w:rsidR="00AA1494" w:rsidRPr="00AA1494">
            <w:rPr>
              <w:noProof/>
              <w:sz w:val="24"/>
              <w:szCs w:val="24"/>
            </w:rPr>
            <w:t>]</w:t>
          </w:r>
          <w:r w:rsidR="004A5D3F">
            <w:rPr>
              <w:sz w:val="24"/>
              <w:szCs w:val="24"/>
            </w:rPr>
            <w:fldChar w:fldCharType="end"/>
          </w:r>
        </w:sdtContent>
      </w:sdt>
    </w:p>
    <w:p w14:paraId="66FA445C" w14:textId="24B30D5D" w:rsidR="00C26A33" w:rsidRDefault="00C26A33" w:rsidP="00C26A33">
      <w:pPr>
        <w:pStyle w:val="CommentText"/>
        <w:spacing w:after="120"/>
        <w:ind w:right="720"/>
        <w:rPr>
          <w:sz w:val="24"/>
          <w:szCs w:val="24"/>
        </w:rPr>
      </w:pPr>
      <w:r>
        <w:rPr>
          <w:sz w:val="24"/>
          <w:szCs w:val="24"/>
        </w:rPr>
        <w:t xml:space="preserve">The Transactive Energy Association </w:t>
      </w:r>
      <w:r w:rsidR="0013712A">
        <w:rPr>
          <w:sz w:val="24"/>
          <w:szCs w:val="24"/>
        </w:rPr>
        <w:t>describes</w:t>
      </w:r>
      <w:r>
        <w:rPr>
          <w:sz w:val="24"/>
          <w:szCs w:val="24"/>
        </w:rPr>
        <w:t xml:space="preserve"> Transactive Energy as follows:</w:t>
      </w:r>
    </w:p>
    <w:p w14:paraId="0D890AA7" w14:textId="04CC89C6" w:rsidR="0013712A" w:rsidRPr="004A5D3F" w:rsidRDefault="00C26A33" w:rsidP="0013712A">
      <w:pPr>
        <w:pStyle w:val="CommentText"/>
        <w:spacing w:after="120"/>
        <w:ind w:left="720"/>
        <w:rPr>
          <w:sz w:val="24"/>
          <w:szCs w:val="24"/>
        </w:rPr>
      </w:pPr>
      <w:r w:rsidRPr="00C26A33">
        <w:rPr>
          <w:sz w:val="24"/>
          <w:szCs w:val="24"/>
        </w:rPr>
        <w:lastRenderedPageBreak/>
        <w:t xml:space="preserve">Transactive Energy engages customers and suppliers as participants in decentralized markets for energy transactions that strive towards the three goals of economic efficiency, reliability, and environmental </w:t>
      </w:r>
      <w:r w:rsidRPr="004A5D3F">
        <w:rPr>
          <w:sz w:val="24"/>
          <w:szCs w:val="24"/>
        </w:rPr>
        <w:t xml:space="preserve">enhancement </w:t>
      </w:r>
      <w:sdt>
        <w:sdtPr>
          <w:rPr>
            <w:sz w:val="24"/>
            <w:szCs w:val="24"/>
          </w:rPr>
          <w:id w:val="-1709171589"/>
          <w:citation/>
        </w:sdtPr>
        <w:sdtContent>
          <w:r w:rsidR="004A79C9" w:rsidRPr="004A5D3F">
            <w:rPr>
              <w:sz w:val="24"/>
              <w:szCs w:val="24"/>
            </w:rPr>
            <w:fldChar w:fldCharType="begin"/>
          </w:r>
          <w:r w:rsidR="004A79C9" w:rsidRPr="004A5D3F">
            <w:rPr>
              <w:sz w:val="24"/>
              <w:szCs w:val="24"/>
            </w:rPr>
            <w:instrText xml:space="preserve"> CITATION Tra16 \l 1033 </w:instrText>
          </w:r>
          <w:r w:rsidR="004A79C9" w:rsidRPr="004A5D3F">
            <w:rPr>
              <w:sz w:val="24"/>
              <w:szCs w:val="24"/>
            </w:rPr>
            <w:fldChar w:fldCharType="separate"/>
          </w:r>
          <w:r w:rsidR="00AA1494" w:rsidRPr="00AA1494">
            <w:rPr>
              <w:noProof/>
              <w:sz w:val="24"/>
              <w:szCs w:val="24"/>
            </w:rPr>
            <w:t>[</w:t>
          </w:r>
          <w:hyperlink w:anchor="Tra16" w:history="1">
            <w:r w:rsidR="00AA1494" w:rsidRPr="00AA1494">
              <w:rPr>
                <w:rStyle w:val="Heading2Char"/>
                <w:rFonts w:eastAsiaTheme="minorHAnsi" w:cstheme="minorBidi"/>
                <w:noProof/>
                <w:color w:val="auto"/>
                <w:sz w:val="24"/>
                <w:szCs w:val="24"/>
              </w:rPr>
              <w:t>16</w:t>
            </w:r>
          </w:hyperlink>
          <w:r w:rsidR="00AA1494" w:rsidRPr="00AA1494">
            <w:rPr>
              <w:noProof/>
              <w:sz w:val="24"/>
              <w:szCs w:val="24"/>
            </w:rPr>
            <w:t>]</w:t>
          </w:r>
          <w:r w:rsidR="004A79C9" w:rsidRPr="004A5D3F">
            <w:rPr>
              <w:sz w:val="24"/>
              <w:szCs w:val="24"/>
            </w:rPr>
            <w:fldChar w:fldCharType="end"/>
          </w:r>
        </w:sdtContent>
      </w:sdt>
    </w:p>
    <w:p w14:paraId="1B900855" w14:textId="61A0BB61" w:rsidR="004E27DF" w:rsidRDefault="00D34A70" w:rsidP="00AD355F">
      <w:pPr>
        <w:pStyle w:val="CommentText"/>
        <w:spacing w:after="120"/>
        <w:rPr>
          <w:rFonts w:cs="Calibri"/>
          <w:color w:val="000000"/>
          <w:sz w:val="24"/>
          <w:szCs w:val="24"/>
        </w:rPr>
      </w:pPr>
      <w:r>
        <w:rPr>
          <w:rFonts w:cs="Calibri"/>
          <w:color w:val="000000"/>
          <w:sz w:val="24"/>
          <w:szCs w:val="24"/>
        </w:rPr>
        <w:t xml:space="preserve">Our transactive systems of interest </w:t>
      </w:r>
      <w:r w:rsidR="00150139">
        <w:rPr>
          <w:rFonts w:cs="Calibri"/>
          <w:color w:val="000000"/>
          <w:sz w:val="24"/>
          <w:szCs w:val="24"/>
        </w:rPr>
        <w:t>fit within</w:t>
      </w:r>
      <w:r w:rsidR="00280B5F">
        <w:rPr>
          <w:rFonts w:cs="Calibri"/>
          <w:color w:val="000000"/>
          <w:sz w:val="24"/>
          <w:szCs w:val="24"/>
        </w:rPr>
        <w:t xml:space="preserve"> </w:t>
      </w:r>
      <w:r w:rsidR="004E27DF">
        <w:rPr>
          <w:rFonts w:cs="Calibri"/>
          <w:color w:val="000000"/>
          <w:sz w:val="24"/>
          <w:szCs w:val="24"/>
        </w:rPr>
        <w:t>these</w:t>
      </w:r>
      <w:r w:rsidR="00280B5F">
        <w:rPr>
          <w:rFonts w:cs="Calibri"/>
          <w:color w:val="000000"/>
          <w:sz w:val="24"/>
          <w:szCs w:val="24"/>
        </w:rPr>
        <w:t xml:space="preserve"> definition</w:t>
      </w:r>
      <w:r w:rsidR="004E27DF">
        <w:rPr>
          <w:rFonts w:cs="Calibri"/>
          <w:color w:val="000000"/>
          <w:sz w:val="24"/>
          <w:szCs w:val="24"/>
        </w:rPr>
        <w:t>s</w:t>
      </w:r>
      <w:r w:rsidR="004A79C9">
        <w:rPr>
          <w:rFonts w:cs="Calibri"/>
          <w:color w:val="000000"/>
          <w:sz w:val="24"/>
          <w:szCs w:val="24"/>
        </w:rPr>
        <w:t xml:space="preserve"> and descriptions</w:t>
      </w:r>
      <w:r w:rsidR="00280B5F">
        <w:rPr>
          <w:rFonts w:cs="Calibri"/>
          <w:color w:val="000000"/>
          <w:sz w:val="24"/>
          <w:szCs w:val="24"/>
        </w:rPr>
        <w:t xml:space="preserve">. </w:t>
      </w:r>
    </w:p>
    <w:p w14:paraId="0C787306" w14:textId="65B4BB93" w:rsidR="005D0EE2" w:rsidRDefault="0008132D" w:rsidP="00AD355F">
      <w:pPr>
        <w:pStyle w:val="CommentText"/>
        <w:spacing w:after="120"/>
      </w:pPr>
      <w:r>
        <w:rPr>
          <w:rFonts w:cs="Calibri"/>
          <w:color w:val="000000"/>
          <w:sz w:val="24"/>
          <w:szCs w:val="24"/>
        </w:rPr>
        <w:t>W</w:t>
      </w:r>
      <w:r w:rsidR="009F479E">
        <w:rPr>
          <w:rFonts w:cs="Calibri"/>
          <w:color w:val="000000"/>
          <w:sz w:val="24"/>
          <w:szCs w:val="24"/>
        </w:rPr>
        <w:t xml:space="preserve">e </w:t>
      </w:r>
      <w:r w:rsidR="005D0EE2">
        <w:rPr>
          <w:rFonts w:cs="Calibri"/>
          <w:color w:val="000000"/>
          <w:sz w:val="24"/>
          <w:szCs w:val="24"/>
        </w:rPr>
        <w:t>consider the following common elements, interconnection features, and functions</w:t>
      </w:r>
      <w:r w:rsidR="009F479E">
        <w:rPr>
          <w:rFonts w:cs="Calibri"/>
          <w:color w:val="000000"/>
          <w:sz w:val="24"/>
          <w:szCs w:val="24"/>
        </w:rPr>
        <w:t xml:space="preserve"> of TE systems</w:t>
      </w:r>
      <w:r w:rsidR="00E2688C">
        <w:rPr>
          <w:rFonts w:cs="Calibri"/>
          <w:color w:val="000000"/>
          <w:sz w:val="24"/>
          <w:szCs w:val="24"/>
        </w:rPr>
        <w:t xml:space="preserve">. </w:t>
      </w:r>
    </w:p>
    <w:p w14:paraId="441DD816" w14:textId="0CD2D2B2" w:rsidR="00B85511" w:rsidRDefault="007D3CFC" w:rsidP="0097191D">
      <w:pPr>
        <w:pStyle w:val="ListParagraph"/>
        <w:numPr>
          <w:ilvl w:val="0"/>
          <w:numId w:val="11"/>
        </w:numPr>
      </w:pPr>
      <w:r>
        <w:rPr>
          <w:rFonts w:cs="Calibri"/>
          <w:color w:val="000000"/>
        </w:rPr>
        <w:t xml:space="preserve">TE systems </w:t>
      </w:r>
      <w:r w:rsidR="00E2688C">
        <w:t>use</w:t>
      </w:r>
      <w:r w:rsidR="00B85511">
        <w:t xml:space="preserve"> transactions to help manage grid reliabilit</w:t>
      </w:r>
      <w:r w:rsidR="00E2688C">
        <w:t>y and improve system efficiency</w:t>
      </w:r>
    </w:p>
    <w:p w14:paraId="69F573AF" w14:textId="159FF356" w:rsidR="00E37986" w:rsidRDefault="007D3CFC" w:rsidP="0097191D">
      <w:pPr>
        <w:pStyle w:val="ListParagraph"/>
        <w:numPr>
          <w:ilvl w:val="0"/>
          <w:numId w:val="11"/>
        </w:numPr>
      </w:pPr>
      <w:r>
        <w:rPr>
          <w:rFonts w:cs="Calibri"/>
          <w:color w:val="000000"/>
        </w:rPr>
        <w:t xml:space="preserve">TE systems </w:t>
      </w:r>
      <w:r w:rsidR="00E2688C">
        <w:t>p</w:t>
      </w:r>
      <w:r w:rsidR="00B85511">
        <w:t xml:space="preserve">rimarily </w:t>
      </w:r>
      <w:r w:rsidR="00E2688C">
        <w:t>use</w:t>
      </w:r>
      <w:r w:rsidR="005D0EE2">
        <w:t xml:space="preserve"> transactions</w:t>
      </w:r>
      <w:r w:rsidR="00E37986">
        <w:t xml:space="preserve"> that are economic and energy-related </w:t>
      </w:r>
      <w:r w:rsidR="005D0EE2">
        <w:t xml:space="preserve">to </w:t>
      </w:r>
      <w:r w:rsidR="00E37986">
        <w:t>coordinate customer resource operations and investment; and grid resource operations and investments</w:t>
      </w:r>
      <w:r w:rsidR="00B85511">
        <w:rPr>
          <w:rStyle w:val="FootnoteReference"/>
        </w:rPr>
        <w:footnoteReference w:id="4"/>
      </w:r>
    </w:p>
    <w:p w14:paraId="03DF2D1E" w14:textId="4C1DEBFC" w:rsidR="005D0EE2" w:rsidRDefault="007D3CFC" w:rsidP="0097191D">
      <w:pPr>
        <w:pStyle w:val="ListParagraph"/>
        <w:numPr>
          <w:ilvl w:val="0"/>
          <w:numId w:val="11"/>
        </w:numPr>
      </w:pPr>
      <w:r>
        <w:rPr>
          <w:rFonts w:cs="Calibri"/>
          <w:color w:val="000000"/>
        </w:rPr>
        <w:t xml:space="preserve">TE systems </w:t>
      </w:r>
      <w:r w:rsidR="00C01ED9">
        <w:t>e</w:t>
      </w:r>
      <w:r w:rsidR="00E2688C">
        <w:t>ngage m</w:t>
      </w:r>
      <w:r w:rsidR="009715BD">
        <w:t>ultiple</w:t>
      </w:r>
      <w:r w:rsidR="005D0EE2">
        <w:t xml:space="preserve"> parties (system operators, generators, markets, customers, aggregators, etc.)</w:t>
      </w:r>
      <w:r w:rsidR="009F479E">
        <w:t xml:space="preserve"> </w:t>
      </w:r>
    </w:p>
    <w:p w14:paraId="0D793D1C" w14:textId="1332CDB8" w:rsidR="007D3CFC" w:rsidRDefault="00562BD4" w:rsidP="000A7765">
      <w:r>
        <w:t xml:space="preserve">Common system </w:t>
      </w:r>
      <w:r w:rsidR="000A7765">
        <w:t>aspects</w:t>
      </w:r>
      <w:r w:rsidR="009F479E">
        <w:t xml:space="preserve"> of transactions</w:t>
      </w:r>
      <w:r>
        <w:t xml:space="preserve"> include</w:t>
      </w:r>
      <w:r w:rsidR="005D0EE2">
        <w:t xml:space="preserve"> information, financial and control communications. </w:t>
      </w:r>
      <w:r w:rsidR="007D3CFC">
        <w:t xml:space="preserve">These different kinds of communication exist in the context of a TE process. There is a progression from forward planning to real-time markets/interactions followed by control actions taken based on dynamic negotiations and finally reconciliation based on actual usage. TE recognizes the value of forward planning information as well as the need for </w:t>
      </w:r>
      <w:r w:rsidR="00643A2A">
        <w:t xml:space="preserve">control </w:t>
      </w:r>
      <w:r w:rsidR="007D3CFC">
        <w:t>decisions made based on a continuous flow of real-time information.</w:t>
      </w:r>
    </w:p>
    <w:p w14:paraId="62606C5D" w14:textId="2FE57445" w:rsidR="00562BD4" w:rsidRDefault="00643A2A" w:rsidP="000A7765">
      <w:r>
        <w:t>The authors recognize that Energy Interoperation services do not cover the entire TE process. The EI servi</w:t>
      </w:r>
      <w:r w:rsidR="00C62245">
        <w:t>ces provide for pre-transaction (Quote), transaction</w:t>
      </w:r>
      <w:r>
        <w:t xml:space="preserve"> (Tender and Transaction), and post-transaction (Delivery) services, but do not cover all information exchanges, nor </w:t>
      </w:r>
      <w:r w:rsidR="00C62245">
        <w:t>address</w:t>
      </w:r>
      <w:r>
        <w:t xml:space="preserve"> communications. Nonetheless, EI services </w:t>
      </w:r>
      <w:r w:rsidR="00BD4EC3">
        <w:t>are</w:t>
      </w:r>
      <w:r>
        <w:t xml:space="preserve"> shown to provide a minimal set of common transactional services</w:t>
      </w:r>
      <w:r w:rsidR="00C62245">
        <w:t xml:space="preserve"> semantically consistent with and capable of mapping to and from other transactive systems</w:t>
      </w:r>
      <w:r>
        <w:t>.</w:t>
      </w:r>
      <w:r w:rsidR="00BD4EC3">
        <w:t xml:space="preserve"> See Section </w:t>
      </w:r>
      <w:r w:rsidR="00BD4EC3">
        <w:fldChar w:fldCharType="begin"/>
      </w:r>
      <w:r w:rsidR="00BD4EC3">
        <w:instrText xml:space="preserve"> REF _Ref315355838 \r \h </w:instrText>
      </w:r>
      <w:r w:rsidR="00BD4EC3">
        <w:fldChar w:fldCharType="separate"/>
      </w:r>
      <w:r w:rsidR="005E752B">
        <w:t>8</w:t>
      </w:r>
      <w:r w:rsidR="00BD4EC3">
        <w:fldChar w:fldCharType="end"/>
      </w:r>
      <w:r w:rsidR="00BD4EC3">
        <w:t>.</w:t>
      </w:r>
    </w:p>
    <w:p w14:paraId="4A2E1ECD" w14:textId="6D1C5CCA" w:rsidR="00251C56" w:rsidRDefault="00EB07E0" w:rsidP="00107CFA">
      <w:r>
        <w:t>To summarize, Transactive Energy</w:t>
      </w:r>
      <w:r w:rsidR="005D0EE2" w:rsidRPr="0008132D">
        <w:t xml:space="preserve"> </w:t>
      </w:r>
      <w:r>
        <w:t>enables the use of</w:t>
      </w:r>
      <w:r w:rsidR="005D0EE2" w:rsidRPr="0008132D">
        <w:t xml:space="preserve"> economic constructs for grid</w:t>
      </w:r>
      <w:r w:rsidR="008F0E89">
        <w:t xml:space="preserve"> and energy</w:t>
      </w:r>
      <w:r w:rsidR="005D0EE2" w:rsidRPr="0008132D">
        <w:t xml:space="preserve"> management. Th</w:t>
      </w:r>
      <w:r w:rsidR="0003444C" w:rsidRPr="0008132D">
        <w:t>is</w:t>
      </w:r>
      <w:r w:rsidR="005D0EE2" w:rsidRPr="0008132D">
        <w:t xml:space="preserve"> </w:t>
      </w:r>
      <w:r w:rsidR="008F0E89">
        <w:t>report</w:t>
      </w:r>
      <w:r w:rsidR="005D0EE2" w:rsidRPr="0008132D">
        <w:t xml:space="preserve"> demonstrates that these constructs can w</w:t>
      </w:r>
      <w:r w:rsidR="0003444C" w:rsidRPr="0008132D">
        <w:t xml:space="preserve">ork with </w:t>
      </w:r>
      <w:r w:rsidR="00251C56">
        <w:t>a variety of</w:t>
      </w:r>
      <w:r w:rsidR="0003444C" w:rsidRPr="0008132D">
        <w:t xml:space="preserve"> TE approaches using </w:t>
      </w:r>
      <w:r w:rsidR="0003444C" w:rsidRPr="004100D4">
        <w:t xml:space="preserve">the </w:t>
      </w:r>
      <w:r w:rsidR="00251C56">
        <w:t>Common Transactive Services.</w:t>
      </w:r>
      <w:r w:rsidR="00AB16F7" w:rsidRPr="004100D4">
        <w:t xml:space="preserve"> </w:t>
      </w:r>
    </w:p>
    <w:p w14:paraId="5447F72E" w14:textId="58ED8D77" w:rsidR="00BF3E2C" w:rsidRDefault="00BF3E2C" w:rsidP="0097191D">
      <w:pPr>
        <w:pStyle w:val="Heading2"/>
        <w:numPr>
          <w:ilvl w:val="1"/>
          <w:numId w:val="4"/>
        </w:numPr>
        <w:spacing w:after="120"/>
      </w:pPr>
      <w:r w:rsidRPr="00F956C6">
        <w:t>A Market Perspective</w:t>
      </w:r>
    </w:p>
    <w:p w14:paraId="4C6850B8" w14:textId="23ABABDD" w:rsidR="00B45E77" w:rsidRDefault="00B45E77" w:rsidP="00AD355F">
      <w:pPr>
        <w:spacing w:after="120"/>
      </w:pPr>
      <w:r>
        <w:t>There are significant similarities and significant differences across Transactive Energy Systems.</w:t>
      </w:r>
      <w:r w:rsidR="00901558">
        <w:t xml:space="preserve">  Addressing only the GWAC definition, the North American wholesale markets are transactive in nature, as are systems proposed for more local use such as forward delivery contracts, transactive balancing of microgrids, and more.</w:t>
      </w:r>
    </w:p>
    <w:p w14:paraId="31750069" w14:textId="727F7C80" w:rsidR="00D967B6" w:rsidRDefault="00901558" w:rsidP="00AD355F">
      <w:pPr>
        <w:spacing w:after="120"/>
      </w:pPr>
      <w:r>
        <w:t xml:space="preserve">In fact, markets </w:t>
      </w:r>
      <w:r w:rsidR="00D967B6">
        <w:t xml:space="preserve">and algorithmic resolution of competing tenders </w:t>
      </w:r>
      <w:r>
        <w:t xml:space="preserve">take many forms. </w:t>
      </w:r>
    </w:p>
    <w:p w14:paraId="3D9BA8E9" w14:textId="041D41DA" w:rsidR="00901558" w:rsidRDefault="006E34BF" w:rsidP="00AD355F">
      <w:pPr>
        <w:spacing w:after="120"/>
      </w:pPr>
      <w:r>
        <w:lastRenderedPageBreak/>
        <w:t xml:space="preserve">One </w:t>
      </w:r>
      <w:r w:rsidR="00901558">
        <w:t xml:space="preserve">purpose in defining </w:t>
      </w:r>
      <w:r w:rsidR="002F53F3">
        <w:t>the C</w:t>
      </w:r>
      <w:r w:rsidR="00901558">
        <w:t xml:space="preserve">ommon </w:t>
      </w:r>
      <w:r w:rsidR="002F53F3">
        <w:t>T</w:t>
      </w:r>
      <w:r w:rsidR="00901558">
        <w:t xml:space="preserve">ransactive </w:t>
      </w:r>
      <w:r w:rsidR="002F53F3">
        <w:t>S</w:t>
      </w:r>
      <w:r w:rsidR="00901558">
        <w:t xml:space="preserve">ervices </w:t>
      </w:r>
      <w:r>
        <w:t>is to allow</w:t>
      </w:r>
      <w:r w:rsidR="00901558">
        <w:t xml:space="preserve"> </w:t>
      </w:r>
      <w:r w:rsidR="00D4628C">
        <w:t>transactive participants to interact with any market that supports the broadest interpretation of Te</w:t>
      </w:r>
      <w:r w:rsidR="00061F79">
        <w:t xml:space="preserve">nder, Transaction, and Delivery. </w:t>
      </w:r>
      <w:r w:rsidR="00D4628C">
        <w:t>This enables</w:t>
      </w:r>
      <w:r w:rsidR="00251C56">
        <w:t xml:space="preserve"> the use of </w:t>
      </w:r>
      <w:r>
        <w:t>TE</w:t>
      </w:r>
      <w:r w:rsidR="00251C56">
        <w:t xml:space="preserve"> in hardware/firmware devices such as appliances</w:t>
      </w:r>
      <w:r w:rsidR="00A93F6B">
        <w:t xml:space="preserve"> using the Common Transactive Services:</w:t>
      </w:r>
      <w:r w:rsidR="00A93F6B">
        <w:rPr>
          <w:rStyle w:val="FootnoteReference"/>
        </w:rPr>
        <w:footnoteReference w:id="5"/>
      </w:r>
    </w:p>
    <w:p w14:paraId="18AB3835" w14:textId="77777777" w:rsidR="001C1DFF" w:rsidRDefault="00D4628C" w:rsidP="0097191D">
      <w:pPr>
        <w:pStyle w:val="ListParagraph"/>
        <w:numPr>
          <w:ilvl w:val="0"/>
          <w:numId w:val="10"/>
        </w:numPr>
        <w:spacing w:after="120"/>
      </w:pPr>
      <w:r>
        <w:t>Use of the same code regardless of market design</w:t>
      </w:r>
    </w:p>
    <w:p w14:paraId="0E42D814" w14:textId="0DD4D778" w:rsidR="005D6E7C" w:rsidRDefault="005D6E7C" w:rsidP="0097191D">
      <w:pPr>
        <w:pStyle w:val="ListParagraph"/>
        <w:numPr>
          <w:ilvl w:val="0"/>
          <w:numId w:val="10"/>
        </w:numPr>
        <w:spacing w:after="120"/>
      </w:pPr>
      <w:r>
        <w:t>Use of the same code regardless of the nature of the product exchanged, allowing energy, power, thermal energy, and more</w:t>
      </w:r>
      <w:r w:rsidR="00CB40F5">
        <w:rPr>
          <w:rStyle w:val="FootnoteReference"/>
        </w:rPr>
        <w:footnoteReference w:id="6"/>
      </w:r>
    </w:p>
    <w:p w14:paraId="247D992F" w14:textId="77777777" w:rsidR="001A5268" w:rsidRDefault="001A5268" w:rsidP="001A5268">
      <w:pPr>
        <w:pStyle w:val="ListParagraph"/>
        <w:numPr>
          <w:ilvl w:val="0"/>
          <w:numId w:val="10"/>
        </w:numPr>
        <w:spacing w:after="120"/>
      </w:pPr>
      <w:r>
        <w:t>Common terminology for describing and discussing transactive systems</w:t>
      </w:r>
    </w:p>
    <w:p w14:paraId="016A68D5" w14:textId="77777777" w:rsidR="001A5268" w:rsidRPr="00C80D2C" w:rsidRDefault="001A5268" w:rsidP="001A5268">
      <w:pPr>
        <w:pStyle w:val="ListParagraph"/>
        <w:numPr>
          <w:ilvl w:val="0"/>
          <w:numId w:val="10"/>
        </w:numPr>
        <w:spacing w:after="120"/>
      </w:pPr>
      <w:r w:rsidRPr="00C80D2C">
        <w:t xml:space="preserve">Alignment with </w:t>
      </w:r>
      <w:r>
        <w:t>Transactive</w:t>
      </w:r>
      <w:r w:rsidRPr="00C80D2C">
        <w:t xml:space="preserve"> Systems</w:t>
      </w:r>
      <w:r>
        <w:t xml:space="preserve"> of Interest</w:t>
      </w:r>
    </w:p>
    <w:p w14:paraId="53792D68" w14:textId="7B9804BE" w:rsidR="00707509" w:rsidRDefault="00707509" w:rsidP="0097191D">
      <w:pPr>
        <w:pStyle w:val="ListParagraph"/>
        <w:numPr>
          <w:ilvl w:val="0"/>
          <w:numId w:val="10"/>
        </w:numPr>
        <w:spacing w:after="120"/>
      </w:pPr>
      <w:r>
        <w:t>Use of the same code regardless of currency, product definition, or units of measure</w:t>
      </w:r>
    </w:p>
    <w:p w14:paraId="05DB3404" w14:textId="00B0582B" w:rsidR="00251C56" w:rsidRDefault="00251C56" w:rsidP="00251C56">
      <w:pPr>
        <w:spacing w:after="120"/>
      </w:pPr>
      <w:r>
        <w:t>And also enables</w:t>
      </w:r>
    </w:p>
    <w:p w14:paraId="7FE3FF32" w14:textId="77777777" w:rsidR="00866F59" w:rsidRDefault="001C1DFF" w:rsidP="0097191D">
      <w:pPr>
        <w:pStyle w:val="ListParagraph"/>
        <w:numPr>
          <w:ilvl w:val="0"/>
          <w:numId w:val="10"/>
        </w:numPr>
        <w:spacing w:after="120"/>
      </w:pPr>
      <w:r>
        <w:t>Use of Common Transactive Services</w:t>
      </w:r>
      <w:r w:rsidR="000B1F2A">
        <w:t xml:space="preserve"> for</w:t>
      </w:r>
      <w:r>
        <w:t xml:space="preserve"> </w:t>
      </w:r>
      <w:r w:rsidR="000B1F2A">
        <w:t>simulation of transactive systems</w:t>
      </w:r>
    </w:p>
    <w:p w14:paraId="740A6976" w14:textId="3B4E39B3" w:rsidR="00866F59" w:rsidRDefault="005C6CAD" w:rsidP="0097191D">
      <w:pPr>
        <w:pStyle w:val="ListParagraph"/>
        <w:numPr>
          <w:ilvl w:val="0"/>
          <w:numId w:val="10"/>
        </w:numPr>
        <w:spacing w:after="120"/>
      </w:pPr>
      <w:r>
        <w:t>Simulation</w:t>
      </w:r>
      <w:r w:rsidR="00866F59">
        <w:t xml:space="preserve"> results can be generalized to any transactive sys</w:t>
      </w:r>
      <w:r w:rsidR="003352D2">
        <w:t>t</w:t>
      </w:r>
      <w:r w:rsidR="00866F59">
        <w:t>em</w:t>
      </w:r>
    </w:p>
    <w:p w14:paraId="11785116" w14:textId="5EBCA38D" w:rsidR="00D275E8" w:rsidRDefault="00D742E0" w:rsidP="0097191D">
      <w:pPr>
        <w:pStyle w:val="ListParagraph"/>
        <w:numPr>
          <w:ilvl w:val="0"/>
          <w:numId w:val="10"/>
        </w:numPr>
        <w:spacing w:after="120"/>
      </w:pPr>
      <w:r>
        <w:t>Common understanding</w:t>
      </w:r>
      <w:r w:rsidR="00251C56">
        <w:t>, terminology,</w:t>
      </w:r>
      <w:r>
        <w:t xml:space="preserve"> and training for software architects and engineers</w:t>
      </w:r>
    </w:p>
    <w:p w14:paraId="1015BA26" w14:textId="48057CE5" w:rsidR="00931817" w:rsidRDefault="0043002E" w:rsidP="00E056C9">
      <w:pPr>
        <w:spacing w:after="120"/>
      </w:pPr>
      <w:r w:rsidRPr="002C58B5">
        <w:t xml:space="preserve">We want to develop transactive </w:t>
      </w:r>
      <w:r>
        <w:t>systems and markets</w:t>
      </w:r>
      <w:r w:rsidRPr="002C58B5">
        <w:t xml:space="preserve"> </w:t>
      </w:r>
      <w:r>
        <w:t xml:space="preserve">outside those </w:t>
      </w:r>
      <w:r w:rsidR="00C41201">
        <w:t xml:space="preserve">wholesale </w:t>
      </w:r>
      <w:r>
        <w:t>markets</w:t>
      </w:r>
      <w:r>
        <w:rPr>
          <w:rStyle w:val="FootnoteReference"/>
        </w:rPr>
        <w:footnoteReference w:id="7"/>
      </w:r>
      <w:r>
        <w:t xml:space="preserve"> </w:t>
      </w:r>
      <w:r w:rsidRPr="002C58B5">
        <w:t>in order to meet the objectives of Transa</w:t>
      </w:r>
      <w:r>
        <w:t>c</w:t>
      </w:r>
      <w:r w:rsidRPr="002C58B5">
        <w:t>tive Energy</w:t>
      </w:r>
      <w:r w:rsidRPr="002C58B5" w:rsidDel="0043002E">
        <w:t xml:space="preserve"> </w:t>
      </w:r>
      <w:r>
        <w:t xml:space="preserve">as given in 6.1. </w:t>
      </w:r>
    </w:p>
    <w:p w14:paraId="4B78F2E2" w14:textId="5A631B7E" w:rsidR="0024635F" w:rsidRDefault="00931817" w:rsidP="00AD355F">
      <w:pPr>
        <w:spacing w:after="120"/>
      </w:pPr>
      <w:r>
        <w:t xml:space="preserve">These </w:t>
      </w:r>
      <w:r w:rsidR="0043002E">
        <w:t>c</w:t>
      </w:r>
      <w:r w:rsidR="001959E1">
        <w:t xml:space="preserve">ommon </w:t>
      </w:r>
      <w:r w:rsidR="0043002E">
        <w:t>t</w:t>
      </w:r>
      <w:r w:rsidR="001959E1">
        <w:t xml:space="preserve">ransactive </w:t>
      </w:r>
      <w:r w:rsidR="0043002E">
        <w:t>s</w:t>
      </w:r>
      <w:r w:rsidR="001959E1">
        <w:t>ervices</w:t>
      </w:r>
      <w:r>
        <w:t xml:space="preserve"> </w:t>
      </w:r>
      <w:r w:rsidR="00E056C9">
        <w:t xml:space="preserve">are </w:t>
      </w:r>
      <w:r w:rsidR="0043002E">
        <w:t xml:space="preserve">based on Energy Interoperation </w:t>
      </w:r>
      <w:r w:rsidR="00E056C9">
        <w:t xml:space="preserve">and provide </w:t>
      </w:r>
      <w:r>
        <w:t>a standard set of</w:t>
      </w:r>
      <w:r w:rsidR="001959E1">
        <w:t xml:space="preserve"> services</w:t>
      </w:r>
      <w:r w:rsidR="008911CE">
        <w:rPr>
          <w:rStyle w:val="FootnoteReference"/>
        </w:rPr>
        <w:footnoteReference w:id="8"/>
      </w:r>
      <w:r w:rsidR="0056409C">
        <w:t xml:space="preserve"> </w:t>
      </w:r>
      <w:r w:rsidR="00865DD5">
        <w:t>and</w:t>
      </w:r>
      <w:r>
        <w:t xml:space="preserve"> </w:t>
      </w:r>
      <w:r w:rsidR="0056409C">
        <w:t xml:space="preserve">provide a foundation for retail, wholesale, and in fact all </w:t>
      </w:r>
      <w:r>
        <w:t>market transactions and as</w:t>
      </w:r>
      <w:r w:rsidR="0024635F">
        <w:t>sociated information exchange</w:t>
      </w:r>
      <w:r w:rsidR="00C22C4A">
        <w:t>s</w:t>
      </w:r>
      <w:r w:rsidR="002B6370">
        <w:t>.</w:t>
      </w:r>
      <w:r w:rsidR="00C80BAC">
        <w:t xml:space="preserve"> </w:t>
      </w:r>
      <w:sdt>
        <w:sdtPr>
          <w:id w:val="-483770696"/>
          <w:citation/>
        </w:sdtPr>
        <w:sdtContent>
          <w:r w:rsidR="00C80BAC">
            <w:fldChar w:fldCharType="begin"/>
          </w:r>
          <w:r w:rsidR="00C80BAC">
            <w:instrText xml:space="preserve"> CITATION Alb \l 1033 </w:instrText>
          </w:r>
          <w:r w:rsidR="00C80BAC">
            <w:fldChar w:fldCharType="separate"/>
          </w:r>
          <w:r w:rsidR="00AA1494">
            <w:rPr>
              <w:noProof/>
            </w:rPr>
            <w:t>[</w:t>
          </w:r>
          <w:hyperlink w:anchor="Alb" w:history="1">
            <w:r w:rsidR="00AA1494" w:rsidRPr="00AA1494">
              <w:rPr>
                <w:rStyle w:val="Heading2Char"/>
                <w:rFonts w:eastAsiaTheme="minorHAnsi" w:cstheme="minorBidi"/>
                <w:noProof/>
                <w:color w:val="auto"/>
                <w:sz w:val="24"/>
                <w:szCs w:val="24"/>
              </w:rPr>
              <w:t>17</w:t>
            </w:r>
          </w:hyperlink>
          <w:r w:rsidR="00AA1494">
            <w:rPr>
              <w:noProof/>
            </w:rPr>
            <w:t>]</w:t>
          </w:r>
          <w:r w:rsidR="00C80BAC">
            <w:fldChar w:fldCharType="end"/>
          </w:r>
        </w:sdtContent>
      </w:sdt>
    </w:p>
    <w:p w14:paraId="450BA023" w14:textId="3803FA57" w:rsidR="00B962D0" w:rsidRDefault="00C22C4A" w:rsidP="00AD355F">
      <w:pPr>
        <w:spacing w:after="120"/>
        <w:rPr>
          <w:rFonts w:cs="Calibri"/>
          <w:color w:val="000000"/>
        </w:rPr>
      </w:pPr>
      <w:r>
        <w:rPr>
          <w:rFonts w:cs="Calibri"/>
          <w:color w:val="000000"/>
        </w:rPr>
        <w:t>Any</w:t>
      </w:r>
      <w:r w:rsidR="00B962D0">
        <w:rPr>
          <w:rFonts w:cs="Calibri"/>
          <w:color w:val="000000"/>
        </w:rPr>
        <w:t xml:space="preserve"> Transactive System</w:t>
      </w:r>
      <w:r w:rsidR="00EB6241">
        <w:rPr>
          <w:rFonts w:cs="Calibri"/>
          <w:color w:val="000000"/>
        </w:rPr>
        <w:t xml:space="preserve"> of Interest (and indeed any transactive system)</w:t>
      </w:r>
      <w:r w:rsidR="00B962D0">
        <w:rPr>
          <w:rFonts w:cs="Calibri"/>
          <w:color w:val="000000"/>
        </w:rPr>
        <w:t xml:space="preserve"> </w:t>
      </w:r>
      <w:r w:rsidR="00181060">
        <w:rPr>
          <w:rFonts w:cs="Calibri"/>
          <w:color w:val="000000"/>
        </w:rPr>
        <w:t>can</w:t>
      </w:r>
      <w:r>
        <w:rPr>
          <w:rFonts w:cs="Calibri"/>
          <w:color w:val="000000"/>
        </w:rPr>
        <w:t xml:space="preserve"> enable </w:t>
      </w:r>
      <w:r w:rsidR="00B962D0">
        <w:rPr>
          <w:rFonts w:cs="Calibri"/>
          <w:color w:val="000000"/>
        </w:rPr>
        <w:t>grid-edge devices, prosumers, smart buildings, and microgrids.</w:t>
      </w:r>
      <w:r w:rsidR="001E3DE3">
        <w:rPr>
          <w:rStyle w:val="FootnoteReference"/>
          <w:rFonts w:cs="Calibri"/>
          <w:color w:val="000000"/>
        </w:rPr>
        <w:footnoteReference w:id="9"/>
      </w:r>
    </w:p>
    <w:p w14:paraId="738F5C2A" w14:textId="073F42E7" w:rsidR="0024635F" w:rsidRDefault="0024635F" w:rsidP="0097191D">
      <w:pPr>
        <w:pStyle w:val="Heading2"/>
        <w:numPr>
          <w:ilvl w:val="1"/>
          <w:numId w:val="4"/>
        </w:numPr>
        <w:spacing w:after="120"/>
      </w:pPr>
      <w:bookmarkStart w:id="3" w:name="_Ref317353758"/>
      <w:bookmarkStart w:id="4" w:name="_Ref323413307"/>
      <w:r>
        <w:t xml:space="preserve">Products </w:t>
      </w:r>
      <w:bookmarkEnd w:id="3"/>
      <w:r w:rsidR="00CE42E8">
        <w:t>Transacted</w:t>
      </w:r>
      <w:bookmarkEnd w:id="4"/>
    </w:p>
    <w:p w14:paraId="1C5EB61D" w14:textId="3E276AF3" w:rsidR="00F27863" w:rsidRPr="00F27863" w:rsidRDefault="00F27863" w:rsidP="00F27863">
      <w:pPr>
        <w:spacing w:after="120"/>
      </w:pPr>
      <w:r>
        <w:t>Value</w:t>
      </w:r>
      <w:r w:rsidR="00865DD5">
        <w:t xml:space="preserve"> </w:t>
      </w:r>
      <w:r>
        <w:t>is with respect to the parties engaged in a Transaction</w:t>
      </w:r>
      <w:r w:rsidR="00865DD5">
        <w:t>—a</w:t>
      </w:r>
      <w:r>
        <w:t xml:space="preserve"> T</w:t>
      </w:r>
      <w:r w:rsidRPr="00F27863">
        <w:t>ransaction inc</w:t>
      </w:r>
      <w:r>
        <w:t xml:space="preserve">reases value to both parties. </w:t>
      </w:r>
      <w:r w:rsidRPr="00F27863">
        <w:t>More precisely, a selling party’s total value is incr</w:t>
      </w:r>
      <w:r>
        <w:t xml:space="preserve">eased when the revenue (price times </w:t>
      </w:r>
      <w:r w:rsidRPr="00F27863">
        <w:t>quantity) for the transaction is greater than the party’s reduction in total value from the quantity sold.  Similarly, a buying party’s total value is inc</w:t>
      </w:r>
      <w:r>
        <w:t>reased when the payment (price times</w:t>
      </w:r>
      <w:r w:rsidRPr="00F27863">
        <w:t xml:space="preserve"> quantity) for the transaction is less</w:t>
      </w:r>
      <w:r w:rsidR="00C22C4A">
        <w:t xml:space="preserve"> than the party’s increase</w:t>
      </w:r>
      <w:r w:rsidRPr="00F27863">
        <w:t xml:space="preserve"> in total valu</w:t>
      </w:r>
      <w:r w:rsidR="00865DD5">
        <w:t xml:space="preserve">e from the quantity purchased. </w:t>
      </w:r>
    </w:p>
    <w:p w14:paraId="022039D3" w14:textId="37032691" w:rsidR="0024635F" w:rsidRDefault="0024635F" w:rsidP="00AD355F">
      <w:pPr>
        <w:spacing w:after="120"/>
      </w:pPr>
      <w:r>
        <w:lastRenderedPageBreak/>
        <w:t>Financial instruments (F), Goods and Services (GS) or Information (I) used in existing and anticipated transactive systems include but are not limited to:</w:t>
      </w:r>
    </w:p>
    <w:p w14:paraId="295715BE" w14:textId="77777777" w:rsidR="0024635F" w:rsidRDefault="0024635F" w:rsidP="0097191D">
      <w:pPr>
        <w:pStyle w:val="ListParagraph"/>
        <w:numPr>
          <w:ilvl w:val="0"/>
          <w:numId w:val="6"/>
        </w:numPr>
        <w:spacing w:after="120"/>
      </w:pPr>
      <w:r>
        <w:t>Contracts (F)</w:t>
      </w:r>
    </w:p>
    <w:p w14:paraId="709A31A2" w14:textId="77777777" w:rsidR="00735544" w:rsidRDefault="0024635F" w:rsidP="00735544">
      <w:pPr>
        <w:pStyle w:val="ListParagraph"/>
        <w:numPr>
          <w:ilvl w:val="0"/>
          <w:numId w:val="6"/>
        </w:numPr>
        <w:spacing w:after="120"/>
      </w:pPr>
      <w:r>
        <w:t>Options (F)</w:t>
      </w:r>
    </w:p>
    <w:p w14:paraId="1538B716" w14:textId="666EF87A" w:rsidR="0024635F" w:rsidRDefault="0024635F" w:rsidP="00735544">
      <w:pPr>
        <w:pStyle w:val="ListParagraph"/>
        <w:numPr>
          <w:ilvl w:val="0"/>
          <w:numId w:val="6"/>
        </w:numPr>
        <w:spacing w:after="120"/>
      </w:pPr>
      <w:r>
        <w:t>Energy (GS)</w:t>
      </w:r>
    </w:p>
    <w:p w14:paraId="3BD47108" w14:textId="2624E8F4" w:rsidR="0024635F" w:rsidRDefault="00C80BAC" w:rsidP="0097191D">
      <w:pPr>
        <w:pStyle w:val="ListParagraph"/>
        <w:numPr>
          <w:ilvl w:val="0"/>
          <w:numId w:val="6"/>
        </w:numPr>
        <w:spacing w:after="120"/>
      </w:pPr>
      <w:r>
        <w:t>Transport (GS)</w:t>
      </w:r>
    </w:p>
    <w:p w14:paraId="60010690" w14:textId="77777777" w:rsidR="0024635F" w:rsidRDefault="0024635F" w:rsidP="0097191D">
      <w:pPr>
        <w:pStyle w:val="ListParagraph"/>
        <w:numPr>
          <w:ilvl w:val="0"/>
          <w:numId w:val="6"/>
        </w:numPr>
        <w:spacing w:after="120"/>
      </w:pPr>
      <w:r>
        <w:t>Demand (GS)</w:t>
      </w:r>
    </w:p>
    <w:p w14:paraId="2265A72B" w14:textId="77777777" w:rsidR="0024635F" w:rsidRDefault="0024635F" w:rsidP="0097191D">
      <w:pPr>
        <w:pStyle w:val="ListParagraph"/>
        <w:numPr>
          <w:ilvl w:val="0"/>
          <w:numId w:val="6"/>
        </w:numPr>
        <w:spacing w:after="120"/>
      </w:pPr>
      <w:r>
        <w:t>Regulation Services (GS)</w:t>
      </w:r>
    </w:p>
    <w:p w14:paraId="726CC06B" w14:textId="2CABD76E" w:rsidR="0024635F" w:rsidRDefault="0024635F" w:rsidP="0097191D">
      <w:pPr>
        <w:pStyle w:val="ListParagraph"/>
        <w:numPr>
          <w:ilvl w:val="0"/>
          <w:numId w:val="6"/>
        </w:numPr>
        <w:spacing w:after="120"/>
      </w:pPr>
      <w:r>
        <w:t>Resource Status (I)</w:t>
      </w:r>
    </w:p>
    <w:p w14:paraId="22D221F2" w14:textId="4E631745" w:rsidR="00735544" w:rsidRDefault="00735544" w:rsidP="00735544">
      <w:pPr>
        <w:pStyle w:val="ListParagraph"/>
        <w:numPr>
          <w:ilvl w:val="0"/>
          <w:numId w:val="6"/>
        </w:numPr>
        <w:spacing w:after="120"/>
      </w:pPr>
      <w:r>
        <w:t xml:space="preserve">Historical Price Information (I) </w:t>
      </w:r>
    </w:p>
    <w:p w14:paraId="511ECE2B" w14:textId="0CC14D5F" w:rsidR="0024635F" w:rsidRDefault="0043002E" w:rsidP="00AD355F">
      <w:pPr>
        <w:spacing w:after="120"/>
      </w:pPr>
      <w:r>
        <w:t xml:space="preserve">EI </w:t>
      </w:r>
      <w:r w:rsidR="00BC6BDD">
        <w:t>Quote</w:t>
      </w:r>
      <w:r w:rsidR="00C80BAC">
        <w:t>s,</w:t>
      </w:r>
      <w:r w:rsidR="001F3F3E">
        <w:t xml:space="preserve"> </w:t>
      </w:r>
      <w:r w:rsidR="00BC6BDD">
        <w:t>Tenders and T</w:t>
      </w:r>
      <w:r w:rsidR="00792957">
        <w:t xml:space="preserve">ransactions </w:t>
      </w:r>
      <w:r w:rsidR="00E870B4">
        <w:t>include definition of the</w:t>
      </w:r>
      <w:r w:rsidR="00792957">
        <w:t xml:space="preserve"> product </w:t>
      </w:r>
      <w:r w:rsidR="00E870B4">
        <w:t>transacted</w:t>
      </w:r>
      <w:r w:rsidR="00792957">
        <w:t>.</w:t>
      </w:r>
      <w:r w:rsidR="002C58B5">
        <w:t xml:space="preserve"> </w:t>
      </w:r>
      <w:r w:rsidR="00792957">
        <w:t>In the</w:t>
      </w:r>
      <w:r w:rsidR="0024635F">
        <w:t xml:space="preserve"> UML models and XML Schema</w:t>
      </w:r>
      <w:r w:rsidR="00427DD0">
        <w:t>s</w:t>
      </w:r>
      <w:r w:rsidR="0024635F">
        <w:t xml:space="preserve"> </w:t>
      </w:r>
      <w:r w:rsidR="00C80BAC">
        <w:t xml:space="preserve">defining Energy Interoperation </w:t>
      </w:r>
      <w:sdt>
        <w:sdtPr>
          <w:id w:val="1685555124"/>
          <w:citation/>
        </w:sdtPr>
        <w:sdtContent>
          <w:r w:rsidR="00C80BAC">
            <w:fldChar w:fldCharType="begin"/>
          </w:r>
          <w:r w:rsidR="00C80BAC">
            <w:instrText xml:space="preserve"> CITATION Org12 \l 1033 </w:instrText>
          </w:r>
          <w:r w:rsidR="00C80BAC">
            <w:fldChar w:fldCharType="separate"/>
          </w:r>
          <w:r w:rsidR="00AA1494">
            <w:rPr>
              <w:noProof/>
            </w:rPr>
            <w:t>[</w:t>
          </w:r>
          <w:hyperlink w:anchor="Org12" w:history="1">
            <w:r w:rsidR="00AA1494" w:rsidRPr="00AA1494">
              <w:rPr>
                <w:rStyle w:val="Heading2Char"/>
                <w:rFonts w:eastAsiaTheme="minorHAnsi" w:cstheme="minorBidi"/>
                <w:noProof/>
                <w:color w:val="auto"/>
                <w:sz w:val="24"/>
                <w:szCs w:val="24"/>
              </w:rPr>
              <w:t>4</w:t>
            </w:r>
          </w:hyperlink>
          <w:r w:rsidR="00AA1494">
            <w:rPr>
              <w:noProof/>
            </w:rPr>
            <w:t>]</w:t>
          </w:r>
          <w:r w:rsidR="00C80BAC">
            <w:fldChar w:fldCharType="end"/>
          </w:r>
        </w:sdtContent>
      </w:sdt>
      <w:r w:rsidR="0024635F">
        <w:t xml:space="preserve">, </w:t>
      </w:r>
      <w:proofErr w:type="spellStart"/>
      <w:r w:rsidR="0024635F">
        <w:t>ProductDefinitionType</w:t>
      </w:r>
      <w:proofErr w:type="spellEnd"/>
      <w:r w:rsidR="0024635F">
        <w:t xml:space="preserve"> is an abstract class, </w:t>
      </w:r>
      <w:r w:rsidR="00792957">
        <w:t>and</w:t>
      </w:r>
      <w:r w:rsidR="0024635F">
        <w:t xml:space="preserve"> addresses </w:t>
      </w:r>
      <w:r w:rsidR="00735544">
        <w:t xml:space="preserve">items 1-6 above. </w:t>
      </w:r>
      <w:r>
        <w:t>In EI, i</w:t>
      </w:r>
      <w:r w:rsidR="00735544">
        <w:t xml:space="preserve">tem </w:t>
      </w:r>
      <w:r w:rsidR="00865564">
        <w:t xml:space="preserve">7 </w:t>
      </w:r>
      <w:r w:rsidR="00C66ABB">
        <w:t xml:space="preserve">is reflected in </w:t>
      </w:r>
      <w:r w:rsidR="00865564">
        <w:t>Delivery. Item 8</w:t>
      </w:r>
      <w:r w:rsidR="00735544">
        <w:t xml:space="preserve"> </w:t>
      </w:r>
      <w:r w:rsidR="00865564">
        <w:t>is</w:t>
      </w:r>
      <w:r w:rsidR="0024635F">
        <w:t xml:space="preserve"> addressed b</w:t>
      </w:r>
      <w:r w:rsidR="00735544">
        <w:t xml:space="preserve">y the </w:t>
      </w:r>
      <w:r w:rsidR="00865564">
        <w:t xml:space="preserve">non-transactive </w:t>
      </w:r>
      <w:r w:rsidR="00735544">
        <w:t xml:space="preserve">Report </w:t>
      </w:r>
      <w:r w:rsidR="0024635F">
        <w:t>service.</w:t>
      </w:r>
    </w:p>
    <w:p w14:paraId="6754DEE2" w14:textId="404318CD" w:rsidR="00AA22C3" w:rsidRPr="00ED242D" w:rsidRDefault="00D5599A" w:rsidP="0097191D">
      <w:pPr>
        <w:pStyle w:val="Heading2"/>
        <w:numPr>
          <w:ilvl w:val="1"/>
          <w:numId w:val="4"/>
        </w:numPr>
        <w:spacing w:after="120"/>
      </w:pPr>
      <w:r>
        <w:t>A</w:t>
      </w:r>
      <w:r w:rsidR="00F32AA0">
        <w:t xml:space="preserve"> Financial/Information</w:t>
      </w:r>
      <w:r>
        <w:t xml:space="preserve"> View</w:t>
      </w:r>
      <w:r w:rsidR="001959E1">
        <w:t xml:space="preserve"> of the </w:t>
      </w:r>
      <w:r w:rsidR="007C654B">
        <w:t>Common Transactive Services</w:t>
      </w:r>
    </w:p>
    <w:p w14:paraId="3DF76E6D" w14:textId="004F1DC6" w:rsidR="00AA22C3" w:rsidRDefault="00C65A7A" w:rsidP="00AD355F">
      <w:pPr>
        <w:spacing w:after="120"/>
      </w:pPr>
      <w:r>
        <w:t xml:space="preserve">As context we describe the Common Transactive Services </w:t>
      </w:r>
      <w:r w:rsidR="00792957">
        <w:t>in Section</w:t>
      </w:r>
      <w:r w:rsidR="005C6CAD">
        <w:t xml:space="preserve"> </w:t>
      </w:r>
      <w:r w:rsidR="005C6CAD">
        <w:fldChar w:fldCharType="begin"/>
      </w:r>
      <w:r w:rsidR="005C6CAD">
        <w:instrText xml:space="preserve"> REF _Ref323416973 \r \h </w:instrText>
      </w:r>
      <w:r w:rsidR="005C6CAD">
        <w:fldChar w:fldCharType="separate"/>
      </w:r>
      <w:r w:rsidR="005E752B">
        <w:t>3</w:t>
      </w:r>
      <w:r w:rsidR="005C6CAD">
        <w:fldChar w:fldCharType="end"/>
      </w:r>
      <w:r w:rsidR="00792957">
        <w:t xml:space="preserve"> and below in</w:t>
      </w:r>
      <w:r>
        <w:t xml:space="preserve"> Section </w:t>
      </w:r>
      <w:r>
        <w:fldChar w:fldCharType="begin"/>
      </w:r>
      <w:r>
        <w:instrText xml:space="preserve"> REF _Ref315355748 \r \h </w:instrText>
      </w:r>
      <w:r>
        <w:fldChar w:fldCharType="separate"/>
      </w:r>
      <w:r w:rsidR="005E752B">
        <w:t>7</w:t>
      </w:r>
      <w:r>
        <w:fldChar w:fldCharType="end"/>
      </w:r>
      <w:r w:rsidR="00792957">
        <w:t xml:space="preserve"> using the </w:t>
      </w:r>
      <w:r w:rsidR="00F32AA0">
        <w:t xml:space="preserve">financial and information perspective </w:t>
      </w:r>
      <w:r w:rsidR="00792957">
        <w:t>in this section.</w:t>
      </w:r>
    </w:p>
    <w:p w14:paraId="2DBA3C0B" w14:textId="20EFA08B" w:rsidR="00B33320" w:rsidRPr="006C6028" w:rsidRDefault="00B33320" w:rsidP="008911CE">
      <w:pPr>
        <w:pStyle w:val="Heading4"/>
      </w:pPr>
      <w:r w:rsidRPr="006C6028">
        <w:t xml:space="preserve">Information </w:t>
      </w:r>
      <w:r w:rsidR="00312DC8" w:rsidRPr="006C6028">
        <w:t xml:space="preserve">Related </w:t>
      </w:r>
      <w:r w:rsidRPr="006C6028">
        <w:t>Activities</w:t>
      </w:r>
    </w:p>
    <w:p w14:paraId="5C9E45EA" w14:textId="380A18F4" w:rsidR="00B33320" w:rsidRPr="00B33320" w:rsidRDefault="00735544" w:rsidP="00AD355F">
      <w:pPr>
        <w:spacing w:after="120"/>
        <w:jc w:val="both"/>
        <w:rPr>
          <w:rFonts w:cs="Calibri"/>
          <w:bCs/>
          <w:color w:val="000000"/>
        </w:rPr>
      </w:pPr>
      <w:r>
        <w:rPr>
          <w:rFonts w:cs="Calibri"/>
          <w:b/>
          <w:bCs/>
          <w:color w:val="000000"/>
        </w:rPr>
        <w:t>Information</w:t>
      </w:r>
      <w:r w:rsidR="00B33320">
        <w:rPr>
          <w:rFonts w:cs="Calibri"/>
          <w:b/>
          <w:bCs/>
          <w:color w:val="000000"/>
        </w:rPr>
        <w:t xml:space="preserve"> Exchange:  </w:t>
      </w:r>
      <w:r w:rsidR="00B33320">
        <w:rPr>
          <w:rFonts w:cs="Calibri"/>
          <w:bCs/>
          <w:color w:val="000000"/>
        </w:rPr>
        <w:t xml:space="preserve">the exchange of information </w:t>
      </w:r>
      <w:r>
        <w:rPr>
          <w:rFonts w:cs="Calibri"/>
          <w:bCs/>
          <w:color w:val="000000"/>
        </w:rPr>
        <w:t>to enable parties to produce value</w:t>
      </w:r>
      <w:r w:rsidR="00B33320">
        <w:rPr>
          <w:rFonts w:cs="Calibri"/>
          <w:bCs/>
          <w:color w:val="000000"/>
        </w:rPr>
        <w:t xml:space="preserve">.  </w:t>
      </w:r>
    </w:p>
    <w:p w14:paraId="3EED0CA2" w14:textId="0E56D7A2" w:rsidR="00C63490" w:rsidRDefault="00C63490" w:rsidP="00AD355F">
      <w:pPr>
        <w:spacing w:after="120"/>
        <w:jc w:val="both"/>
        <w:rPr>
          <w:rFonts w:cs="Calibri"/>
          <w:b/>
          <w:bCs/>
          <w:color w:val="000000"/>
        </w:rPr>
      </w:pPr>
      <w:r>
        <w:rPr>
          <w:rFonts w:cs="Calibri"/>
          <w:b/>
          <w:bCs/>
          <w:color w:val="000000"/>
        </w:rPr>
        <w:t xml:space="preserve">Quote: </w:t>
      </w:r>
      <w:r w:rsidRPr="00C63490">
        <w:rPr>
          <w:rFonts w:cs="Calibri"/>
          <w:bCs/>
          <w:color w:val="000000"/>
        </w:rPr>
        <w:t>Declaration</w:t>
      </w:r>
      <w:r>
        <w:rPr>
          <w:rFonts w:cs="Calibri"/>
          <w:b/>
          <w:bCs/>
          <w:color w:val="000000"/>
        </w:rPr>
        <w:t xml:space="preserve"> </w:t>
      </w:r>
      <w:r w:rsidRPr="00C63490">
        <w:rPr>
          <w:rFonts w:cs="Calibri"/>
          <w:bCs/>
          <w:color w:val="000000"/>
        </w:rPr>
        <w:t xml:space="preserve">of </w:t>
      </w:r>
      <w:r w:rsidR="0028348F">
        <w:rPr>
          <w:rFonts w:cs="Calibri"/>
          <w:bCs/>
          <w:color w:val="000000"/>
        </w:rPr>
        <w:t>price</w:t>
      </w:r>
      <w:r w:rsidR="0028348F" w:rsidRPr="00C63490">
        <w:rPr>
          <w:rFonts w:cs="Calibri"/>
          <w:bCs/>
          <w:color w:val="000000"/>
        </w:rPr>
        <w:t xml:space="preserve"> </w:t>
      </w:r>
      <w:r w:rsidRPr="00C63490">
        <w:rPr>
          <w:rFonts w:cs="Calibri"/>
          <w:bCs/>
          <w:color w:val="000000"/>
        </w:rPr>
        <w:t xml:space="preserve">of a </w:t>
      </w:r>
      <w:r w:rsidR="00393828">
        <w:rPr>
          <w:rFonts w:cs="Calibri"/>
          <w:bCs/>
          <w:color w:val="000000"/>
        </w:rPr>
        <w:t>Product (</w:t>
      </w:r>
      <w:r w:rsidRPr="00C63490">
        <w:rPr>
          <w:rFonts w:cs="Calibri"/>
          <w:bCs/>
          <w:color w:val="000000"/>
        </w:rPr>
        <w:t>Service or Good</w:t>
      </w:r>
      <w:r w:rsidR="00393828">
        <w:rPr>
          <w:rFonts w:cs="Calibri"/>
          <w:bCs/>
          <w:color w:val="000000"/>
        </w:rPr>
        <w:t>)</w:t>
      </w:r>
      <w:r w:rsidR="00B33320">
        <w:rPr>
          <w:rFonts w:cs="Calibri"/>
          <w:bCs/>
          <w:color w:val="000000"/>
        </w:rPr>
        <w:t xml:space="preserve"> without a contractual commitment expectation</w:t>
      </w:r>
      <w:r w:rsidR="0098499A">
        <w:rPr>
          <w:rFonts w:cs="Calibri"/>
          <w:bCs/>
          <w:color w:val="000000"/>
        </w:rPr>
        <w:t>:</w:t>
      </w:r>
    </w:p>
    <w:p w14:paraId="270A6889" w14:textId="766C28C5" w:rsidR="00C63490" w:rsidRPr="00A42F07" w:rsidRDefault="00C63490" w:rsidP="0097191D">
      <w:pPr>
        <w:pStyle w:val="ListParagraph"/>
        <w:numPr>
          <w:ilvl w:val="0"/>
          <w:numId w:val="12"/>
        </w:numPr>
      </w:pPr>
      <w:r w:rsidRPr="00A42F07">
        <w:t xml:space="preserve">Specification of </w:t>
      </w:r>
      <w:r w:rsidR="008A4C35" w:rsidRPr="00A42F07">
        <w:t xml:space="preserve">a Product Definition—a </w:t>
      </w:r>
      <w:r w:rsidR="00B33320" w:rsidRPr="00A42F07">
        <w:t>Good</w:t>
      </w:r>
      <w:r w:rsidRPr="00A42F07">
        <w:t xml:space="preserve"> or Service (Energy, capacity, call /put option,</w:t>
      </w:r>
      <w:r w:rsidR="00E10552">
        <w:rPr>
          <w:rStyle w:val="FootnoteReference"/>
        </w:rPr>
        <w:footnoteReference w:id="10"/>
      </w:r>
      <w:r w:rsidRPr="00A42F07">
        <w:t xml:space="preserve"> a grid service such as </w:t>
      </w:r>
      <w:r w:rsidR="00E10552">
        <w:t>spinning reserve</w:t>
      </w:r>
      <w:r w:rsidRPr="00A42F07">
        <w:t>, etc.)</w:t>
      </w:r>
    </w:p>
    <w:p w14:paraId="555926C3" w14:textId="3524E5A5" w:rsidR="00C63490" w:rsidRPr="00A42F07" w:rsidRDefault="00C63490" w:rsidP="0097191D">
      <w:pPr>
        <w:pStyle w:val="ListParagraph"/>
        <w:numPr>
          <w:ilvl w:val="0"/>
          <w:numId w:val="12"/>
        </w:numPr>
      </w:pPr>
      <w:r w:rsidRPr="00A42F07">
        <w:t>Locational attribute: Whe</w:t>
      </w:r>
      <w:r w:rsidR="00D30F0D" w:rsidRPr="00A42F07">
        <w:t xml:space="preserve">re product or service is needed. </w:t>
      </w:r>
      <w:r w:rsidR="00DF5898" w:rsidRPr="00A42F07">
        <w:t xml:space="preserve">For example, </w:t>
      </w:r>
      <w:r w:rsidR="00DF5898">
        <w:t>a descriptor for a Transactive device or system,</w:t>
      </w:r>
      <w:r w:rsidR="00DF5898" w:rsidRPr="00A42F07">
        <w:t xml:space="preserve"> a point of common connection (</w:t>
      </w:r>
      <w:r w:rsidR="00DF5898">
        <w:t xml:space="preserve">PCC) of a microgrid, a consumer or </w:t>
      </w:r>
      <w:proofErr w:type="spellStart"/>
      <w:r w:rsidR="00DF5898" w:rsidRPr="00A42F07">
        <w:t>prosumer</w:t>
      </w:r>
      <w:proofErr w:type="spellEnd"/>
      <w:r w:rsidR="00DF5898" w:rsidRPr="00A42F07">
        <w:t>, or a building, (part of) a distribution system, a phase (A, B, C) on a feeder or transformer, a substation, a transmission substation, a market pricing node, a hub, a service area, a zone, Balancing</w:t>
      </w:r>
      <w:r w:rsidR="00DF5898">
        <w:t xml:space="preserve"> Area, etc.), point of delivery or supply</w:t>
      </w:r>
    </w:p>
    <w:p w14:paraId="5830DC42" w14:textId="52EAE5E6" w:rsidR="00C63490" w:rsidRPr="00A42F07" w:rsidRDefault="00C63490" w:rsidP="0097191D">
      <w:pPr>
        <w:pStyle w:val="ListParagraph"/>
        <w:numPr>
          <w:ilvl w:val="0"/>
          <w:numId w:val="12"/>
        </w:numPr>
      </w:pPr>
      <w:r w:rsidRPr="00A42F07">
        <w:t xml:space="preserve">Temporal attribute: </w:t>
      </w:r>
      <w:r w:rsidR="00BE7452">
        <w:t>S</w:t>
      </w:r>
      <w:r w:rsidRPr="00A42F07">
        <w:t>tart date/time and duration or start/stop date/time, etc.)</w:t>
      </w:r>
      <w:r w:rsidR="00792957" w:rsidRPr="00A42F07">
        <w:t xml:space="preserve"> (Schedule)</w:t>
      </w:r>
    </w:p>
    <w:p w14:paraId="657EAC83" w14:textId="6190CABB" w:rsidR="00C63490" w:rsidRPr="00A42F07" w:rsidRDefault="00C63490" w:rsidP="0097191D">
      <w:pPr>
        <w:pStyle w:val="ListParagraph"/>
        <w:numPr>
          <w:ilvl w:val="0"/>
          <w:numId w:val="12"/>
        </w:numPr>
      </w:pPr>
      <w:r w:rsidRPr="00A42F07">
        <w:t xml:space="preserve">Unit of Measure and Quantity of Product (MW, </w:t>
      </w:r>
      <w:proofErr w:type="spellStart"/>
      <w:r w:rsidRPr="00A42F07">
        <w:t>MWh</w:t>
      </w:r>
      <w:proofErr w:type="spellEnd"/>
      <w:r w:rsidRPr="00A42F07">
        <w:t xml:space="preserve">, </w:t>
      </w:r>
      <w:r w:rsidR="00BE7452">
        <w:t>ramp rates</w:t>
      </w:r>
      <w:r w:rsidRPr="00A42F07">
        <w:t>, etc.)</w:t>
      </w:r>
      <w:r w:rsidR="00CE42E8" w:rsidRPr="00A42F07">
        <w:t xml:space="preserve"> </w:t>
      </w:r>
      <w:r w:rsidR="00CE42E8" w:rsidRPr="002056B4">
        <w:rPr>
          <w:rStyle w:val="FootnoteReference"/>
        </w:rPr>
        <w:footnoteReference w:id="11"/>
      </w:r>
    </w:p>
    <w:p w14:paraId="47AD03F1" w14:textId="008FC044" w:rsidR="00C63490" w:rsidRPr="00A42F07" w:rsidRDefault="00250FB7" w:rsidP="0097191D">
      <w:pPr>
        <w:pStyle w:val="ListParagraph"/>
        <w:numPr>
          <w:ilvl w:val="0"/>
          <w:numId w:val="12"/>
        </w:numPr>
      </w:pPr>
      <w:r>
        <w:t>P</w:t>
      </w:r>
      <w:r w:rsidR="00BE7452">
        <w:t>rice</w:t>
      </w:r>
      <w:r w:rsidR="00BE7452">
        <w:rPr>
          <w:rStyle w:val="FootnoteReference"/>
        </w:rPr>
        <w:footnoteReference w:id="12"/>
      </w:r>
      <w:r w:rsidR="008448A5">
        <w:t xml:space="preserve"> for the product or service, </w:t>
      </w:r>
      <w:r w:rsidR="00C63490" w:rsidRPr="00A42F07">
        <w:t>e.g</w:t>
      </w:r>
      <w:r w:rsidR="008448A5">
        <w:t>.</w:t>
      </w:r>
      <w:r w:rsidR="00C63490" w:rsidRPr="00A42F07">
        <w:t xml:space="preserve"> a single value or a quantity-price curve)</w:t>
      </w:r>
      <w:r w:rsidR="00DD7FBA" w:rsidRPr="00A42F07">
        <w:t xml:space="preserve"> </w:t>
      </w:r>
      <w:r w:rsidR="00436AA5" w:rsidRPr="00A42F07">
        <w:t>(In</w:t>
      </w:r>
      <w:r w:rsidR="00DD7FBA" w:rsidRPr="00A42F07">
        <w:t xml:space="preserve"> the Common Transactive Services a Tender)</w:t>
      </w:r>
    </w:p>
    <w:p w14:paraId="00501BFC" w14:textId="77777777" w:rsidR="00B33320" w:rsidRPr="007C654B" w:rsidRDefault="00B33320" w:rsidP="008911CE">
      <w:pPr>
        <w:pStyle w:val="Heading4"/>
      </w:pPr>
      <w:r w:rsidRPr="006C6028">
        <w:lastRenderedPageBreak/>
        <w:t>Financial Value Activities</w:t>
      </w:r>
    </w:p>
    <w:p w14:paraId="1C4E529D" w14:textId="25CF91C0" w:rsidR="00C63490" w:rsidRDefault="00C65A7A" w:rsidP="00AD355F">
      <w:pPr>
        <w:spacing w:after="120"/>
        <w:jc w:val="both"/>
        <w:rPr>
          <w:rFonts w:cs="Calibri"/>
          <w:color w:val="000000"/>
        </w:rPr>
      </w:pPr>
      <w:r>
        <w:rPr>
          <w:rFonts w:cs="Calibri"/>
          <w:b/>
          <w:bCs/>
          <w:color w:val="000000"/>
        </w:rPr>
        <w:t>Tender</w:t>
      </w:r>
      <w:r w:rsidR="00C63490" w:rsidRPr="00F271C8">
        <w:rPr>
          <w:rFonts w:cs="Calibri"/>
          <w:b/>
          <w:bCs/>
          <w:color w:val="000000"/>
        </w:rPr>
        <w:t>:</w:t>
      </w:r>
      <w:r w:rsidR="00C63490">
        <w:rPr>
          <w:rFonts w:cs="Calibri"/>
          <w:color w:val="000000"/>
        </w:rPr>
        <w:t xml:space="preserve"> Declaration of willingness to buy</w:t>
      </w:r>
      <w:r>
        <w:rPr>
          <w:rFonts w:cs="Calibri"/>
          <w:color w:val="000000"/>
        </w:rPr>
        <w:t xml:space="preserve"> or sell</w:t>
      </w:r>
      <w:r w:rsidR="00C63490">
        <w:rPr>
          <w:rFonts w:cs="Calibri"/>
          <w:color w:val="000000"/>
        </w:rPr>
        <w:t xml:space="preserve"> a product or service. A </w:t>
      </w:r>
      <w:r w:rsidR="00BE7452">
        <w:rPr>
          <w:rFonts w:cs="Calibri"/>
          <w:color w:val="000000"/>
        </w:rPr>
        <w:t>Tender</w:t>
      </w:r>
      <w:r w:rsidR="00C63490">
        <w:rPr>
          <w:rFonts w:cs="Calibri"/>
          <w:color w:val="000000"/>
        </w:rPr>
        <w:t xml:space="preserve"> may have the following </w:t>
      </w:r>
      <w:r w:rsidR="00DD7FBA">
        <w:rPr>
          <w:rFonts w:cs="Calibri"/>
          <w:color w:val="000000"/>
        </w:rPr>
        <w:t>attributes in addition to those in Quote</w:t>
      </w:r>
      <w:r w:rsidR="00C63490">
        <w:rPr>
          <w:rFonts w:cs="Calibri"/>
          <w:color w:val="000000"/>
        </w:rPr>
        <w:t>:</w:t>
      </w:r>
    </w:p>
    <w:p w14:paraId="3544907D" w14:textId="486917CC" w:rsidR="008448A5" w:rsidRDefault="00BE7452" w:rsidP="008448A5">
      <w:pPr>
        <w:pStyle w:val="ListParagraph"/>
        <w:numPr>
          <w:ilvl w:val="0"/>
          <w:numId w:val="13"/>
        </w:numPr>
      </w:pPr>
      <w:r>
        <w:t>Price Tendered</w:t>
      </w:r>
      <w:r w:rsidR="00C63490" w:rsidRPr="00A42F07">
        <w:t xml:space="preserve"> </w:t>
      </w:r>
      <w:r w:rsidR="008448A5">
        <w:t xml:space="preserve">for the product or service, </w:t>
      </w:r>
      <w:r w:rsidR="008448A5" w:rsidRPr="00A42F07">
        <w:t>e.g</w:t>
      </w:r>
      <w:r w:rsidR="008448A5">
        <w:t>.</w:t>
      </w:r>
      <w:r w:rsidR="008448A5" w:rsidRPr="00A42F07">
        <w:t xml:space="preserve"> a single value or a quantity-price curve) (In the Common Transactive Services a Tender)</w:t>
      </w:r>
    </w:p>
    <w:p w14:paraId="333E01CD" w14:textId="2267E7CD" w:rsidR="00DD7FBA" w:rsidRPr="00A42F07" w:rsidRDefault="00DD7FBA" w:rsidP="008448A5">
      <w:pPr>
        <w:pStyle w:val="ListParagraph"/>
        <w:numPr>
          <w:ilvl w:val="0"/>
          <w:numId w:val="13"/>
        </w:numPr>
      </w:pPr>
      <w:r w:rsidRPr="00A42F07">
        <w:t>Identification of the Tendering party</w:t>
      </w:r>
    </w:p>
    <w:p w14:paraId="172A8351" w14:textId="7000F9D7" w:rsidR="00CE42E8" w:rsidRPr="00CE42E8" w:rsidRDefault="00CE42E8" w:rsidP="00CE42E8">
      <w:pPr>
        <w:spacing w:after="120"/>
        <w:jc w:val="both"/>
        <w:rPr>
          <w:rFonts w:cs="Calibri"/>
          <w:color w:val="000000"/>
        </w:rPr>
      </w:pPr>
      <w:r>
        <w:rPr>
          <w:rFonts w:cs="Calibri"/>
          <w:color w:val="000000"/>
        </w:rPr>
        <w:t>A non-binding Tender is informational.</w:t>
      </w:r>
    </w:p>
    <w:p w14:paraId="34972806" w14:textId="2EB52281" w:rsidR="00C63490" w:rsidRDefault="00C63490" w:rsidP="00AD355F">
      <w:pPr>
        <w:spacing w:after="120"/>
        <w:jc w:val="both"/>
        <w:rPr>
          <w:rFonts w:cs="Calibri"/>
          <w:color w:val="000000"/>
        </w:rPr>
      </w:pPr>
      <w:r w:rsidRPr="00F271C8">
        <w:rPr>
          <w:rFonts w:cs="Calibri"/>
          <w:b/>
          <w:bCs/>
          <w:color w:val="000000"/>
        </w:rPr>
        <w:t>Transaction:</w:t>
      </w:r>
      <w:r>
        <w:rPr>
          <w:rFonts w:cs="Calibri"/>
          <w:color w:val="000000"/>
        </w:rPr>
        <w:t xml:space="preserve"> </w:t>
      </w:r>
      <w:r w:rsidR="00DD7FBA">
        <w:rPr>
          <w:rFonts w:cs="Calibri"/>
          <w:color w:val="000000"/>
        </w:rPr>
        <w:t>Agreement</w:t>
      </w:r>
      <w:r>
        <w:rPr>
          <w:rFonts w:cs="Calibri"/>
          <w:color w:val="000000"/>
        </w:rPr>
        <w:t xml:space="preserve"> between a buyer and a seller to exchange a product. A transaction ma</w:t>
      </w:r>
      <w:r w:rsidR="008A4C35">
        <w:rPr>
          <w:rFonts w:cs="Calibri"/>
          <w:color w:val="000000"/>
        </w:rPr>
        <w:t>y have the following attributes</w:t>
      </w:r>
      <w:r w:rsidR="00436AA5">
        <w:rPr>
          <w:rFonts w:cs="Calibri"/>
          <w:color w:val="000000"/>
        </w:rPr>
        <w:t>. S</w:t>
      </w:r>
      <w:r w:rsidR="008A4C35">
        <w:rPr>
          <w:rFonts w:cs="Calibri"/>
          <w:color w:val="000000"/>
        </w:rPr>
        <w:t>ome are essentia</w:t>
      </w:r>
      <w:r w:rsidR="00DE1732">
        <w:rPr>
          <w:rFonts w:cs="Calibri"/>
          <w:color w:val="000000"/>
        </w:rPr>
        <w:t>l</w:t>
      </w:r>
      <w:r w:rsidR="008A4C35">
        <w:rPr>
          <w:rFonts w:cs="Calibri"/>
          <w:color w:val="000000"/>
        </w:rPr>
        <w:t>:</w:t>
      </w:r>
      <w:r w:rsidR="00920C42">
        <w:rPr>
          <w:rStyle w:val="FootnoteReference"/>
          <w:rFonts w:cs="Calibri"/>
          <w:color w:val="000000"/>
        </w:rPr>
        <w:footnoteReference w:id="13"/>
      </w:r>
    </w:p>
    <w:p w14:paraId="25E73CDB" w14:textId="048AA69C" w:rsidR="00C63490" w:rsidRPr="00A42F07" w:rsidRDefault="00C63490" w:rsidP="0097191D">
      <w:pPr>
        <w:pStyle w:val="ListParagraph"/>
        <w:numPr>
          <w:ilvl w:val="0"/>
          <w:numId w:val="14"/>
        </w:numPr>
      </w:pPr>
      <w:r w:rsidRPr="00A42F07">
        <w:t>Nature of Transaction (</w:t>
      </w:r>
      <w:r w:rsidR="00DD7FBA" w:rsidRPr="00A42F07">
        <w:t>metadata on the financial or concrete aspect—most Common Transactive Services exchange products, but Option</w:t>
      </w:r>
      <w:r w:rsidR="00920C42" w:rsidRPr="00A42F07">
        <w:t>s are defined and used for, e.g., regulation services</w:t>
      </w:r>
      <w:r w:rsidRPr="00A42F07">
        <w:t>)</w:t>
      </w:r>
    </w:p>
    <w:p w14:paraId="56266658" w14:textId="1A31163D" w:rsidR="00920C42" w:rsidRPr="00A42F07" w:rsidRDefault="00920C42" w:rsidP="0097191D">
      <w:pPr>
        <w:pStyle w:val="ListParagraph"/>
        <w:numPr>
          <w:ilvl w:val="0"/>
          <w:numId w:val="14"/>
        </w:numPr>
      </w:pPr>
      <w:r w:rsidRPr="00A42F07">
        <w:t>Product definition</w:t>
      </w:r>
    </w:p>
    <w:p w14:paraId="33166CC2" w14:textId="77777777" w:rsidR="00C63490" w:rsidRPr="00A42F07" w:rsidRDefault="00C63490" w:rsidP="0097191D">
      <w:pPr>
        <w:pStyle w:val="ListParagraph"/>
        <w:numPr>
          <w:ilvl w:val="0"/>
          <w:numId w:val="14"/>
        </w:numPr>
      </w:pPr>
      <w:r w:rsidRPr="00A42F07">
        <w:t>Transaction ID</w:t>
      </w:r>
    </w:p>
    <w:p w14:paraId="7E572816" w14:textId="5C658B47" w:rsidR="00C63490" w:rsidRPr="00A42F07" w:rsidRDefault="00C63490" w:rsidP="0097191D">
      <w:pPr>
        <w:pStyle w:val="ListParagraph"/>
        <w:numPr>
          <w:ilvl w:val="0"/>
          <w:numId w:val="14"/>
        </w:numPr>
      </w:pPr>
      <w:r w:rsidRPr="00A42F07">
        <w:t xml:space="preserve">Identification </w:t>
      </w:r>
      <w:r w:rsidR="008A4C35" w:rsidRPr="00A42F07">
        <w:t>of the Buying and Selling parties</w:t>
      </w:r>
    </w:p>
    <w:p w14:paraId="3FA2C3E0" w14:textId="77777777" w:rsidR="00C63490" w:rsidRPr="00A42F07" w:rsidRDefault="00C63490" w:rsidP="0097191D">
      <w:pPr>
        <w:pStyle w:val="ListParagraph"/>
        <w:numPr>
          <w:ilvl w:val="0"/>
          <w:numId w:val="14"/>
        </w:numPr>
      </w:pPr>
      <w:r w:rsidRPr="00A42F07">
        <w:t>Points of Delivery and Receipt (may be the same)</w:t>
      </w:r>
    </w:p>
    <w:p w14:paraId="62413C85" w14:textId="71124273" w:rsidR="00C63490" w:rsidRPr="00A42F07" w:rsidRDefault="00C63490" w:rsidP="0097191D">
      <w:pPr>
        <w:pStyle w:val="ListParagraph"/>
        <w:numPr>
          <w:ilvl w:val="0"/>
          <w:numId w:val="14"/>
        </w:numPr>
      </w:pPr>
      <w:r w:rsidRPr="00A42F07">
        <w:t xml:space="preserve">Quantity of </w:t>
      </w:r>
      <w:r w:rsidR="008A4C35" w:rsidRPr="00A42F07">
        <w:t>the defined Product</w:t>
      </w:r>
    </w:p>
    <w:p w14:paraId="7BBB937A" w14:textId="6EAFB601" w:rsidR="00C63490" w:rsidRPr="00A42F07" w:rsidRDefault="008A4C35" w:rsidP="0097191D">
      <w:pPr>
        <w:pStyle w:val="ListParagraph"/>
        <w:numPr>
          <w:ilvl w:val="0"/>
          <w:numId w:val="14"/>
        </w:numPr>
      </w:pPr>
      <w:r w:rsidRPr="00A42F07">
        <w:t>Schedule for delivery</w:t>
      </w:r>
    </w:p>
    <w:p w14:paraId="6615B55D" w14:textId="1A51253B" w:rsidR="00C63490" w:rsidRDefault="008A4C35" w:rsidP="00393828">
      <w:pPr>
        <w:spacing w:after="120"/>
        <w:rPr>
          <w:rFonts w:cs="Calibri"/>
          <w:color w:val="000000"/>
        </w:rPr>
      </w:pPr>
      <w:r>
        <w:rPr>
          <w:rFonts w:cs="Calibri"/>
          <w:b/>
          <w:bCs/>
          <w:color w:val="000000"/>
        </w:rPr>
        <w:t>Delivery</w:t>
      </w:r>
      <w:r w:rsidR="00521F88">
        <w:rPr>
          <w:rFonts w:cs="Calibri"/>
          <w:color w:val="000000"/>
        </w:rPr>
        <w:t xml:space="preserve">: </w:t>
      </w:r>
      <w:r w:rsidR="00393828">
        <w:rPr>
          <w:rFonts w:cs="Calibri"/>
          <w:color w:val="000000"/>
        </w:rPr>
        <w:t>Informational i</w:t>
      </w:r>
      <w:r w:rsidR="00521F88" w:rsidRPr="00521F88">
        <w:rPr>
          <w:rFonts w:cs="Calibri"/>
          <w:color w:val="000000"/>
        </w:rPr>
        <w:t>ndication</w:t>
      </w:r>
      <w:r w:rsidR="00C63490">
        <w:rPr>
          <w:rFonts w:cs="Calibri"/>
          <w:color w:val="000000"/>
        </w:rPr>
        <w:t xml:space="preserve"> that the transaction was realized (product or service delivered/received)</w:t>
      </w:r>
      <w:r w:rsidR="00DE1732">
        <w:rPr>
          <w:rFonts w:cs="Calibri"/>
          <w:color w:val="000000"/>
        </w:rPr>
        <w:t>. Often referred to as “meter data”</w:t>
      </w:r>
      <w:r w:rsidR="003C7547">
        <w:rPr>
          <w:rFonts w:cs="Calibri"/>
          <w:color w:val="000000"/>
        </w:rPr>
        <w:t xml:space="preserve"> for the actual delivery quantity</w:t>
      </w:r>
      <w:r w:rsidR="00DE1732">
        <w:rPr>
          <w:rFonts w:cs="Calibri"/>
          <w:color w:val="000000"/>
        </w:rPr>
        <w:t>.</w:t>
      </w:r>
      <w:r w:rsidR="00C63490">
        <w:rPr>
          <w:rFonts w:cs="Calibri"/>
          <w:color w:val="000000"/>
        </w:rPr>
        <w:t xml:space="preserve"> Transaction tracking and verification service may </w:t>
      </w:r>
      <w:r w:rsidR="00920C42">
        <w:rPr>
          <w:rFonts w:cs="Calibri"/>
          <w:color w:val="000000"/>
        </w:rPr>
        <w:t xml:space="preserve">use </w:t>
      </w:r>
      <w:r w:rsidR="00C63490">
        <w:rPr>
          <w:rFonts w:cs="Calibri"/>
          <w:color w:val="000000"/>
        </w:rPr>
        <w:t>attributes</w:t>
      </w:r>
      <w:r w:rsidR="00521F88">
        <w:rPr>
          <w:rFonts w:cs="Calibri"/>
          <w:color w:val="000000"/>
        </w:rPr>
        <w:t xml:space="preserve"> such as the following</w:t>
      </w:r>
      <w:r w:rsidR="00C63490">
        <w:rPr>
          <w:rFonts w:cs="Calibri"/>
          <w:color w:val="000000"/>
        </w:rPr>
        <w:t xml:space="preserve"> for physical transactions:</w:t>
      </w:r>
    </w:p>
    <w:p w14:paraId="2BE26E6E" w14:textId="77777777" w:rsidR="00C63490" w:rsidRDefault="00C63490" w:rsidP="0097191D">
      <w:pPr>
        <w:pStyle w:val="ListParagraph"/>
        <w:numPr>
          <w:ilvl w:val="0"/>
          <w:numId w:val="15"/>
        </w:numPr>
        <w:tabs>
          <w:tab w:val="left" w:pos="0"/>
        </w:tabs>
      </w:pPr>
      <w:r w:rsidRPr="00A42F07">
        <w:t>Quantity of product or service delivered</w:t>
      </w:r>
    </w:p>
    <w:p w14:paraId="75FB1BDF" w14:textId="338E8213" w:rsidR="00521F88" w:rsidRPr="00A42F07" w:rsidRDefault="00521F88" w:rsidP="00521F88">
      <w:pPr>
        <w:pStyle w:val="ListParagraph"/>
        <w:numPr>
          <w:ilvl w:val="0"/>
          <w:numId w:val="15"/>
        </w:numPr>
        <w:tabs>
          <w:tab w:val="left" w:pos="0"/>
        </w:tabs>
      </w:pPr>
      <w:r w:rsidRPr="00A42F07">
        <w:t>Quantity of product or service received</w:t>
      </w:r>
    </w:p>
    <w:p w14:paraId="28B332ED" w14:textId="77777777" w:rsidR="00C63490" w:rsidRPr="00A42F07" w:rsidRDefault="00C63490" w:rsidP="0097191D">
      <w:pPr>
        <w:pStyle w:val="ListParagraph"/>
        <w:numPr>
          <w:ilvl w:val="0"/>
          <w:numId w:val="15"/>
        </w:numPr>
        <w:tabs>
          <w:tab w:val="left" w:pos="0"/>
        </w:tabs>
      </w:pPr>
      <w:r w:rsidRPr="00A42F07">
        <w:t xml:space="preserve">Time of delivery </w:t>
      </w:r>
    </w:p>
    <w:p w14:paraId="0B543578" w14:textId="39A2BE53" w:rsidR="00920C42" w:rsidRPr="00A42F07" w:rsidRDefault="00920C42" w:rsidP="0097191D">
      <w:pPr>
        <w:pStyle w:val="ListParagraph"/>
        <w:numPr>
          <w:ilvl w:val="0"/>
          <w:numId w:val="15"/>
        </w:numPr>
        <w:tabs>
          <w:tab w:val="left" w:pos="0"/>
        </w:tabs>
      </w:pPr>
      <w:r w:rsidRPr="00A42F07">
        <w:t xml:space="preserve">Time of </w:t>
      </w:r>
      <w:r w:rsidR="00436AA5" w:rsidRPr="00A42F07">
        <w:t>notification of delivery</w:t>
      </w:r>
    </w:p>
    <w:p w14:paraId="03E4DB5D" w14:textId="5A2D5489" w:rsidR="00AA22C3" w:rsidRDefault="00AA22C3" w:rsidP="00AD355F">
      <w:pPr>
        <w:spacing w:after="120"/>
      </w:pPr>
      <w:r>
        <w:t>While e.g.</w:t>
      </w:r>
      <w:r w:rsidR="00F32AA0">
        <w:t>,</w:t>
      </w:r>
      <w:r>
        <w:t xml:space="preserve"> Business and Regulatory Models may affect how a market operates, the products available, and other issues, the </w:t>
      </w:r>
      <w:r w:rsidR="00393828">
        <w:t>Common Transactive Services</w:t>
      </w:r>
      <w:r>
        <w:t xml:space="preserve"> allow consistent and straightforward treatment of a broad variety of markets and/or systems interactions.</w:t>
      </w:r>
    </w:p>
    <w:p w14:paraId="2D2D887D" w14:textId="77777777" w:rsidR="00B93EE8" w:rsidRDefault="00B93EE8" w:rsidP="00AD355F">
      <w:pPr>
        <w:pStyle w:val="Heading1"/>
        <w:spacing w:before="0" w:after="120"/>
      </w:pPr>
      <w:bookmarkStart w:id="5" w:name="_Ref315355748"/>
      <w:r>
        <w:t>The Common Transactive Services</w:t>
      </w:r>
      <w:bookmarkEnd w:id="5"/>
    </w:p>
    <w:p w14:paraId="4EDA61EE" w14:textId="3C4678B9" w:rsidR="00920C42" w:rsidRPr="00920C42" w:rsidRDefault="00920C42" w:rsidP="00AD355F">
      <w:pPr>
        <w:spacing w:after="120"/>
      </w:pPr>
      <w:r>
        <w:t>In this section we define the Common Transactive Services.</w:t>
      </w:r>
    </w:p>
    <w:p w14:paraId="46D9FFDF" w14:textId="77777777" w:rsidR="00B93EE8" w:rsidRDefault="00B93EE8" w:rsidP="0097191D">
      <w:pPr>
        <w:pStyle w:val="Heading2"/>
        <w:numPr>
          <w:ilvl w:val="1"/>
          <w:numId w:val="4"/>
        </w:numPr>
        <w:spacing w:after="120"/>
      </w:pPr>
      <w:r>
        <w:lastRenderedPageBreak/>
        <w:t>Requirements for Common Transactive Services</w:t>
      </w:r>
    </w:p>
    <w:p w14:paraId="7174138F" w14:textId="77777777" w:rsidR="003E3003" w:rsidRDefault="00B93EE8" w:rsidP="00AD355F">
      <w:pPr>
        <w:spacing w:after="120"/>
      </w:pPr>
      <w:r>
        <w:t>We need a complete and simple set of common transactive services,</w:t>
      </w:r>
      <w:r w:rsidR="003E3003">
        <w:t xml:space="preserve"> which should</w:t>
      </w:r>
    </w:p>
    <w:p w14:paraId="3439ED65" w14:textId="3932AD26" w:rsidR="00B93EE8" w:rsidRDefault="005C6CAD" w:rsidP="008911CE">
      <w:pPr>
        <w:pStyle w:val="ListParagraph"/>
        <w:numPr>
          <w:ilvl w:val="0"/>
          <w:numId w:val="19"/>
        </w:numPr>
        <w:spacing w:after="120"/>
      </w:pPr>
      <w:r>
        <w:t>Be</w:t>
      </w:r>
      <w:r w:rsidR="00B93EE8">
        <w:t xml:space="preserve"> adaptable to at least </w:t>
      </w:r>
      <w:r w:rsidR="003E3003">
        <w:t xml:space="preserve">the existing </w:t>
      </w:r>
      <w:r w:rsidR="00BB096D">
        <w:fldChar w:fldCharType="begin"/>
      </w:r>
      <w:r w:rsidR="00BB096D">
        <w:instrText xml:space="preserve"> REF _Ref317353444 \h </w:instrText>
      </w:r>
      <w:r w:rsidR="00BB096D">
        <w:fldChar w:fldCharType="separate"/>
      </w:r>
      <w:r w:rsidR="005E752B">
        <w:t>Transactive Systems of Interest</w:t>
      </w:r>
      <w:r w:rsidR="00BB096D">
        <w:fldChar w:fldCharType="end"/>
      </w:r>
      <w:r w:rsidR="00BB096D">
        <w:t xml:space="preserve"> </w:t>
      </w:r>
      <w:r w:rsidR="00B93EE8">
        <w:t>and preferably to any transactive system</w:t>
      </w:r>
      <w:r w:rsidR="003E3003">
        <w:t>,</w:t>
      </w:r>
    </w:p>
    <w:p w14:paraId="2D551E4C" w14:textId="144219B1" w:rsidR="00B93EE8" w:rsidRDefault="005C6CAD" w:rsidP="008911CE">
      <w:pPr>
        <w:pStyle w:val="ListParagraph"/>
        <w:numPr>
          <w:ilvl w:val="0"/>
          <w:numId w:val="19"/>
        </w:numPr>
        <w:spacing w:after="120"/>
      </w:pPr>
      <w:r>
        <w:t>Provide</w:t>
      </w:r>
      <w:r w:rsidR="003E3003">
        <w:t xml:space="preserve"> s</w:t>
      </w:r>
      <w:r w:rsidR="00DF5107">
        <w:t xml:space="preserve">ervice request and response payloads </w:t>
      </w:r>
      <w:r w:rsidR="003E3003">
        <w:t>that are</w:t>
      </w:r>
      <w:r w:rsidR="00B93EE8">
        <w:t xml:space="preserve"> clearly defined and standardized</w:t>
      </w:r>
      <w:r w:rsidR="003E3003">
        <w:t>,</w:t>
      </w:r>
    </w:p>
    <w:p w14:paraId="357824F3" w14:textId="6B74F0FE" w:rsidR="00B93EE8" w:rsidRDefault="005C6CAD" w:rsidP="008911CE">
      <w:pPr>
        <w:pStyle w:val="ListParagraph"/>
        <w:numPr>
          <w:ilvl w:val="0"/>
          <w:numId w:val="19"/>
        </w:numPr>
        <w:spacing w:after="120"/>
      </w:pPr>
      <w:r>
        <w:t>With</w:t>
      </w:r>
      <w:r w:rsidR="003E3003">
        <w:t xml:space="preserve"> </w:t>
      </w:r>
      <w:r w:rsidR="00B93EE8">
        <w:t xml:space="preserve">subjects of the services </w:t>
      </w:r>
      <w:r w:rsidR="00C21519">
        <w:t xml:space="preserve">including </w:t>
      </w:r>
      <w:r w:rsidR="00B93EE8">
        <w:t xml:space="preserve">price and product definition, </w:t>
      </w:r>
      <w:r w:rsidR="00C21519">
        <w:t xml:space="preserve">which </w:t>
      </w:r>
      <w:r w:rsidR="00B93EE8">
        <w:t>are defined separately, or factored out</w:t>
      </w:r>
      <w:r w:rsidR="003E3003">
        <w:t>,</w:t>
      </w:r>
    </w:p>
    <w:p w14:paraId="5D2E41DC" w14:textId="73EF8350" w:rsidR="00B93EE8" w:rsidRDefault="005C6CAD" w:rsidP="008911CE">
      <w:pPr>
        <w:pStyle w:val="ListParagraph"/>
        <w:numPr>
          <w:ilvl w:val="0"/>
          <w:numId w:val="19"/>
        </w:numPr>
        <w:spacing w:after="120"/>
        <w:rPr>
          <w:noProof/>
        </w:rPr>
      </w:pPr>
      <w:r>
        <w:t>And</w:t>
      </w:r>
      <w:r w:rsidR="003E3003">
        <w:t xml:space="preserve"> where a</w:t>
      </w:r>
      <w:r w:rsidR="00B93EE8">
        <w:t>daption might include extending the service definition(s), adding or deleting products, and defining market rules and constraints.</w:t>
      </w:r>
      <w:r w:rsidR="00B93EE8" w:rsidRPr="007048BD">
        <w:rPr>
          <w:noProof/>
        </w:rPr>
        <w:t xml:space="preserve"> </w:t>
      </w:r>
      <w:r w:rsidR="00B93EE8">
        <w:rPr>
          <w:noProof/>
        </w:rPr>
        <w:t xml:space="preserve"> </w:t>
      </w:r>
    </w:p>
    <w:p w14:paraId="6F2E49EF" w14:textId="0BC1AF0B" w:rsidR="004456A0" w:rsidRDefault="004456A0" w:rsidP="00AD355F">
      <w:pPr>
        <w:spacing w:after="120"/>
        <w:rPr>
          <w:noProof/>
        </w:rPr>
      </w:pPr>
      <w:r>
        <w:rPr>
          <w:noProof/>
        </w:rPr>
        <w:t>Price may be</w:t>
      </w:r>
      <w:r w:rsidR="00AD0160">
        <w:rPr>
          <w:noProof/>
        </w:rPr>
        <w:t xml:space="preserve"> expressed</w:t>
      </w:r>
      <w:r>
        <w:rPr>
          <w:noProof/>
        </w:rPr>
        <w:t xml:space="preserve"> in a particular currency, or nominal, or a non-standard currency (e.g. BitCoin). The price and product definition standard EMIX </w:t>
      </w:r>
      <w:sdt>
        <w:sdtPr>
          <w:rPr>
            <w:noProof/>
          </w:rPr>
          <w:id w:val="699052733"/>
          <w:citation/>
        </w:sdtPr>
        <w:sdtContent>
          <w:r w:rsidR="002610DE">
            <w:rPr>
              <w:noProof/>
            </w:rPr>
            <w:fldChar w:fldCharType="begin"/>
          </w:r>
          <w:r w:rsidR="002610DE">
            <w:rPr>
              <w:noProof/>
            </w:rPr>
            <w:instrText xml:space="preserve"> CITATION OAS12 \l 1033 </w:instrText>
          </w:r>
          <w:r w:rsidR="002610DE">
            <w:rPr>
              <w:noProof/>
            </w:rPr>
            <w:fldChar w:fldCharType="separate"/>
          </w:r>
          <w:r w:rsidR="00AA1494">
            <w:rPr>
              <w:noProof/>
            </w:rPr>
            <w:t>[</w:t>
          </w:r>
          <w:hyperlink w:anchor="OAS12" w:history="1">
            <w:r w:rsidR="00AA1494" w:rsidRPr="00AA1494">
              <w:rPr>
                <w:rStyle w:val="Heading2Char"/>
                <w:rFonts w:eastAsiaTheme="minorHAnsi" w:cstheme="minorBidi"/>
                <w:noProof/>
                <w:color w:val="auto"/>
                <w:sz w:val="24"/>
                <w:szCs w:val="24"/>
              </w:rPr>
              <w:t>9</w:t>
            </w:r>
          </w:hyperlink>
          <w:r w:rsidR="00AA1494">
            <w:rPr>
              <w:noProof/>
            </w:rPr>
            <w:t>]</w:t>
          </w:r>
          <w:r w:rsidR="002610DE">
            <w:rPr>
              <w:noProof/>
            </w:rPr>
            <w:fldChar w:fldCharType="end"/>
          </w:r>
        </w:sdtContent>
      </w:sdt>
      <w:r w:rsidR="002610DE">
        <w:rPr>
          <w:noProof/>
        </w:rPr>
        <w:t xml:space="preserve"> allows any of these, and in fact anything that can be processed and compared mathematically as price </w:t>
      </w:r>
      <w:r w:rsidR="0098709A">
        <w:rPr>
          <w:noProof/>
        </w:rPr>
        <w:t>is.</w:t>
      </w:r>
      <w:r w:rsidR="00E211F7">
        <w:rPr>
          <w:rStyle w:val="FootnoteReference"/>
          <w:noProof/>
        </w:rPr>
        <w:footnoteReference w:id="14"/>
      </w:r>
    </w:p>
    <w:p w14:paraId="52A18EFB" w14:textId="7DA6B076" w:rsidR="00B93EE8" w:rsidRDefault="00D63353" w:rsidP="00C21519">
      <w:pPr>
        <w:spacing w:after="360"/>
        <w:rPr>
          <w:noProof/>
        </w:rPr>
      </w:pPr>
      <w:r>
        <w:rPr>
          <w:noProof/>
        </w:rPr>
        <w:t xml:space="preserve">As discussed in </w:t>
      </w:r>
      <w:r w:rsidR="009E5887">
        <w:rPr>
          <w:noProof/>
        </w:rPr>
        <w:t>6.5</w:t>
      </w:r>
      <w:r w:rsidR="00441E22">
        <w:rPr>
          <w:noProof/>
        </w:rPr>
        <w:t xml:space="preserve"> </w:t>
      </w:r>
      <w:r w:rsidR="00B93EE8">
        <w:rPr>
          <w:noProof/>
        </w:rPr>
        <w:t>only IEC Markets and Energy Interoperation address all of the products among the Transactive Systems of Interest. Energy Interoperation is far simpler</w:t>
      </w:r>
      <w:r w:rsidR="00253DDE">
        <w:rPr>
          <w:noProof/>
        </w:rPr>
        <w:t xml:space="preserve"> </w:t>
      </w:r>
      <w:r w:rsidR="00441E22">
        <w:rPr>
          <w:noProof/>
        </w:rPr>
        <w:t>(as shown in IEC 62939-1</w:t>
      </w:r>
      <w:r w:rsidR="00AB63D2">
        <w:rPr>
          <w:noProof/>
        </w:rPr>
        <w:t xml:space="preserve"> </w:t>
      </w:r>
      <w:sdt>
        <w:sdtPr>
          <w:rPr>
            <w:noProof/>
          </w:rPr>
          <w:id w:val="447901913"/>
          <w:citation/>
        </w:sdtPr>
        <w:sdtContent>
          <w:r w:rsidR="00AB63D2">
            <w:rPr>
              <w:noProof/>
            </w:rPr>
            <w:fldChar w:fldCharType="begin"/>
          </w:r>
          <w:r w:rsidR="00AB63D2">
            <w:rPr>
              <w:noProof/>
            </w:rPr>
            <w:instrText xml:space="preserve"> CITATION Int14 \l 1033 </w:instrText>
          </w:r>
          <w:r w:rsidR="00AB63D2">
            <w:rPr>
              <w:noProof/>
            </w:rPr>
            <w:fldChar w:fldCharType="separate"/>
          </w:r>
          <w:r w:rsidR="00AA1494">
            <w:rPr>
              <w:noProof/>
            </w:rPr>
            <w:t>[</w:t>
          </w:r>
          <w:hyperlink w:anchor="Int14" w:history="1">
            <w:r w:rsidR="00AA1494" w:rsidRPr="00AA1494">
              <w:rPr>
                <w:rStyle w:val="Heading2Char"/>
                <w:rFonts w:eastAsiaTheme="minorHAnsi" w:cstheme="minorBidi"/>
                <w:noProof/>
                <w:color w:val="auto"/>
                <w:sz w:val="24"/>
                <w:szCs w:val="24"/>
              </w:rPr>
              <w:t>1</w:t>
            </w:r>
          </w:hyperlink>
          <w:r w:rsidR="00AA1494">
            <w:rPr>
              <w:noProof/>
            </w:rPr>
            <w:t>]</w:t>
          </w:r>
          <w:r w:rsidR="00AB63D2">
            <w:rPr>
              <w:noProof/>
            </w:rPr>
            <w:fldChar w:fldCharType="end"/>
          </w:r>
        </w:sdtContent>
      </w:sdt>
      <w:r w:rsidR="00B93EE8">
        <w:rPr>
          <w:noProof/>
        </w:rPr>
        <w:t>).</w:t>
      </w:r>
    </w:p>
    <w:p w14:paraId="1AF708E7" w14:textId="77777777" w:rsidR="00B93EE8" w:rsidRDefault="00B93EE8" w:rsidP="00AD355F">
      <w:pPr>
        <w:keepNext/>
        <w:spacing w:after="120"/>
      </w:pPr>
      <w:r>
        <w:rPr>
          <w:noProof/>
        </w:rPr>
        <w:drawing>
          <wp:inline distT="0" distB="0" distL="0" distR="0" wp14:anchorId="5579A754" wp14:editId="37151DE7">
            <wp:extent cx="5215688" cy="1351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ve Stack.jpg"/>
                    <pic:cNvPicPr/>
                  </pic:nvPicPr>
                  <pic:blipFill>
                    <a:blip r:embed="rId15">
                      <a:extLst>
                        <a:ext uri="{28A0092B-C50C-407E-A947-70E740481C1C}">
                          <a14:useLocalDpi xmlns:a14="http://schemas.microsoft.com/office/drawing/2010/main" val="0"/>
                        </a:ext>
                      </a:extLst>
                    </a:blip>
                    <a:stretch>
                      <a:fillRect/>
                    </a:stretch>
                  </pic:blipFill>
                  <pic:spPr>
                    <a:xfrm>
                      <a:off x="0" y="0"/>
                      <a:ext cx="5216383" cy="1351460"/>
                    </a:xfrm>
                    <a:prstGeom prst="rect">
                      <a:avLst/>
                    </a:prstGeom>
                  </pic:spPr>
                </pic:pic>
              </a:graphicData>
            </a:graphic>
          </wp:inline>
        </w:drawing>
      </w:r>
    </w:p>
    <w:p w14:paraId="121D57F8" w14:textId="1AB8E1C0" w:rsidR="00B93EE8" w:rsidRDefault="00B93EE8" w:rsidP="00AD355F">
      <w:pPr>
        <w:pStyle w:val="Caption"/>
        <w:spacing w:after="120"/>
        <w:jc w:val="center"/>
      </w:pPr>
      <w:bookmarkStart w:id="6" w:name="_Ref315349831"/>
      <w:r>
        <w:t xml:space="preserve">Figure </w:t>
      </w:r>
      <w:fldSimple w:instr=" SEQ Figure \* ARABIC ">
        <w:r w:rsidR="005E752B">
          <w:rPr>
            <w:noProof/>
          </w:rPr>
          <w:t>2</w:t>
        </w:r>
      </w:fldSimple>
      <w:bookmarkEnd w:id="6"/>
      <w:r w:rsidR="00712433">
        <w:rPr>
          <w:noProof/>
        </w:rPr>
        <w:t xml:space="preserve"> </w:t>
      </w:r>
      <w:r>
        <w:t>Transactive Energy Stack and Participant Capabilities</w:t>
      </w:r>
      <w:r>
        <w:rPr>
          <w:rStyle w:val="FootnoteReference"/>
        </w:rPr>
        <w:footnoteReference w:id="15"/>
      </w:r>
    </w:p>
    <w:p w14:paraId="0AC4749A" w14:textId="1E21FE20" w:rsidR="00B93EE8" w:rsidRDefault="00B93EE8" w:rsidP="00AD355F">
      <w:pPr>
        <w:spacing w:after="120"/>
      </w:pPr>
      <w:r>
        <w:rPr>
          <w:i/>
        </w:rPr>
        <w:t>Fully</w:t>
      </w:r>
      <w:r>
        <w:t xml:space="preserve"> </w:t>
      </w:r>
      <w:r>
        <w:rPr>
          <w:i/>
        </w:rPr>
        <w:t>T</w:t>
      </w:r>
      <w:r w:rsidRPr="00184C1F">
        <w:rPr>
          <w:i/>
        </w:rPr>
        <w:t xml:space="preserve">ransactive </w:t>
      </w:r>
      <w:r>
        <w:rPr>
          <w:i/>
        </w:rPr>
        <w:t>P</w:t>
      </w:r>
      <w:r w:rsidRPr="00184C1F">
        <w:rPr>
          <w:i/>
        </w:rPr>
        <w:t>articipants</w:t>
      </w:r>
      <w:r>
        <w:t xml:space="preserve"> participate in all levels of the stack in </w:t>
      </w:r>
      <w:r>
        <w:fldChar w:fldCharType="begin"/>
      </w:r>
      <w:r>
        <w:instrText xml:space="preserve"> REF _Ref315349831 \h </w:instrText>
      </w:r>
      <w:r>
        <w:fldChar w:fldCharType="separate"/>
      </w:r>
      <w:r w:rsidR="005E752B">
        <w:t xml:space="preserve">Figure </w:t>
      </w:r>
      <w:r w:rsidR="005E752B">
        <w:rPr>
          <w:noProof/>
        </w:rPr>
        <w:t>2</w:t>
      </w:r>
      <w:r>
        <w:fldChar w:fldCharType="end"/>
      </w:r>
      <w:r>
        <w:t xml:space="preserve">.  </w:t>
      </w:r>
      <w:r>
        <w:rPr>
          <w:i/>
        </w:rPr>
        <w:t>Price-Responsive Participants</w:t>
      </w:r>
      <w:r>
        <w:t xml:space="preserve"> </w:t>
      </w:r>
      <w:r w:rsidR="00D63353">
        <w:t>accept T</w:t>
      </w:r>
      <w:r>
        <w:t>enders (and prices) as presented and may select among tendered</w:t>
      </w:r>
      <w:r w:rsidR="00D63353">
        <w:t xml:space="preserve"> prices but do not make Tenders</w:t>
      </w:r>
      <w:r>
        <w:t>.</w:t>
      </w:r>
    </w:p>
    <w:p w14:paraId="1F283193" w14:textId="12186DCA" w:rsidR="006A6FFB" w:rsidRDefault="00B93EE8" w:rsidP="0097191D">
      <w:pPr>
        <w:pStyle w:val="Heading2"/>
        <w:numPr>
          <w:ilvl w:val="1"/>
          <w:numId w:val="4"/>
        </w:numPr>
        <w:spacing w:after="120"/>
      </w:pPr>
      <w:r>
        <w:t>Common Transactive Service Definitions</w:t>
      </w:r>
    </w:p>
    <w:p w14:paraId="5175154D" w14:textId="77777777" w:rsidR="00B93EE8" w:rsidRDefault="00B93EE8" w:rsidP="00AD355F">
      <w:pPr>
        <w:spacing w:after="120"/>
      </w:pPr>
      <w:r>
        <w:t xml:space="preserve">The four common transactive services as defined in Energy Interoperation are Quote, Tender, Transaction, and Delivery. </w:t>
      </w:r>
    </w:p>
    <w:p w14:paraId="13BF0BB5" w14:textId="40BEF809" w:rsidR="00B93EE8" w:rsidRDefault="00B93EE8" w:rsidP="005E752B">
      <w:pPr>
        <w:spacing w:after="120"/>
      </w:pPr>
      <w:r>
        <w:t>Each service has several Service Operations; se</w:t>
      </w:r>
      <w:r w:rsidR="005E752B">
        <w:t xml:space="preserve">e </w:t>
      </w:r>
      <w:r w:rsidR="005E752B">
        <w:fldChar w:fldCharType="begin"/>
      </w:r>
      <w:r w:rsidR="005E752B">
        <w:instrText xml:space="preserve"> REF _Ref323541229 \h </w:instrText>
      </w:r>
      <w:r w:rsidR="005E752B">
        <w:fldChar w:fldCharType="separate"/>
      </w:r>
      <w:r w:rsidR="005E752B">
        <w:t>Annex 2</w:t>
      </w:r>
      <w:r w:rsidR="005E752B">
        <w:fldChar w:fldCharType="end"/>
      </w:r>
      <w:r w:rsidR="005E752B">
        <w:t xml:space="preserve"> for detail:</w:t>
      </w:r>
    </w:p>
    <w:tbl>
      <w:tblPr>
        <w:tblStyle w:val="TableGrid"/>
        <w:tblW w:w="0" w:type="auto"/>
        <w:jc w:val="center"/>
        <w:tblLook w:val="04A0" w:firstRow="1" w:lastRow="0" w:firstColumn="1" w:lastColumn="0" w:noHBand="0" w:noVBand="1"/>
      </w:tblPr>
      <w:tblGrid>
        <w:gridCol w:w="2160"/>
        <w:gridCol w:w="2160"/>
        <w:gridCol w:w="3600"/>
      </w:tblGrid>
      <w:tr w:rsidR="00B93EE8" w14:paraId="7E045274" w14:textId="77777777" w:rsidTr="005C6CAD">
        <w:trPr>
          <w:cantSplit/>
          <w:jc w:val="center"/>
        </w:trPr>
        <w:tc>
          <w:tcPr>
            <w:tcW w:w="2160" w:type="dxa"/>
            <w:vAlign w:val="center"/>
          </w:tcPr>
          <w:p w14:paraId="2330E557" w14:textId="77777777" w:rsidR="00B93EE8" w:rsidRPr="00606C1D" w:rsidRDefault="00B93EE8" w:rsidP="00AD355F">
            <w:pPr>
              <w:spacing w:after="120"/>
              <w:jc w:val="center"/>
              <w:rPr>
                <w:b/>
              </w:rPr>
            </w:pPr>
            <w:r w:rsidRPr="00606C1D">
              <w:rPr>
                <w:b/>
              </w:rPr>
              <w:lastRenderedPageBreak/>
              <w:t>Common Transactive Service</w:t>
            </w:r>
            <w:r>
              <w:rPr>
                <w:b/>
              </w:rPr>
              <w:t xml:space="preserve"> Name</w:t>
            </w:r>
          </w:p>
        </w:tc>
        <w:tc>
          <w:tcPr>
            <w:tcW w:w="2160" w:type="dxa"/>
            <w:vAlign w:val="center"/>
          </w:tcPr>
          <w:p w14:paraId="25DAF221" w14:textId="77777777" w:rsidR="00B93EE8" w:rsidRPr="00606C1D" w:rsidRDefault="00B93EE8" w:rsidP="00AD355F">
            <w:pPr>
              <w:spacing w:after="120"/>
              <w:jc w:val="center"/>
              <w:rPr>
                <w:b/>
              </w:rPr>
            </w:pPr>
            <w:r w:rsidRPr="00606C1D">
              <w:rPr>
                <w:b/>
              </w:rPr>
              <w:t>Energy Interoperation Service</w:t>
            </w:r>
            <w:r>
              <w:rPr>
                <w:b/>
              </w:rPr>
              <w:t xml:space="preserve"> Name</w:t>
            </w:r>
          </w:p>
        </w:tc>
        <w:tc>
          <w:tcPr>
            <w:tcW w:w="3600" w:type="dxa"/>
            <w:vAlign w:val="center"/>
          </w:tcPr>
          <w:p w14:paraId="5B87A651" w14:textId="77777777" w:rsidR="00B93EE8" w:rsidRPr="00606C1D" w:rsidRDefault="00B93EE8" w:rsidP="00AD355F">
            <w:pPr>
              <w:spacing w:after="120"/>
              <w:jc w:val="center"/>
              <w:rPr>
                <w:b/>
              </w:rPr>
            </w:pPr>
            <w:r w:rsidRPr="00606C1D">
              <w:rPr>
                <w:b/>
              </w:rPr>
              <w:t>Description</w:t>
            </w:r>
          </w:p>
        </w:tc>
      </w:tr>
      <w:tr w:rsidR="00B93EE8" w14:paraId="7F7BB46A" w14:textId="77777777" w:rsidTr="005C6CAD">
        <w:trPr>
          <w:cantSplit/>
          <w:jc w:val="center"/>
        </w:trPr>
        <w:tc>
          <w:tcPr>
            <w:tcW w:w="2160" w:type="dxa"/>
            <w:vAlign w:val="center"/>
          </w:tcPr>
          <w:p w14:paraId="06DC34F7" w14:textId="77777777" w:rsidR="00B93EE8" w:rsidRDefault="00B93EE8" w:rsidP="00AD355F">
            <w:pPr>
              <w:spacing w:after="120"/>
              <w:jc w:val="center"/>
            </w:pPr>
            <w:r>
              <w:t>Quote</w:t>
            </w:r>
          </w:p>
        </w:tc>
        <w:tc>
          <w:tcPr>
            <w:tcW w:w="2160" w:type="dxa"/>
            <w:vAlign w:val="center"/>
          </w:tcPr>
          <w:p w14:paraId="48E88EEB" w14:textId="77777777" w:rsidR="00B93EE8" w:rsidRDefault="00B93EE8" w:rsidP="00AD355F">
            <w:pPr>
              <w:spacing w:after="120"/>
              <w:jc w:val="center"/>
            </w:pPr>
            <w:proofErr w:type="spellStart"/>
            <w:r>
              <w:t>EiQuote</w:t>
            </w:r>
            <w:proofErr w:type="spellEnd"/>
          </w:p>
        </w:tc>
        <w:tc>
          <w:tcPr>
            <w:tcW w:w="3600" w:type="dxa"/>
          </w:tcPr>
          <w:p w14:paraId="1CBFA723" w14:textId="77777777" w:rsidR="00B93EE8" w:rsidRDefault="00B93EE8" w:rsidP="00AD355F">
            <w:pPr>
              <w:spacing w:after="120"/>
            </w:pPr>
            <w:r>
              <w:t>Provide or request a price quotation</w:t>
            </w:r>
          </w:p>
        </w:tc>
      </w:tr>
      <w:tr w:rsidR="00B93EE8" w14:paraId="4DE3273D" w14:textId="77777777" w:rsidTr="005C6CAD">
        <w:trPr>
          <w:cantSplit/>
          <w:jc w:val="center"/>
        </w:trPr>
        <w:tc>
          <w:tcPr>
            <w:tcW w:w="2160" w:type="dxa"/>
            <w:vAlign w:val="center"/>
          </w:tcPr>
          <w:p w14:paraId="47C54A62" w14:textId="77777777" w:rsidR="00B93EE8" w:rsidRDefault="00B93EE8" w:rsidP="00AD355F">
            <w:pPr>
              <w:spacing w:after="120"/>
              <w:jc w:val="center"/>
            </w:pPr>
            <w:r>
              <w:t>Tender</w:t>
            </w:r>
          </w:p>
        </w:tc>
        <w:tc>
          <w:tcPr>
            <w:tcW w:w="2160" w:type="dxa"/>
            <w:vAlign w:val="center"/>
          </w:tcPr>
          <w:p w14:paraId="76C35F73" w14:textId="77777777" w:rsidR="00B93EE8" w:rsidRDefault="00B93EE8" w:rsidP="00AD355F">
            <w:pPr>
              <w:spacing w:after="120"/>
              <w:jc w:val="center"/>
            </w:pPr>
            <w:proofErr w:type="spellStart"/>
            <w:r>
              <w:t>EiTender</w:t>
            </w:r>
            <w:proofErr w:type="spellEnd"/>
          </w:p>
        </w:tc>
        <w:tc>
          <w:tcPr>
            <w:tcW w:w="3600" w:type="dxa"/>
          </w:tcPr>
          <w:p w14:paraId="4031B46A" w14:textId="77777777" w:rsidR="00B93EE8" w:rsidRDefault="00B93EE8" w:rsidP="00AD355F">
            <w:pPr>
              <w:spacing w:after="120"/>
            </w:pPr>
            <w:r>
              <w:t>Make a tender (offer) to buy or sell a product</w:t>
            </w:r>
          </w:p>
        </w:tc>
      </w:tr>
      <w:tr w:rsidR="00B93EE8" w14:paraId="0A32EC4F" w14:textId="77777777" w:rsidTr="005C6CAD">
        <w:trPr>
          <w:cantSplit/>
          <w:jc w:val="center"/>
        </w:trPr>
        <w:tc>
          <w:tcPr>
            <w:tcW w:w="2160" w:type="dxa"/>
            <w:vAlign w:val="center"/>
          </w:tcPr>
          <w:p w14:paraId="1E653C1C" w14:textId="77777777" w:rsidR="00B93EE8" w:rsidRDefault="00B93EE8" w:rsidP="00AD355F">
            <w:pPr>
              <w:spacing w:after="120"/>
              <w:jc w:val="center"/>
            </w:pPr>
            <w:r>
              <w:t>Transaction</w:t>
            </w:r>
          </w:p>
        </w:tc>
        <w:tc>
          <w:tcPr>
            <w:tcW w:w="2160" w:type="dxa"/>
            <w:vAlign w:val="center"/>
          </w:tcPr>
          <w:p w14:paraId="2CBFB5B2" w14:textId="77777777" w:rsidR="00B93EE8" w:rsidRDefault="00B93EE8" w:rsidP="00AD355F">
            <w:pPr>
              <w:spacing w:after="120"/>
              <w:jc w:val="center"/>
            </w:pPr>
            <w:proofErr w:type="spellStart"/>
            <w:r>
              <w:t>EiTransaction</w:t>
            </w:r>
            <w:proofErr w:type="spellEnd"/>
          </w:p>
        </w:tc>
        <w:tc>
          <w:tcPr>
            <w:tcW w:w="3600" w:type="dxa"/>
          </w:tcPr>
          <w:p w14:paraId="51AA37FE" w14:textId="77777777" w:rsidR="00B93EE8" w:rsidRDefault="00B93EE8" w:rsidP="00AD355F">
            <w:pPr>
              <w:spacing w:after="120"/>
            </w:pPr>
            <w:r>
              <w:t>Agree to a transaction to buy or sell, accepting a Tender</w:t>
            </w:r>
          </w:p>
        </w:tc>
      </w:tr>
      <w:tr w:rsidR="00B93EE8" w14:paraId="5480C9CC" w14:textId="77777777" w:rsidTr="005C6CAD">
        <w:trPr>
          <w:cantSplit/>
          <w:jc w:val="center"/>
        </w:trPr>
        <w:tc>
          <w:tcPr>
            <w:tcW w:w="2160" w:type="dxa"/>
            <w:vAlign w:val="center"/>
          </w:tcPr>
          <w:p w14:paraId="5EA04ECA" w14:textId="77777777" w:rsidR="00B93EE8" w:rsidRDefault="00B93EE8" w:rsidP="00AD355F">
            <w:pPr>
              <w:spacing w:after="120"/>
              <w:jc w:val="center"/>
            </w:pPr>
            <w:r>
              <w:t>Delivery</w:t>
            </w:r>
          </w:p>
        </w:tc>
        <w:tc>
          <w:tcPr>
            <w:tcW w:w="2160" w:type="dxa"/>
            <w:vAlign w:val="center"/>
          </w:tcPr>
          <w:p w14:paraId="46FB8F26" w14:textId="77777777" w:rsidR="00B93EE8" w:rsidRDefault="00B93EE8" w:rsidP="00AD355F">
            <w:pPr>
              <w:spacing w:after="120"/>
              <w:jc w:val="center"/>
            </w:pPr>
            <w:proofErr w:type="spellStart"/>
            <w:r>
              <w:t>EiDelivery</w:t>
            </w:r>
            <w:proofErr w:type="spellEnd"/>
          </w:p>
        </w:tc>
        <w:tc>
          <w:tcPr>
            <w:tcW w:w="3600" w:type="dxa"/>
          </w:tcPr>
          <w:p w14:paraId="3BAF70A2" w14:textId="7F7D15E6" w:rsidR="00B93EE8" w:rsidRDefault="005C490E" w:rsidP="005C490E">
            <w:pPr>
              <w:keepNext/>
              <w:spacing w:after="120"/>
            </w:pPr>
            <w:r>
              <w:t>Meter</w:t>
            </w:r>
            <w:r w:rsidR="00B93EE8" w:rsidRPr="00FC3D7E">
              <w:t xml:space="preserve"> </w:t>
            </w:r>
            <w:r>
              <w:t>the</w:t>
            </w:r>
            <w:r w:rsidR="00B93EE8" w:rsidRPr="00FC3D7E">
              <w:t xml:space="preserve"> actual delivery quanti</w:t>
            </w:r>
            <w:r w:rsidR="00B93EE8">
              <w:t>ty</w:t>
            </w:r>
            <w:r w:rsidR="00B93EE8">
              <w:rPr>
                <w:rStyle w:val="FootnoteReference"/>
              </w:rPr>
              <w:footnoteReference w:id="16"/>
            </w:r>
          </w:p>
        </w:tc>
      </w:tr>
    </w:tbl>
    <w:p w14:paraId="5183D569" w14:textId="2903A4F8" w:rsidR="00015150" w:rsidRDefault="00B93EE8" w:rsidP="00AD355F">
      <w:pPr>
        <w:pStyle w:val="Caption"/>
        <w:spacing w:after="120"/>
        <w:jc w:val="center"/>
      </w:pPr>
      <w:bookmarkStart w:id="7" w:name="_Ref317951054"/>
      <w:r>
        <w:t xml:space="preserve">Table </w:t>
      </w:r>
      <w:fldSimple w:instr=" SEQ Table \* ARABIC \s 1 ">
        <w:r w:rsidR="005E752B">
          <w:rPr>
            <w:noProof/>
          </w:rPr>
          <w:t>1</w:t>
        </w:r>
      </w:fldSimple>
      <w:bookmarkEnd w:id="7"/>
      <w:r>
        <w:t xml:space="preserve"> Common Transactive Services</w:t>
      </w:r>
    </w:p>
    <w:p w14:paraId="50CC06E8" w14:textId="246C74C7" w:rsidR="00B93EE8" w:rsidRDefault="00B93EE8" w:rsidP="00AD355F">
      <w:pPr>
        <w:spacing w:after="120"/>
      </w:pPr>
      <w:r>
        <w:t xml:space="preserve">In this report we </w:t>
      </w:r>
      <w:r w:rsidR="00756BA8">
        <w:t xml:space="preserve">use the common name, which is the standard name without the </w:t>
      </w:r>
      <w:proofErr w:type="spellStart"/>
      <w:r w:rsidR="00756BA8">
        <w:rPr>
          <w:i/>
        </w:rPr>
        <w:t>Ei</w:t>
      </w:r>
      <w:proofErr w:type="spellEnd"/>
      <w:r w:rsidR="00756BA8">
        <w:t xml:space="preserve"> prefix.</w:t>
      </w:r>
    </w:p>
    <w:p w14:paraId="3E31C47A" w14:textId="77777777" w:rsidR="00B93EE8" w:rsidRDefault="00B93EE8" w:rsidP="00AD355F">
      <w:pPr>
        <w:spacing w:after="120"/>
      </w:pPr>
      <w:r>
        <w:t>There are active open source projects implementing the Common Transactive Services.</w:t>
      </w:r>
    </w:p>
    <w:p w14:paraId="17F92780" w14:textId="58736FDF" w:rsidR="006A6FFB" w:rsidRDefault="00E72963" w:rsidP="0097191D">
      <w:pPr>
        <w:pStyle w:val="Heading2"/>
        <w:numPr>
          <w:ilvl w:val="1"/>
          <w:numId w:val="4"/>
        </w:numPr>
        <w:spacing w:after="120"/>
      </w:pPr>
      <w:r>
        <w:t xml:space="preserve">Considerations </w:t>
      </w:r>
      <w:r w:rsidR="00E870B4">
        <w:t>for</w:t>
      </w:r>
      <w:r>
        <w:t xml:space="preserve"> Product Definition </w:t>
      </w:r>
    </w:p>
    <w:p w14:paraId="6E844EDE" w14:textId="1AF74B6F" w:rsidR="00D23C63" w:rsidRDefault="00D23C63" w:rsidP="00426949">
      <w:pPr>
        <w:spacing w:after="120"/>
      </w:pPr>
      <w:r w:rsidRPr="00D23C63">
        <w:t>Many transactive systems of interest are bus/node oriented and others are path-based. In the US, transport products for systems outside of ISOs are typically path based. US ISOs use node-to-node congestion charges and congestion revenue right</w:t>
      </w:r>
      <w:r>
        <w:t>s products</w:t>
      </w:r>
      <w:r w:rsidR="0026234F">
        <w:t>.</w:t>
      </w:r>
    </w:p>
    <w:p w14:paraId="5AD3E6E1" w14:textId="61AA77AB" w:rsidR="00D23C63" w:rsidRDefault="00D23C63" w:rsidP="00426949">
      <w:pPr>
        <w:spacing w:after="120"/>
      </w:pPr>
      <w:r w:rsidRPr="00D23C63">
        <w:t xml:space="preserve">In all cases it is up to the transmission provider to not sell more transport service to all </w:t>
      </w:r>
      <w:r w:rsidR="0026234F">
        <w:t>takers</w:t>
      </w:r>
      <w:r w:rsidRPr="00D23C63">
        <w:t xml:space="preserve"> than the underlying physical network can accommodate</w:t>
      </w:r>
      <w:r w:rsidR="0026234F">
        <w:t>.</w:t>
      </w:r>
      <w:r w:rsidR="0026234F">
        <w:rPr>
          <w:rStyle w:val="FootnoteReference"/>
        </w:rPr>
        <w:footnoteReference w:id="17"/>
      </w:r>
    </w:p>
    <w:p w14:paraId="7FD9D6D6" w14:textId="319D874F" w:rsidR="006C1EFE" w:rsidRDefault="006C1EFE" w:rsidP="00426949">
      <w:pPr>
        <w:spacing w:after="120"/>
      </w:pPr>
      <w:r>
        <w:t>The potential conflict arises when the transport product definition presumes full connectivity, with no conflict between independent transactions of the product. Since this doesn’t match the physical network constraints, apparently independent transport transactions may interfere by using transport capabilities that are not actually independent</w:t>
      </w:r>
      <w:r w:rsidR="0026234F">
        <w:t xml:space="preserve"> in the real power network.</w:t>
      </w:r>
    </w:p>
    <w:p w14:paraId="4CC6A70E" w14:textId="738BF898" w:rsidR="001C6A07" w:rsidRDefault="001C6A07" w:rsidP="00AD355F">
      <w:pPr>
        <w:spacing w:after="120"/>
      </w:pPr>
      <w:r>
        <w:t xml:space="preserve">In a system </w:t>
      </w:r>
      <w:r w:rsidR="00077ED9">
        <w:t>presenting</w:t>
      </w:r>
      <w:r w:rsidR="00597FB7">
        <w:t xml:space="preserve"> </w:t>
      </w:r>
      <w:r>
        <w:t xml:space="preserve">this anomaly, various solutions have </w:t>
      </w:r>
      <w:r w:rsidR="00150139">
        <w:t xml:space="preserve">been </w:t>
      </w:r>
      <w:r>
        <w:t xml:space="preserve">developed. </w:t>
      </w:r>
      <w:r w:rsidR="00077ED9">
        <w:t>For example,</w:t>
      </w:r>
      <w:r>
        <w:t xml:space="preserve"> a utility function</w:t>
      </w:r>
      <w:r w:rsidR="00B857CD">
        <w:t xml:space="preserve"> (say </w:t>
      </w:r>
      <w:r w:rsidR="00B857CD">
        <w:rPr>
          <w:i/>
        </w:rPr>
        <w:t>Deliverability</w:t>
      </w:r>
      <w:r w:rsidR="00B857CD">
        <w:t>)</w:t>
      </w:r>
      <w:r>
        <w:t xml:space="preserve"> </w:t>
      </w:r>
      <w:r w:rsidR="00077ED9">
        <w:t xml:space="preserve">might be </w:t>
      </w:r>
      <w:r>
        <w:t>defined</w:t>
      </w:r>
      <w:r w:rsidR="00077ED9">
        <w:t>, which</w:t>
      </w:r>
      <w:r>
        <w:t xml:space="preserve"> </w:t>
      </w:r>
      <w:r w:rsidR="00077ED9">
        <w:t xml:space="preserve">looks below the transport products transacted in order </w:t>
      </w:r>
      <w:r>
        <w:t xml:space="preserve">to test for </w:t>
      </w:r>
      <w:r w:rsidR="00077ED9">
        <w:t xml:space="preserve">whether an energy product can be delivered </w:t>
      </w:r>
      <w:r>
        <w:t>at a particular future time</w:t>
      </w:r>
      <w:r w:rsidR="00426949">
        <w:t xml:space="preserve">. </w:t>
      </w:r>
      <w:r w:rsidR="0026234F">
        <w:rPr>
          <w:rStyle w:val="FootnoteReference"/>
        </w:rPr>
        <w:footnoteReference w:id="18"/>
      </w:r>
    </w:p>
    <w:p w14:paraId="2D0EC714" w14:textId="38075830" w:rsidR="00426949" w:rsidRDefault="00426949" w:rsidP="00AD355F">
      <w:pPr>
        <w:spacing w:after="120"/>
      </w:pPr>
      <w:r>
        <w:t xml:space="preserve">This example highlights </w:t>
      </w:r>
      <w:r w:rsidR="002F0777">
        <w:t>that product definition</w:t>
      </w:r>
      <w:r w:rsidR="000E7B88">
        <w:t>s</w:t>
      </w:r>
      <w:r w:rsidR="002F0777">
        <w:t xml:space="preserve"> must be carefully considered.</w:t>
      </w:r>
    </w:p>
    <w:p w14:paraId="164B6021" w14:textId="28835CA6" w:rsidR="00B93EE8" w:rsidRDefault="00B93EE8" w:rsidP="00AD355F">
      <w:pPr>
        <w:pStyle w:val="Heading1"/>
        <w:spacing w:before="0" w:after="120"/>
      </w:pPr>
      <w:bookmarkStart w:id="8" w:name="_Ref315355838"/>
      <w:r>
        <w:lastRenderedPageBreak/>
        <w:t>Common Transactive Services and Transactive Systems</w:t>
      </w:r>
      <w:bookmarkEnd w:id="8"/>
    </w:p>
    <w:p w14:paraId="64B3835D" w14:textId="2E7CE85A" w:rsidR="00B93EE8" w:rsidRDefault="00B93EE8" w:rsidP="00AD355F">
      <w:pPr>
        <w:spacing w:after="120"/>
      </w:pPr>
      <w:r>
        <w:t>We include a brief description of each of the</w:t>
      </w:r>
      <w:r w:rsidR="000767AD">
        <w:t xml:space="preserve"> </w:t>
      </w:r>
      <w:r w:rsidR="000767AD">
        <w:fldChar w:fldCharType="begin"/>
      </w:r>
      <w:r w:rsidR="000767AD">
        <w:instrText xml:space="preserve"> REF _Ref317353444 \h </w:instrText>
      </w:r>
      <w:r w:rsidR="000767AD">
        <w:fldChar w:fldCharType="separate"/>
      </w:r>
      <w:r w:rsidR="005E752B">
        <w:t>Transactive Systems of Interest</w:t>
      </w:r>
      <w:r w:rsidR="000767AD">
        <w:fldChar w:fldCharType="end"/>
      </w:r>
      <w:r>
        <w:t>.</w:t>
      </w:r>
      <w:r w:rsidR="000767AD">
        <w:t xml:space="preserve"> The products</w:t>
      </w:r>
      <w:r w:rsidR="00915E07">
        <w:t xml:space="preserve"> for each system</w:t>
      </w:r>
      <w:r w:rsidR="000767AD">
        <w:t xml:space="preserve"> have been discussed in Section </w:t>
      </w:r>
      <w:r w:rsidR="000767AD">
        <w:fldChar w:fldCharType="begin"/>
      </w:r>
      <w:r w:rsidR="000767AD">
        <w:instrText xml:space="preserve"> REF _Ref317353758 \r \h </w:instrText>
      </w:r>
      <w:r w:rsidR="000767AD">
        <w:fldChar w:fldCharType="separate"/>
      </w:r>
      <w:r w:rsidR="005E752B">
        <w:t>6.3</w:t>
      </w:r>
      <w:r w:rsidR="000767AD">
        <w:fldChar w:fldCharType="end"/>
      </w:r>
      <w:r w:rsidR="000767AD">
        <w:t>.</w:t>
      </w:r>
    </w:p>
    <w:p w14:paraId="56C3A736" w14:textId="77777777" w:rsidR="005E2905" w:rsidRDefault="00B93EE8" w:rsidP="00AD355F">
      <w:pPr>
        <w:spacing w:after="120"/>
      </w:pPr>
      <w:r>
        <w:t>The Transactive Systems differ in the range of products supported; while there are similarities and overlaps, the common transactive services themselves can be adapted to each system as discussed below.</w:t>
      </w:r>
      <w:r w:rsidR="005E2905">
        <w:t xml:space="preserve"> </w:t>
      </w:r>
    </w:p>
    <w:p w14:paraId="55C37B86" w14:textId="521267A7" w:rsidR="00B93EE8" w:rsidRDefault="005E2905" w:rsidP="00AD355F">
      <w:pPr>
        <w:spacing w:after="120"/>
      </w:pPr>
      <w:r>
        <w:t xml:space="preserve">The products of interest may include power, energy, or both—power and energy are related physically; we distinguish because the focus of </w:t>
      </w:r>
      <w:r w:rsidR="001C1D7C">
        <w:t>some</w:t>
      </w:r>
      <w:r>
        <w:t xml:space="preserve"> cited systems is on demand management. See </w:t>
      </w:r>
      <w:r w:rsidR="00E26C00">
        <w:fldChar w:fldCharType="begin"/>
      </w:r>
      <w:r w:rsidR="00E26C00">
        <w:instrText xml:space="preserve"> REF _Ref317957661 \h </w:instrText>
      </w:r>
      <w:r w:rsidR="00E26C00">
        <w:fldChar w:fldCharType="separate"/>
      </w:r>
      <w:r w:rsidR="005E752B">
        <w:t>Products in the Transactive Systems of Interest</w:t>
      </w:r>
      <w:r w:rsidR="00E26C00">
        <w:fldChar w:fldCharType="end"/>
      </w:r>
      <w:r w:rsidR="00E26C00">
        <w:t>.</w:t>
      </w:r>
    </w:p>
    <w:p w14:paraId="1259BC8C" w14:textId="71FBFF66" w:rsidR="00B93EE8" w:rsidRDefault="00BA7886" w:rsidP="00AD355F">
      <w:pPr>
        <w:spacing w:after="120"/>
      </w:pPr>
      <w:r>
        <w:t xml:space="preserve">Energy Interoperation products include </w:t>
      </w:r>
      <w:r w:rsidR="00B93EE8">
        <w:t xml:space="preserve">Energy, Power (Demand), </w:t>
      </w:r>
      <w:r w:rsidR="00AC5998">
        <w:t>and Ancillary</w:t>
      </w:r>
      <w:r w:rsidR="00B93EE8">
        <w:t xml:space="preserve"> Services</w:t>
      </w:r>
      <w:r w:rsidR="00BB5437">
        <w:t>. The</w:t>
      </w:r>
      <w:r w:rsidR="00B93EE8">
        <w:t xml:space="preserve"> abstract framework has been extended to thermal energy and other non-energy resources.</w:t>
      </w:r>
    </w:p>
    <w:p w14:paraId="17A2EF66" w14:textId="77777777" w:rsidR="00B93EE8" w:rsidRDefault="00B93EE8" w:rsidP="0097191D">
      <w:pPr>
        <w:pStyle w:val="Heading2"/>
        <w:numPr>
          <w:ilvl w:val="1"/>
          <w:numId w:val="4"/>
        </w:numPr>
        <w:spacing w:after="120"/>
      </w:pPr>
      <w:r>
        <w:t>IEC 62325 Family [IEC Markets]</w:t>
      </w:r>
    </w:p>
    <w:p w14:paraId="60C6D9CB" w14:textId="731F1581" w:rsidR="00B93EE8" w:rsidRDefault="00B93EE8" w:rsidP="00AD355F">
      <w:pPr>
        <w:spacing w:after="120"/>
      </w:pPr>
      <w:r>
        <w:t>Also called CIM Markets. These are the set of standards in IEC that define the large-scale wholesale markets around the world.</w:t>
      </w:r>
      <w:r w:rsidR="00BB5437">
        <w:t xml:space="preserve"> </w:t>
      </w:r>
      <w:sdt>
        <w:sdtPr>
          <w:id w:val="-578755767"/>
          <w:citation/>
        </w:sdtPr>
        <w:sdtContent>
          <w:r w:rsidR="00BB5437">
            <w:fldChar w:fldCharType="begin"/>
          </w:r>
          <w:r w:rsidR="00BB5437">
            <w:instrText xml:space="preserve"> CITATION Int16 \l 1033 </w:instrText>
          </w:r>
          <w:r w:rsidR="00BB5437">
            <w:fldChar w:fldCharType="separate"/>
          </w:r>
          <w:r w:rsidR="00AA1494">
            <w:rPr>
              <w:noProof/>
            </w:rPr>
            <w:t>[</w:t>
          </w:r>
          <w:hyperlink w:anchor="Int16" w:history="1">
            <w:r w:rsidR="00AA1494" w:rsidRPr="00AA1494">
              <w:rPr>
                <w:rStyle w:val="Heading2Char"/>
                <w:rFonts w:eastAsiaTheme="minorHAnsi" w:cstheme="minorBidi"/>
                <w:noProof/>
                <w:color w:val="auto"/>
                <w:sz w:val="24"/>
                <w:szCs w:val="24"/>
              </w:rPr>
              <w:t>8</w:t>
            </w:r>
          </w:hyperlink>
          <w:r w:rsidR="00AA1494">
            <w:rPr>
              <w:noProof/>
            </w:rPr>
            <w:t>]</w:t>
          </w:r>
          <w:r w:rsidR="00BB5437">
            <w:fldChar w:fldCharType="end"/>
          </w:r>
        </w:sdtContent>
      </w:sdt>
      <w:r>
        <w:t xml:space="preserve"> </w:t>
      </w:r>
    </w:p>
    <w:p w14:paraId="479E345C" w14:textId="77777777" w:rsidR="00B93EE8" w:rsidRDefault="00B93EE8" w:rsidP="00AD355F">
      <w:pPr>
        <w:spacing w:after="120"/>
      </w:pPr>
      <w:r>
        <w:t>Products include Energy, Capacity, Demand, and Ancillary Services.</w:t>
      </w:r>
    </w:p>
    <w:p w14:paraId="1B4B91AE" w14:textId="77777777" w:rsidR="00B93EE8" w:rsidRDefault="00B93EE8" w:rsidP="00AD355F">
      <w:pPr>
        <w:spacing w:after="120"/>
      </w:pPr>
      <w:r>
        <w:t>The nature of adapting the Common Transactive Services relies on the abstract nature of bids (tenders) and market results (transactions). Concepts including Offer Curves were directly incorporated in EMIX, and used in product and resource definitions in Energy Interoperation.</w:t>
      </w:r>
    </w:p>
    <w:p w14:paraId="3D207509" w14:textId="7869361A" w:rsidR="00B93EE8" w:rsidRPr="00AF2C6D" w:rsidRDefault="00B93EE8" w:rsidP="00AD355F">
      <w:pPr>
        <w:spacing w:after="120"/>
      </w:pPr>
      <w:r>
        <w:t>Adaptation is necessary; the semantics of interac</w:t>
      </w:r>
      <w:r w:rsidR="00CA065B">
        <w:t>tion with CIM Markets are aligned</w:t>
      </w:r>
      <w:r>
        <w:t>.</w:t>
      </w:r>
    </w:p>
    <w:p w14:paraId="2136B649" w14:textId="77777777" w:rsidR="00B93EE8" w:rsidRDefault="00B93EE8" w:rsidP="0097191D">
      <w:pPr>
        <w:pStyle w:val="Heading2"/>
        <w:numPr>
          <w:ilvl w:val="1"/>
          <w:numId w:val="4"/>
        </w:numPr>
        <w:spacing w:after="120"/>
      </w:pPr>
      <w:r>
        <w:t>Pacific Northwest Smart Grid Demonstration Project [PNW]</w:t>
      </w:r>
    </w:p>
    <w:p w14:paraId="2337F41E" w14:textId="3DA2A5C6" w:rsidR="00343431" w:rsidRDefault="00343431" w:rsidP="00343431">
      <w:pPr>
        <w:spacing w:after="120"/>
      </w:pPr>
      <w:r>
        <w:t>PNW</w:t>
      </w:r>
      <w:sdt>
        <w:sdtPr>
          <w:id w:val="-878086026"/>
          <w:citation/>
        </w:sdtPr>
        <w:sdtContent>
          <w:r w:rsidR="00BB5437">
            <w:fldChar w:fldCharType="begin"/>
          </w:r>
          <w:r w:rsidR="003F4457">
            <w:instrText xml:space="preserve">CITATION Bat15 \l 1033 </w:instrText>
          </w:r>
          <w:r w:rsidR="00BB5437">
            <w:fldChar w:fldCharType="separate"/>
          </w:r>
          <w:r w:rsidR="00AA1494">
            <w:rPr>
              <w:noProof/>
            </w:rPr>
            <w:t xml:space="preserve"> [</w:t>
          </w:r>
          <w:hyperlink w:anchor="Bat15" w:history="1">
            <w:r w:rsidR="00AA1494" w:rsidRPr="00AA1494">
              <w:rPr>
                <w:rStyle w:val="Heading2Char"/>
                <w:rFonts w:eastAsiaTheme="minorHAnsi" w:cstheme="minorBidi"/>
                <w:noProof/>
                <w:color w:val="auto"/>
                <w:sz w:val="24"/>
                <w:szCs w:val="24"/>
              </w:rPr>
              <w:t>7</w:t>
            </w:r>
          </w:hyperlink>
          <w:r w:rsidR="00AA1494">
            <w:rPr>
              <w:noProof/>
            </w:rPr>
            <w:t>]</w:t>
          </w:r>
          <w:r w:rsidR="00BB5437">
            <w:fldChar w:fldCharType="end"/>
          </w:r>
        </w:sdtContent>
      </w:sdt>
      <w:r>
        <w:t xml:space="preserve"> addresses</w:t>
      </w:r>
      <w:r w:rsidRPr="007C47F3">
        <w:t xml:space="preserve"> balancing demand through the near-real time exchange of forward value information (</w:t>
      </w:r>
      <w:r>
        <w:t>delivered unit cost</w:t>
      </w:r>
      <w:r w:rsidRPr="007C47F3">
        <w:t xml:space="preserve">) of energy and the calculated </w:t>
      </w:r>
      <w:r>
        <w:t xml:space="preserve">forward </w:t>
      </w:r>
      <w:r w:rsidRPr="007C47F3">
        <w:t xml:space="preserve">load </w:t>
      </w:r>
      <w:r>
        <w:t xml:space="preserve">(demand) </w:t>
      </w:r>
      <w:r w:rsidRPr="007C47F3">
        <w:t>curves</w:t>
      </w:r>
      <w:r>
        <w:t xml:space="preserve"> using</w:t>
      </w:r>
      <w:r w:rsidRPr="007C47F3">
        <w:t xml:space="preserve"> an incentive signal to improve demand elasticity, and </w:t>
      </w:r>
      <w:r>
        <w:t>a</w:t>
      </w:r>
      <w:r w:rsidRPr="007C47F3">
        <w:t xml:space="preserve"> feedback </w:t>
      </w:r>
      <w:r>
        <w:t>signal</w:t>
      </w:r>
      <w:r w:rsidRPr="007C47F3">
        <w:t xml:space="preserve"> to improve operations planning for </w:t>
      </w:r>
      <w:r>
        <w:t xml:space="preserve">generation, </w:t>
      </w:r>
      <w:r w:rsidRPr="007C47F3">
        <w:t>transmission</w:t>
      </w:r>
      <w:r>
        <w:t>,</w:t>
      </w:r>
      <w:r w:rsidRPr="007C47F3">
        <w:t xml:space="preserve"> and distribution operations</w:t>
      </w:r>
      <w:r>
        <w:t>.</w:t>
      </w:r>
    </w:p>
    <w:p w14:paraId="349CE3A3" w14:textId="14DBD5B5" w:rsidR="00343431" w:rsidRDefault="00343431" w:rsidP="00343431">
      <w:pPr>
        <w:spacing w:after="120"/>
      </w:pPr>
      <w:r>
        <w:t>The location-dependent incentive signal at each system location (node) is a blended cost of energy that is either imported into, or generated at, that system location</w:t>
      </w:r>
      <w:r w:rsidR="00AE5642">
        <w:t>.</w:t>
      </w:r>
      <w:sdt>
        <w:sdtPr>
          <w:id w:val="325792440"/>
          <w:citation/>
        </w:sdtPr>
        <w:sdtContent>
          <w:r w:rsidR="00AE5642">
            <w:fldChar w:fldCharType="begin"/>
          </w:r>
          <w:r w:rsidR="00AE5642">
            <w:instrText xml:space="preserve"> CITATION Ham \l 1033 </w:instrText>
          </w:r>
          <w:r w:rsidR="00AE5642">
            <w:fldChar w:fldCharType="separate"/>
          </w:r>
          <w:r w:rsidR="00AA1494">
            <w:rPr>
              <w:noProof/>
            </w:rPr>
            <w:t xml:space="preserve"> [</w:t>
          </w:r>
          <w:hyperlink w:anchor="Ham" w:history="1">
            <w:r w:rsidR="00AA1494" w:rsidRPr="00AA1494">
              <w:rPr>
                <w:rStyle w:val="Heading2Char"/>
                <w:rFonts w:eastAsiaTheme="minorHAnsi" w:cstheme="minorBidi"/>
                <w:noProof/>
                <w:color w:val="auto"/>
                <w:sz w:val="24"/>
                <w:szCs w:val="24"/>
              </w:rPr>
              <w:t>18</w:t>
            </w:r>
          </w:hyperlink>
          <w:r w:rsidR="00AA1494">
            <w:rPr>
              <w:noProof/>
            </w:rPr>
            <w:t>]</w:t>
          </w:r>
          <w:r w:rsidR="00AE5642">
            <w:fldChar w:fldCharType="end"/>
          </w:r>
        </w:sdtContent>
      </w:sdt>
      <w:r>
        <w:t xml:space="preserve"> The principle has been demonstrated in the field using nodes that represent large transmission regions and utilities </w:t>
      </w:r>
      <w:sdt>
        <w:sdtPr>
          <w:id w:val="-85466483"/>
          <w:citation/>
        </w:sdtPr>
        <w:sdtContent>
          <w:r w:rsidR="00AE5642">
            <w:fldChar w:fldCharType="begin"/>
          </w:r>
          <w:r w:rsidR="00AE5642">
            <w:instrText xml:space="preserve"> CITATION Bat15 \l 1033 </w:instrText>
          </w:r>
          <w:r w:rsidR="00AE5642">
            <w:fldChar w:fldCharType="separate"/>
          </w:r>
          <w:r w:rsidR="00AA1494">
            <w:rPr>
              <w:noProof/>
            </w:rPr>
            <w:t>[</w:t>
          </w:r>
          <w:hyperlink w:anchor="Bat15" w:history="1">
            <w:r w:rsidR="00AA1494" w:rsidRPr="00AA1494">
              <w:rPr>
                <w:rStyle w:val="Heading2Char"/>
                <w:rFonts w:eastAsiaTheme="minorHAnsi" w:cstheme="minorBidi"/>
                <w:noProof/>
                <w:color w:val="auto"/>
                <w:sz w:val="24"/>
                <w:szCs w:val="24"/>
              </w:rPr>
              <w:t>7</w:t>
            </w:r>
          </w:hyperlink>
          <w:r w:rsidR="00AA1494">
            <w:rPr>
              <w:noProof/>
            </w:rPr>
            <w:t>]</w:t>
          </w:r>
          <w:r w:rsidR="00AE5642">
            <w:fldChar w:fldCharType="end"/>
          </w:r>
        </w:sdtContent>
      </w:sdt>
      <w:r w:rsidR="00AE5642">
        <w:t xml:space="preserve"> </w:t>
      </w:r>
      <w:r>
        <w:t xml:space="preserve">but the conceptual model describes extending nodes consistent with visions for the Internet-of-Things. </w:t>
      </w:r>
    </w:p>
    <w:p w14:paraId="01D5BBA9" w14:textId="5EB1CBEB" w:rsidR="00343431" w:rsidRDefault="00343431" w:rsidP="00343431">
      <w:pPr>
        <w:spacing w:after="120"/>
      </w:pPr>
      <w:r>
        <w:t>Demonstrated products include Power, incentivized consumption of renewable energy, outage contingency response, and the incorporation of existing time-of-use and demand charges.</w:t>
      </w:r>
      <w:r w:rsidRPr="00920C50">
        <w:t xml:space="preserve"> </w:t>
      </w:r>
      <w:r>
        <w:t xml:space="preserve">Incentivized objectives are further extensible for each node owner to represent the impacts of not only marginal resource costs, but also the impacts of utility programs (e.g., demand charges, time-based and tiered charges), transport constraints, infrastructure costs (that represent about 2/3 the delivered </w:t>
      </w:r>
      <w:r>
        <w:lastRenderedPageBreak/>
        <w:t>costs of energy), regulations, and other things that affect the delivered cost of energy. The PNW approach designed “toolkit functions” for the functional relationships between the signals, resource costs, other incentives, and elastic load behaviors</w:t>
      </w:r>
      <w:r w:rsidR="00C7132B">
        <w:t>.</w:t>
      </w:r>
      <w:sdt>
        <w:sdtPr>
          <w:id w:val="-1288495131"/>
          <w:citation/>
        </w:sdtPr>
        <w:sdtContent>
          <w:r w:rsidR="00C7132B">
            <w:fldChar w:fldCharType="begin"/>
          </w:r>
          <w:r w:rsidR="00992F86">
            <w:instrText xml:space="preserve">CITATION Ham15 \l 1033 </w:instrText>
          </w:r>
          <w:r w:rsidR="00C7132B">
            <w:fldChar w:fldCharType="separate"/>
          </w:r>
          <w:r w:rsidR="00AA1494">
            <w:rPr>
              <w:noProof/>
            </w:rPr>
            <w:t xml:space="preserve"> [</w:t>
          </w:r>
          <w:hyperlink w:anchor="Ham15" w:history="1">
            <w:r w:rsidR="00AA1494" w:rsidRPr="00AA1494">
              <w:rPr>
                <w:rStyle w:val="Heading2Char"/>
                <w:rFonts w:eastAsiaTheme="minorHAnsi" w:cstheme="minorBidi"/>
                <w:noProof/>
                <w:color w:val="auto"/>
                <w:sz w:val="24"/>
                <w:szCs w:val="24"/>
              </w:rPr>
              <w:t>19</w:t>
            </w:r>
          </w:hyperlink>
          <w:r w:rsidR="00AA1494">
            <w:rPr>
              <w:noProof/>
            </w:rPr>
            <w:t>]</w:t>
          </w:r>
          <w:r w:rsidR="00C7132B">
            <w:fldChar w:fldCharType="end"/>
          </w:r>
        </w:sdtContent>
      </w:sdt>
    </w:p>
    <w:p w14:paraId="5D9BDF5E" w14:textId="50DAB619" w:rsidR="00343431" w:rsidRDefault="00D41ADC" w:rsidP="00343431">
      <w:pPr>
        <w:spacing w:after="120"/>
      </w:pPr>
      <w:r>
        <w:t xml:space="preserve">Some adaptation of Energy Interoperation services </w:t>
      </w:r>
      <w:r w:rsidR="00343431">
        <w:t>is necessary</w:t>
      </w:r>
      <w:r w:rsidR="00273608">
        <w:t xml:space="preserve"> to communicate PNW service information</w:t>
      </w:r>
      <w:r w:rsidR="00343431">
        <w:t>.</w:t>
      </w:r>
      <w:r w:rsidR="00273608">
        <w:t xml:space="preserve"> </w:t>
      </w:r>
      <w:r w:rsidR="00343431">
        <w:t>The coordination signals of a field demonstration are described in</w:t>
      </w:r>
      <w:r w:rsidR="00BC10C8">
        <w:t xml:space="preserve"> </w:t>
      </w:r>
      <w:sdt>
        <w:sdtPr>
          <w:id w:val="-1137798687"/>
          <w:citation/>
        </w:sdtPr>
        <w:sdtContent>
          <w:r w:rsidR="00506B8D">
            <w:fldChar w:fldCharType="begin"/>
          </w:r>
          <w:r w:rsidR="00506B8D">
            <w:instrText xml:space="preserve"> CITATION Kuc15 \l 1033 </w:instrText>
          </w:r>
          <w:r w:rsidR="00506B8D">
            <w:fldChar w:fldCharType="separate"/>
          </w:r>
          <w:r w:rsidR="00AA1494">
            <w:rPr>
              <w:noProof/>
            </w:rPr>
            <w:t>[</w:t>
          </w:r>
          <w:hyperlink w:anchor="Kuc15" w:history="1">
            <w:r w:rsidR="00AA1494" w:rsidRPr="00AA1494">
              <w:rPr>
                <w:rStyle w:val="Heading2Char"/>
                <w:rFonts w:eastAsiaTheme="minorHAnsi" w:cstheme="minorBidi"/>
                <w:noProof/>
                <w:color w:val="auto"/>
                <w:sz w:val="24"/>
                <w:szCs w:val="24"/>
              </w:rPr>
              <w:t>20</w:t>
            </w:r>
          </w:hyperlink>
          <w:r w:rsidR="00AA1494">
            <w:rPr>
              <w:noProof/>
            </w:rPr>
            <w:t>]</w:t>
          </w:r>
          <w:r w:rsidR="00506B8D">
            <w:fldChar w:fldCharType="end"/>
          </w:r>
        </w:sdtContent>
      </w:sdt>
      <w:r w:rsidR="00C7132B">
        <w:t>.</w:t>
      </w:r>
      <w:r w:rsidR="00343431">
        <w:t xml:space="preserve"> An extension to a supply or demand curve-based tender </w:t>
      </w:r>
      <w:r w:rsidR="00552141">
        <w:t>may be needed</w:t>
      </w:r>
      <w:r w:rsidR="00343431">
        <w:t xml:space="preserve"> to carry the additional </w:t>
      </w:r>
      <w:r w:rsidR="00552141">
        <w:t xml:space="preserve">signal </w:t>
      </w:r>
      <w:r w:rsidR="00343431">
        <w:t xml:space="preserve">information. </w:t>
      </w:r>
    </w:p>
    <w:p w14:paraId="3FD4F263" w14:textId="414C5C4E" w:rsidR="00343431" w:rsidRDefault="00343431" w:rsidP="00343431">
      <w:pPr>
        <w:spacing w:after="120"/>
      </w:pPr>
      <w:r>
        <w:t>Commitment (as a Transaction) is undefined in the PNW system, but the</w:t>
      </w:r>
      <w:r w:rsidR="00552141">
        <w:t xml:space="preserve"> implementers suggest that the</w:t>
      </w:r>
      <w:r>
        <w:t xml:space="preserve"> framework could be extended to tag and track portions of suppliers’ and consumers’ future schedules as “committed,” in which case their flexibility would be lost for subsequent balancing iterations. </w:t>
      </w:r>
      <w:sdt>
        <w:sdtPr>
          <w:id w:val="-1219509356"/>
          <w:citation/>
        </w:sdtPr>
        <w:sdtContent>
          <w:r w:rsidR="00552141">
            <w:fldChar w:fldCharType="begin"/>
          </w:r>
          <w:r w:rsidR="00552141">
            <w:instrText xml:space="preserve"> CITATION Ham1 \l 1033 </w:instrText>
          </w:r>
          <w:r w:rsidR="00552141">
            <w:fldChar w:fldCharType="separate"/>
          </w:r>
          <w:r w:rsidR="00AA1494">
            <w:rPr>
              <w:noProof/>
            </w:rPr>
            <w:t>[</w:t>
          </w:r>
          <w:hyperlink w:anchor="Ham1" w:history="1">
            <w:r w:rsidR="00AA1494" w:rsidRPr="00AA1494">
              <w:rPr>
                <w:rStyle w:val="Heading2Char"/>
                <w:rFonts w:eastAsiaTheme="minorHAnsi" w:cstheme="minorBidi"/>
                <w:noProof/>
                <w:color w:val="auto"/>
                <w:sz w:val="24"/>
                <w:szCs w:val="24"/>
              </w:rPr>
              <w:t>21</w:t>
            </w:r>
          </w:hyperlink>
          <w:r w:rsidR="00AA1494">
            <w:rPr>
              <w:noProof/>
            </w:rPr>
            <w:t>]</w:t>
          </w:r>
          <w:r w:rsidR="00552141">
            <w:fldChar w:fldCharType="end"/>
          </w:r>
        </w:sdtContent>
      </w:sdt>
    </w:p>
    <w:p w14:paraId="6763A69D" w14:textId="715164E9" w:rsidR="00343431" w:rsidRDefault="00343431" w:rsidP="00343431">
      <w:pPr>
        <w:spacing w:after="120"/>
      </w:pPr>
      <w:r>
        <w:t>Indicative Tenders could continue in order</w:t>
      </w:r>
      <w:r w:rsidR="00F30865">
        <w:t xml:space="preserve"> to</w:t>
      </w:r>
      <w:r>
        <w:t xml:space="preserve"> negotiate the remaining, uncommitted loads and resources.  PNW incentive signals can </w:t>
      </w:r>
      <w:r w:rsidR="002B5B63">
        <w:t xml:space="preserve">likely </w:t>
      </w:r>
      <w:r>
        <w:t xml:space="preserve">be implemented as </w:t>
      </w:r>
      <w:r w:rsidR="002B5B63">
        <w:t xml:space="preserve">tenders with </w:t>
      </w:r>
      <w:r>
        <w:t>transactive state = indication-of-interest tenders.</w:t>
      </w:r>
      <w:r w:rsidR="002B5B63">
        <w:rPr>
          <w:rStyle w:val="FootnoteReference"/>
        </w:rPr>
        <w:footnoteReference w:id="19"/>
      </w:r>
      <w:r>
        <w:t xml:space="preserve"> Once agreement is reached (or the algorithm converges to near stability) the transactive state </w:t>
      </w:r>
      <w:r w:rsidR="00D41ADC">
        <w:t xml:space="preserve">could </w:t>
      </w:r>
      <w:r>
        <w:t xml:space="preserve">be set to </w:t>
      </w:r>
      <w:r w:rsidR="00D41ADC">
        <w:t>“</w:t>
      </w:r>
      <w:r>
        <w:t>transaction</w:t>
      </w:r>
      <w:r w:rsidR="00D41ADC">
        <w:t>”</w:t>
      </w:r>
      <w:r>
        <w:t xml:space="preserve"> and committed.</w:t>
      </w:r>
    </w:p>
    <w:p w14:paraId="30672376" w14:textId="01CE18F4" w:rsidR="00B93EE8" w:rsidRPr="00703669" w:rsidRDefault="00343431" w:rsidP="00343431">
      <w:pPr>
        <w:spacing w:after="120"/>
      </w:pPr>
      <w:r>
        <w:t>The feedback signals can be viewed as second-order balancing transactions as in the treatment of reconciliation of Delivery.</w:t>
      </w:r>
    </w:p>
    <w:p w14:paraId="7FC82E78" w14:textId="77777777" w:rsidR="00B93EE8" w:rsidRDefault="00B93EE8" w:rsidP="0097191D">
      <w:pPr>
        <w:pStyle w:val="Heading2"/>
        <w:numPr>
          <w:ilvl w:val="1"/>
          <w:numId w:val="4"/>
        </w:numPr>
        <w:spacing w:after="120"/>
      </w:pPr>
      <w:r>
        <w:t>PowerMatcher [PM]</w:t>
      </w:r>
    </w:p>
    <w:p w14:paraId="3DABB22C" w14:textId="6C948305" w:rsidR="00B93EE8" w:rsidRDefault="00B93EE8" w:rsidP="00AD355F">
      <w:pPr>
        <w:spacing w:after="120"/>
      </w:pPr>
      <w:r>
        <w:t>PowerMatcher</w:t>
      </w:r>
      <w:r w:rsidR="00BB5437">
        <w:t xml:space="preserve"> </w:t>
      </w:r>
      <w:sdt>
        <w:sdtPr>
          <w:id w:val="-1045905976"/>
          <w:citation/>
        </w:sdtPr>
        <w:sdtContent>
          <w:r w:rsidR="004235BA">
            <w:fldChar w:fldCharType="begin"/>
          </w:r>
          <w:r w:rsidR="004235BA">
            <w:instrText xml:space="preserve"> CITATION Pow161 \l 1033 </w:instrText>
          </w:r>
          <w:r w:rsidR="004235BA">
            <w:fldChar w:fldCharType="separate"/>
          </w:r>
          <w:r w:rsidR="00AA1494">
            <w:rPr>
              <w:noProof/>
            </w:rPr>
            <w:t>[</w:t>
          </w:r>
          <w:hyperlink w:anchor="Pow161" w:history="1">
            <w:r w:rsidR="00AA1494" w:rsidRPr="00AA1494">
              <w:rPr>
                <w:rStyle w:val="Heading2Char"/>
                <w:rFonts w:eastAsiaTheme="minorHAnsi" w:cstheme="minorBidi"/>
                <w:noProof/>
                <w:color w:val="auto"/>
                <w:sz w:val="24"/>
                <w:szCs w:val="24"/>
              </w:rPr>
              <w:t>5</w:t>
            </w:r>
          </w:hyperlink>
          <w:r w:rsidR="00AA1494">
            <w:rPr>
              <w:noProof/>
            </w:rPr>
            <w:t>]</w:t>
          </w:r>
          <w:r w:rsidR="004235BA">
            <w:fldChar w:fldCharType="end"/>
          </w:r>
        </w:sdtContent>
      </w:sdt>
      <w:sdt>
        <w:sdtPr>
          <w:id w:val="-177118032"/>
          <w:citation/>
        </w:sdtPr>
        <w:sdtContent>
          <w:r w:rsidR="004235BA">
            <w:fldChar w:fldCharType="begin"/>
          </w:r>
          <w:r w:rsidR="004235BA">
            <w:instrText xml:space="preserve"> CITATION Pow16 \l 1033 </w:instrText>
          </w:r>
          <w:r w:rsidR="004235BA">
            <w:fldChar w:fldCharType="separate"/>
          </w:r>
          <w:r w:rsidR="00AA1494">
            <w:rPr>
              <w:noProof/>
            </w:rPr>
            <w:t xml:space="preserve"> [</w:t>
          </w:r>
          <w:hyperlink w:anchor="Pow16" w:history="1">
            <w:r w:rsidR="00AA1494" w:rsidRPr="00AA1494">
              <w:rPr>
                <w:rStyle w:val="Heading2Char"/>
                <w:rFonts w:eastAsiaTheme="minorHAnsi" w:cstheme="minorBidi"/>
                <w:noProof/>
                <w:color w:val="auto"/>
                <w:sz w:val="24"/>
                <w:szCs w:val="24"/>
              </w:rPr>
              <w:t>6</w:t>
            </w:r>
          </w:hyperlink>
          <w:r w:rsidR="00AA1494">
            <w:rPr>
              <w:noProof/>
            </w:rPr>
            <w:t>]</w:t>
          </w:r>
          <w:r w:rsidR="004235BA">
            <w:fldChar w:fldCharType="end"/>
          </w:r>
        </w:sdtContent>
      </w:sdt>
      <w:r>
        <w:t xml:space="preserve"> balances power across sets of devices; PowerMatcher nodes may in turn participate in higher-level sets of “devices.”</w:t>
      </w:r>
    </w:p>
    <w:p w14:paraId="7EDF1022" w14:textId="77777777" w:rsidR="00B93EE8" w:rsidRDefault="00B93EE8" w:rsidP="00AD355F">
      <w:pPr>
        <w:spacing w:after="120"/>
      </w:pPr>
      <w:r>
        <w:t>Products include Power.</w:t>
      </w:r>
    </w:p>
    <w:p w14:paraId="4E7AD380" w14:textId="77777777" w:rsidR="00B93EE8" w:rsidRDefault="00B93EE8" w:rsidP="00AD355F">
      <w:pPr>
        <w:spacing w:after="120"/>
      </w:pPr>
      <w:r>
        <w:t>Participants provide their demand and/or supply curves; these are used to match (or clear) the market for each time interval. Time intervals are sporadic so a clearing persists until one or more of the input curves change.</w:t>
      </w:r>
    </w:p>
    <w:p w14:paraId="5910A5BF" w14:textId="4E0F1125" w:rsidR="00B93EE8" w:rsidRDefault="00273608" w:rsidP="00AD355F">
      <w:pPr>
        <w:spacing w:after="120"/>
      </w:pPr>
      <w:r>
        <w:t xml:space="preserve">There are two ways that Energy Interoperation can be used </w:t>
      </w:r>
      <w:r w:rsidR="00BB1A2E">
        <w:t xml:space="preserve">to integrate with </w:t>
      </w:r>
      <w:r>
        <w:t xml:space="preserve">PowerMatcher services. </w:t>
      </w:r>
      <w:r w:rsidR="00B93EE8">
        <w:t xml:space="preserve">The </w:t>
      </w:r>
      <w:r>
        <w:t xml:space="preserve">PowerMatcher </w:t>
      </w:r>
      <w:r w:rsidR="00B93EE8">
        <w:t>demand/supply curves are expressed in the Common Transactive Services model either directly (using offer curves</w:t>
      </w:r>
      <w:r w:rsidR="00B93EE8">
        <w:rPr>
          <w:rStyle w:val="FootnoteReference"/>
        </w:rPr>
        <w:footnoteReference w:id="20"/>
      </w:r>
      <w:r w:rsidR="00B93EE8">
        <w:t xml:space="preserve">) or as a set of simultaneous tenders, where the clearing process </w:t>
      </w:r>
      <w:r w:rsidR="00D41ADC">
        <w:t xml:space="preserve">would </w:t>
      </w:r>
      <w:r w:rsidR="00B93EE8">
        <w:t>accept tenders up to the cleared quantity.</w:t>
      </w:r>
    </w:p>
    <w:p w14:paraId="1956B199" w14:textId="7AEEDF31" w:rsidR="00273608" w:rsidRDefault="00273608" w:rsidP="00AD355F">
      <w:pPr>
        <w:spacing w:after="120"/>
      </w:pPr>
      <w:r w:rsidRPr="00273608">
        <w:t>PowerMatcher uses time intervals differently from the other systems (which typically use nesting intervals). A PowerMatcher settlement is valid until the inputs change. See Section 5.</w:t>
      </w:r>
    </w:p>
    <w:p w14:paraId="6EB37ED4" w14:textId="77777777" w:rsidR="00B93EE8" w:rsidRDefault="00B93EE8" w:rsidP="0097191D">
      <w:pPr>
        <w:pStyle w:val="Heading2"/>
        <w:numPr>
          <w:ilvl w:val="1"/>
          <w:numId w:val="4"/>
        </w:numPr>
        <w:spacing w:after="120"/>
      </w:pPr>
      <w:r>
        <w:lastRenderedPageBreak/>
        <w:t>TEMIX</w:t>
      </w:r>
    </w:p>
    <w:p w14:paraId="7715812D" w14:textId="5C28C74E" w:rsidR="00B93EE8" w:rsidRDefault="00B93EE8" w:rsidP="00AD355F">
      <w:pPr>
        <w:spacing w:after="120"/>
      </w:pPr>
      <w:r>
        <w:t xml:space="preserve">TEMIX </w:t>
      </w:r>
      <w:sdt>
        <w:sdtPr>
          <w:id w:val="1549032076"/>
          <w:citation/>
        </w:sdtPr>
        <w:sdtContent>
          <w:r w:rsidR="004235BA">
            <w:fldChar w:fldCharType="begin"/>
          </w:r>
          <w:r w:rsidR="00D54EF1">
            <w:instrText xml:space="preserve">CITATION Caz11 \l 1033 </w:instrText>
          </w:r>
          <w:r w:rsidR="004235BA">
            <w:fldChar w:fldCharType="separate"/>
          </w:r>
          <w:r w:rsidR="00AA1494">
            <w:rPr>
              <w:noProof/>
            </w:rPr>
            <w:t>[</w:t>
          </w:r>
          <w:hyperlink w:anchor="Caz11" w:history="1">
            <w:r w:rsidR="00AA1494" w:rsidRPr="00AA1494">
              <w:rPr>
                <w:rStyle w:val="Heading2Char"/>
                <w:rFonts w:eastAsiaTheme="minorHAnsi" w:cstheme="minorBidi"/>
                <w:noProof/>
                <w:color w:val="auto"/>
                <w:sz w:val="24"/>
                <w:szCs w:val="24"/>
              </w:rPr>
              <w:t>22</w:t>
            </w:r>
          </w:hyperlink>
          <w:r w:rsidR="00AA1494">
            <w:rPr>
              <w:noProof/>
            </w:rPr>
            <w:t>]</w:t>
          </w:r>
          <w:r w:rsidR="004235BA">
            <w:fldChar w:fldCharType="end"/>
          </w:r>
        </w:sdtContent>
      </w:sdt>
      <w:r w:rsidR="004235BA">
        <w:t xml:space="preserve"> </w:t>
      </w:r>
      <w:r>
        <w:t>is a profile of OASIS Energy Interoperation: the service definitions are those of the Energy Interoperation TEMIX profile; the product definitions used are simplified to enhance liquidity and market performance.</w:t>
      </w:r>
    </w:p>
    <w:p w14:paraId="0F09866C" w14:textId="7F3F6167" w:rsidR="00B93EE8" w:rsidRDefault="00B93EE8" w:rsidP="00AD355F">
      <w:pPr>
        <w:spacing w:after="120"/>
      </w:pPr>
      <w:r>
        <w:t>Products include Energy</w:t>
      </w:r>
      <w:r w:rsidR="00E26C00">
        <w:t xml:space="preserve"> and Transport</w:t>
      </w:r>
      <w:r>
        <w:t>.</w:t>
      </w:r>
    </w:p>
    <w:p w14:paraId="7B76A670" w14:textId="7C021258" w:rsidR="00B93EE8" w:rsidRDefault="00B93EE8" w:rsidP="00AD355F">
      <w:pPr>
        <w:spacing w:after="120"/>
      </w:pPr>
      <w:r>
        <w:t>No adaptation</w:t>
      </w:r>
      <w:r w:rsidR="00273608">
        <w:t xml:space="preserve"> of Energy Interoperation services</w:t>
      </w:r>
      <w:r>
        <w:t xml:space="preserve"> is necessary. </w:t>
      </w:r>
    </w:p>
    <w:p w14:paraId="11DC024A" w14:textId="6472C44C" w:rsidR="00B93EE8" w:rsidRDefault="00B93EE8" w:rsidP="00AD355F">
      <w:pPr>
        <w:spacing w:after="120"/>
      </w:pPr>
      <w:r>
        <w:t>TEMIX restrictions on product definition and implications for market liquidity are relevant to market design and the factored out concepts. (See</w:t>
      </w:r>
      <w:r w:rsidR="00D5599A">
        <w:t xml:space="preserve"> </w:t>
      </w:r>
      <w:r w:rsidR="00D5599A">
        <w:fldChar w:fldCharType="begin"/>
      </w:r>
      <w:r w:rsidR="00D5599A">
        <w:instrText xml:space="preserve"> REF _Ref317353758 \h </w:instrText>
      </w:r>
      <w:r w:rsidR="00D5599A">
        <w:fldChar w:fldCharType="separate"/>
      </w:r>
      <w:r w:rsidR="005E752B">
        <w:t xml:space="preserve">Products </w:t>
      </w:r>
      <w:r w:rsidR="00D5599A">
        <w:fldChar w:fldCharType="end"/>
      </w:r>
      <w:r w:rsidR="00D5599A">
        <w:t xml:space="preserve"> above)</w:t>
      </w:r>
      <w:r>
        <w:t xml:space="preserve"> </w:t>
      </w:r>
    </w:p>
    <w:p w14:paraId="2E88AADA" w14:textId="77777777" w:rsidR="005846AF" w:rsidRDefault="005846AF" w:rsidP="0097191D">
      <w:pPr>
        <w:pStyle w:val="Heading2"/>
        <w:numPr>
          <w:ilvl w:val="1"/>
          <w:numId w:val="4"/>
        </w:numPr>
        <w:spacing w:after="120"/>
      </w:pPr>
      <w:bookmarkStart w:id="9" w:name="_Ref317957661"/>
      <w:r>
        <w:t>Products in the Transactive Systems of Interest</w:t>
      </w:r>
      <w:bookmarkEnd w:id="9"/>
    </w:p>
    <w:p w14:paraId="4C0F4157" w14:textId="77777777" w:rsidR="005846AF" w:rsidRDefault="005846AF" w:rsidP="00AD355F">
      <w:pPr>
        <w:spacing w:after="120"/>
      </w:pPr>
      <w:r>
        <w:t xml:space="preserve">The </w:t>
      </w:r>
      <w:r>
        <w:fldChar w:fldCharType="begin"/>
      </w:r>
      <w:r>
        <w:instrText xml:space="preserve"> REF _Ref317353444 \h </w:instrText>
      </w:r>
      <w:r>
        <w:fldChar w:fldCharType="separate"/>
      </w:r>
      <w:r w:rsidR="005E752B">
        <w:t>Transactive Systems of Interest</w:t>
      </w:r>
      <w:r>
        <w:fldChar w:fldCharType="end"/>
      </w:r>
      <w:r>
        <w:t xml:space="preserve"> reviewed in this work use overlapping products. Specifically,</w:t>
      </w:r>
    </w:p>
    <w:p w14:paraId="004A7FC6" w14:textId="77777777" w:rsidR="005846AF" w:rsidRDefault="005846AF" w:rsidP="00B21F29">
      <w:pPr>
        <w:pStyle w:val="ListParagraph"/>
        <w:numPr>
          <w:ilvl w:val="0"/>
          <w:numId w:val="16"/>
        </w:numPr>
      </w:pPr>
      <w:r>
        <w:t>PowerMatcher negotiates power.  It balances power demand through the real-time exchange of power price curves and responsive or automated control of grid attached systems and devices</w:t>
      </w:r>
    </w:p>
    <w:p w14:paraId="45148840" w14:textId="77777777" w:rsidR="005846AF" w:rsidRPr="00393828" w:rsidRDefault="005846AF" w:rsidP="00B21F29">
      <w:pPr>
        <w:pStyle w:val="ListParagraph"/>
        <w:numPr>
          <w:ilvl w:val="0"/>
          <w:numId w:val="16"/>
        </w:numPr>
      </w:pPr>
      <w:r w:rsidRPr="00393828">
        <w:t xml:space="preserve">TEMIX addresses both physical and financial transactions for energy and energy transport and physical options on those products that are ancillary service and capacity products. TEMIX makes no assumptions as to the market or negotiation process. </w:t>
      </w:r>
      <w:r w:rsidRPr="00393828">
        <w:rPr>
          <w:rStyle w:val="FootnoteReference"/>
        </w:rPr>
        <w:footnoteReference w:id="21"/>
      </w:r>
    </w:p>
    <w:p w14:paraId="3FBBD75E" w14:textId="77777777" w:rsidR="005846AF" w:rsidRDefault="005846AF" w:rsidP="00B21F29">
      <w:pPr>
        <w:pStyle w:val="ListParagraph"/>
        <w:numPr>
          <w:ilvl w:val="0"/>
          <w:numId w:val="16"/>
        </w:numPr>
      </w:pPr>
      <w:r>
        <w:t>CIM Markets address energy and financial products including options and transport.  They concern power, energy, and regulation services in an extensible framework.</w:t>
      </w:r>
    </w:p>
    <w:p w14:paraId="24420A64" w14:textId="77777777" w:rsidR="005846AF" w:rsidRDefault="005846AF" w:rsidP="00B21F29">
      <w:pPr>
        <w:pStyle w:val="ListParagraph"/>
        <w:numPr>
          <w:ilvl w:val="0"/>
          <w:numId w:val="16"/>
        </w:numPr>
      </w:pPr>
      <w:r>
        <w:t>PNW uses selected energy products and information exchange, balancing demand and supply through the near-real time exchange of price (forward value information) of energy and the calculated load curves. Information provides an incentive signal to improve demand elasticity, and information feedback serves to improve operations planning for transmission and distribution operations.</w:t>
      </w:r>
    </w:p>
    <w:p w14:paraId="14955E9F" w14:textId="77777777" w:rsidR="005846AF" w:rsidRDefault="005846AF" w:rsidP="00AD355F">
      <w:pPr>
        <w:spacing w:after="120"/>
      </w:pPr>
      <w:r>
        <w:t>Detailed notes on the transactive environments and relationship to the Common Transactive Services are in Annex 1.</w:t>
      </w:r>
    </w:p>
    <w:p w14:paraId="415BA765" w14:textId="654722E4" w:rsidR="005846AF" w:rsidRDefault="005846AF" w:rsidP="00AD355F">
      <w:pPr>
        <w:spacing w:after="120"/>
      </w:pPr>
      <w:r>
        <w:t>Power and Energy are two sides of the same coin: energy is the time integral of power over a time interval, and power is the rate of delivery of energy. The Common Transactive Services product definition classes support both, and applications may focus on energy and/or power depending on the subject of transactive balancing. Only CTS and CIM Markets support both.</w:t>
      </w:r>
      <w:r w:rsidR="00A606D8">
        <w:t xml:space="preserve"> See Section </w:t>
      </w:r>
      <w:r w:rsidR="00C245BF">
        <w:fldChar w:fldCharType="begin"/>
      </w:r>
      <w:r w:rsidR="00C245BF">
        <w:instrText xml:space="preserve"> REF _Ref315355838 \r \h </w:instrText>
      </w:r>
      <w:r w:rsidR="00C245BF">
        <w:fldChar w:fldCharType="separate"/>
      </w:r>
      <w:r w:rsidR="005E752B">
        <w:t>8</w:t>
      </w:r>
      <w:r w:rsidR="00C245BF">
        <w:fldChar w:fldCharType="end"/>
      </w:r>
      <w:r w:rsidR="00C245BF">
        <w:t xml:space="preserve"> introduction and Section </w:t>
      </w:r>
      <w:r w:rsidR="003352D2">
        <w:fldChar w:fldCharType="begin"/>
      </w:r>
      <w:r w:rsidR="003352D2">
        <w:instrText xml:space="preserve"> REF _Ref323413307 \r \h </w:instrText>
      </w:r>
      <w:r w:rsidR="003352D2">
        <w:fldChar w:fldCharType="separate"/>
      </w:r>
      <w:r w:rsidR="005E752B">
        <w:t>6.3</w:t>
      </w:r>
      <w:r w:rsidR="003352D2">
        <w:fldChar w:fldCharType="end"/>
      </w:r>
      <w:r w:rsidR="003352D2">
        <w:t>.</w:t>
      </w:r>
    </w:p>
    <w:p w14:paraId="40507E11" w14:textId="18B47B8A" w:rsidR="00B93EE8" w:rsidRDefault="00B93EE8" w:rsidP="00AD355F">
      <w:pPr>
        <w:pStyle w:val="Heading1"/>
        <w:spacing w:before="0" w:after="120"/>
      </w:pPr>
      <w:r>
        <w:lastRenderedPageBreak/>
        <w:t xml:space="preserve">Two Example Applications </w:t>
      </w:r>
      <w:r w:rsidR="005846AF">
        <w:t>for</w:t>
      </w:r>
      <w:r>
        <w:t xml:space="preserve"> the Common Transactive Services</w:t>
      </w:r>
    </w:p>
    <w:p w14:paraId="1506E70C" w14:textId="495D5131" w:rsidR="00BB5437" w:rsidRPr="00BB5437" w:rsidRDefault="00BB5437" w:rsidP="00BB5437">
      <w:r>
        <w:t>We close with two examples.</w:t>
      </w:r>
    </w:p>
    <w:p w14:paraId="6B0119F4" w14:textId="77777777" w:rsidR="00B93EE8" w:rsidRDefault="00B93EE8" w:rsidP="0097191D">
      <w:pPr>
        <w:pStyle w:val="Heading2"/>
        <w:numPr>
          <w:ilvl w:val="1"/>
          <w:numId w:val="4"/>
        </w:numPr>
        <w:spacing w:after="120"/>
      </w:pPr>
      <w:r>
        <w:t>A Sample Application—Transactive ADR</w:t>
      </w:r>
    </w:p>
    <w:p w14:paraId="51F16070" w14:textId="6D3E443B" w:rsidR="00B93EE8" w:rsidRDefault="00B93EE8" w:rsidP="00AD355F">
      <w:pPr>
        <w:spacing w:after="120"/>
      </w:pPr>
      <w:r>
        <w:t>Consider OpenADR 2b</w:t>
      </w:r>
      <w:r w:rsidR="004235BA">
        <w:t xml:space="preserve"> </w:t>
      </w:r>
      <w:sdt>
        <w:sdtPr>
          <w:id w:val="-510145333"/>
          <w:citation/>
        </w:sdtPr>
        <w:sdtContent>
          <w:r w:rsidR="004235BA">
            <w:fldChar w:fldCharType="begin"/>
          </w:r>
          <w:r w:rsidR="004235BA">
            <w:instrText xml:space="preserve"> CITATION Int141 \l 1033 </w:instrText>
          </w:r>
          <w:r w:rsidR="004235BA">
            <w:fldChar w:fldCharType="separate"/>
          </w:r>
          <w:r w:rsidR="00AA1494">
            <w:rPr>
              <w:noProof/>
            </w:rPr>
            <w:t>[</w:t>
          </w:r>
          <w:hyperlink w:anchor="Int141" w:history="1">
            <w:r w:rsidR="00AA1494" w:rsidRPr="00AA1494">
              <w:rPr>
                <w:rStyle w:val="Heading2Char"/>
                <w:rFonts w:eastAsiaTheme="minorHAnsi" w:cstheme="minorBidi"/>
                <w:noProof/>
                <w:color w:val="auto"/>
                <w:sz w:val="24"/>
                <w:szCs w:val="24"/>
              </w:rPr>
              <w:t>23</w:t>
            </w:r>
          </w:hyperlink>
          <w:r w:rsidR="00AA1494">
            <w:rPr>
              <w:noProof/>
            </w:rPr>
            <w:t>]</w:t>
          </w:r>
          <w:r w:rsidR="004235BA">
            <w:fldChar w:fldCharType="end"/>
          </w:r>
        </w:sdtContent>
      </w:sdt>
      <w:r>
        <w:t xml:space="preserve"> with the addition of the four Common Transactive Services. The profile implementation would be able </w:t>
      </w:r>
      <w:r w:rsidR="00387A4A">
        <w:t>to interact transactively, and c</w:t>
      </w:r>
      <w:r>
        <w:t>ould use the same security and technologies as the OpenADR 2b profile.</w:t>
      </w:r>
      <w:r w:rsidR="004235BA">
        <w:t xml:space="preserve">  International Standard IEC IS 62746-10-1 </w:t>
      </w:r>
      <w:r w:rsidR="00864E5F">
        <w:t xml:space="preserve">OpenADR </w:t>
      </w:r>
      <w:r w:rsidR="004235BA">
        <w:t>is in progress.</w:t>
      </w:r>
    </w:p>
    <w:p w14:paraId="340D96AF" w14:textId="488BF5E5" w:rsidR="00B93EE8" w:rsidRDefault="00B93EE8" w:rsidP="00AD355F">
      <w:pPr>
        <w:spacing w:after="120"/>
      </w:pPr>
      <w:r>
        <w:t xml:space="preserve">The service definitions do not need to be adapted </w:t>
      </w:r>
      <w:r w:rsidR="009943D5">
        <w:t xml:space="preserve">at the semantic level. For interactions and security, the </w:t>
      </w:r>
      <w:r>
        <w:t>transformation</w:t>
      </w:r>
      <w:r w:rsidR="009943D5">
        <w:t>s</w:t>
      </w:r>
      <w:r>
        <w:t xml:space="preserve"> </w:t>
      </w:r>
      <w:r w:rsidR="009943D5">
        <w:t xml:space="preserve">have </w:t>
      </w:r>
      <w:r>
        <w:t>already been done for the Demand Response service definitions</w:t>
      </w:r>
      <w:r w:rsidR="009943D5">
        <w:t>.</w:t>
      </w:r>
    </w:p>
    <w:p w14:paraId="03C30214" w14:textId="33FD713A" w:rsidR="00F90D6E" w:rsidRDefault="00F90D6E" w:rsidP="00AD355F">
      <w:pPr>
        <w:spacing w:after="120"/>
      </w:pPr>
      <w:r>
        <w:t>Transactive ADR is a team in the Transactive Energy Challenge</w:t>
      </w:r>
      <w:r w:rsidR="00AC0801">
        <w:t>.</w:t>
      </w:r>
      <w:sdt>
        <w:sdtPr>
          <w:id w:val="-236240840"/>
          <w:citation/>
        </w:sdtPr>
        <w:sdtContent>
          <w:r w:rsidR="00387A4A">
            <w:fldChar w:fldCharType="begin"/>
          </w:r>
          <w:r w:rsidR="00387A4A">
            <w:instrText xml:space="preserve"> CITATION NIS16 \l 1033 </w:instrText>
          </w:r>
          <w:r w:rsidR="00387A4A">
            <w:fldChar w:fldCharType="separate"/>
          </w:r>
          <w:r w:rsidR="00AA1494">
            <w:rPr>
              <w:noProof/>
            </w:rPr>
            <w:t xml:space="preserve"> [</w:t>
          </w:r>
          <w:hyperlink w:anchor="NIS16" w:history="1">
            <w:r w:rsidR="00AA1494" w:rsidRPr="00AA1494">
              <w:rPr>
                <w:rStyle w:val="Heading2Char"/>
                <w:rFonts w:eastAsiaTheme="minorHAnsi" w:cstheme="minorBidi"/>
                <w:noProof/>
                <w:color w:val="auto"/>
                <w:sz w:val="24"/>
                <w:szCs w:val="24"/>
              </w:rPr>
              <w:t>10</w:t>
            </w:r>
          </w:hyperlink>
          <w:r w:rsidR="00AA1494">
            <w:rPr>
              <w:noProof/>
            </w:rPr>
            <w:t>]</w:t>
          </w:r>
          <w:r w:rsidR="00387A4A">
            <w:fldChar w:fldCharType="end"/>
          </w:r>
        </w:sdtContent>
      </w:sdt>
    </w:p>
    <w:p w14:paraId="085A83EE" w14:textId="5C3491FD" w:rsidR="00B93EE8" w:rsidRDefault="00B93EE8" w:rsidP="0097191D">
      <w:pPr>
        <w:pStyle w:val="Heading2"/>
        <w:numPr>
          <w:ilvl w:val="1"/>
          <w:numId w:val="4"/>
        </w:numPr>
        <w:spacing w:after="120"/>
      </w:pPr>
      <w:r>
        <w:t>A Sample Application—MIT Transactive Control Algorithm</w:t>
      </w:r>
    </w:p>
    <w:p w14:paraId="1383F876" w14:textId="6B1525BA" w:rsidR="00B93EE8" w:rsidRDefault="00B93EE8" w:rsidP="005112ED">
      <w:pPr>
        <w:spacing w:after="120"/>
      </w:pPr>
      <w:r>
        <w:t xml:space="preserve">This </w:t>
      </w:r>
      <w:r w:rsidR="003352D2">
        <w:t xml:space="preserve">MIT </w:t>
      </w:r>
      <w:r w:rsidR="009943D5">
        <w:t xml:space="preserve">project sends </w:t>
      </w:r>
      <w:r w:rsidR="005112ED">
        <w:t>the demand and supply curve value at a single point along with the slope at that point.</w:t>
      </w:r>
      <w:r w:rsidR="005112ED" w:rsidDel="005112ED">
        <w:t xml:space="preserve"> </w:t>
      </w:r>
      <w:sdt>
        <w:sdtPr>
          <w:id w:val="-1186515203"/>
          <w:citation/>
        </w:sdtPr>
        <w:sdtContent>
          <w:r w:rsidR="00BC5785">
            <w:fldChar w:fldCharType="begin"/>
          </w:r>
          <w:r w:rsidR="00BC5785">
            <w:instrText xml:space="preserve"> CITATION Bej14 \l 1033 </w:instrText>
          </w:r>
          <w:r w:rsidR="00BC5785">
            <w:fldChar w:fldCharType="separate"/>
          </w:r>
          <w:r w:rsidR="00AA1494">
            <w:rPr>
              <w:noProof/>
            </w:rPr>
            <w:t>[</w:t>
          </w:r>
          <w:hyperlink w:anchor="Bej14" w:history="1">
            <w:r w:rsidR="00AA1494" w:rsidRPr="00AA1494">
              <w:rPr>
                <w:rStyle w:val="Heading2Char"/>
                <w:rFonts w:eastAsiaTheme="minorHAnsi" w:cstheme="minorBidi"/>
                <w:noProof/>
                <w:color w:val="auto"/>
                <w:sz w:val="24"/>
                <w:szCs w:val="24"/>
              </w:rPr>
              <w:t>11</w:t>
            </w:r>
          </w:hyperlink>
          <w:r w:rsidR="00AA1494">
            <w:rPr>
              <w:noProof/>
            </w:rPr>
            <w:t>]</w:t>
          </w:r>
          <w:r w:rsidR="00BC5785">
            <w:fldChar w:fldCharType="end"/>
          </w:r>
        </w:sdtContent>
      </w:sdt>
      <w:sdt>
        <w:sdtPr>
          <w:id w:val="-614514265"/>
          <w:citation/>
        </w:sdtPr>
        <w:sdtContent>
          <w:r w:rsidR="00BC5785">
            <w:fldChar w:fldCharType="begin"/>
          </w:r>
          <w:r w:rsidR="00BC5785">
            <w:instrText xml:space="preserve"> CITATION Knu15 \l 1033 </w:instrText>
          </w:r>
          <w:r w:rsidR="00BC5785">
            <w:fldChar w:fldCharType="separate"/>
          </w:r>
          <w:r w:rsidR="00AA1494">
            <w:rPr>
              <w:noProof/>
            </w:rPr>
            <w:t xml:space="preserve"> [</w:t>
          </w:r>
          <w:hyperlink w:anchor="Knu15" w:history="1">
            <w:r w:rsidR="00AA1494" w:rsidRPr="00AA1494">
              <w:rPr>
                <w:rStyle w:val="Heading2Char"/>
                <w:rFonts w:eastAsiaTheme="minorHAnsi" w:cstheme="minorBidi"/>
                <w:noProof/>
                <w:color w:val="auto"/>
                <w:sz w:val="24"/>
                <w:szCs w:val="24"/>
              </w:rPr>
              <w:t>12</w:t>
            </w:r>
          </w:hyperlink>
          <w:r w:rsidR="00AA1494">
            <w:rPr>
              <w:noProof/>
            </w:rPr>
            <w:t>]</w:t>
          </w:r>
          <w:r w:rsidR="00BC5785">
            <w:fldChar w:fldCharType="end"/>
          </w:r>
        </w:sdtContent>
      </w:sdt>
      <w:r>
        <w:t xml:space="preserve"> The algorithm converges over a fairly short time period, requesting additional demand/supply as well as slopes during the process.</w:t>
      </w:r>
    </w:p>
    <w:p w14:paraId="48DF86C8" w14:textId="6474660F" w:rsidR="00B93EE8" w:rsidRDefault="00B93EE8" w:rsidP="00AD355F">
      <w:pPr>
        <w:spacing w:after="120"/>
      </w:pPr>
      <w:r>
        <w:t>An extension to a supply or demand curve-based tender could be defined to carry the additional information.</w:t>
      </w:r>
      <w:r w:rsidR="00B93920">
        <w:t xml:space="preserve"> There are plans to experiment with these algorithms in a transactive microgrid.</w:t>
      </w:r>
      <w:sdt>
        <w:sdtPr>
          <w:id w:val="-1297444020"/>
          <w:citation/>
        </w:sdtPr>
        <w:sdtContent>
          <w:r w:rsidR="00B93920">
            <w:fldChar w:fldCharType="begin"/>
          </w:r>
          <w:r w:rsidR="00B93920">
            <w:instrText xml:space="preserve"> CITATION Tra1 \l 1033 </w:instrText>
          </w:r>
          <w:r w:rsidR="00B93920">
            <w:fldChar w:fldCharType="separate"/>
          </w:r>
          <w:r w:rsidR="00AA1494">
            <w:rPr>
              <w:noProof/>
            </w:rPr>
            <w:t xml:space="preserve"> [</w:t>
          </w:r>
          <w:hyperlink w:anchor="Tra1" w:history="1">
            <w:r w:rsidR="00AA1494" w:rsidRPr="00AA1494">
              <w:rPr>
                <w:rStyle w:val="Heading2Char"/>
                <w:rFonts w:eastAsiaTheme="minorHAnsi" w:cstheme="minorBidi"/>
                <w:noProof/>
                <w:color w:val="auto"/>
                <w:sz w:val="24"/>
                <w:szCs w:val="24"/>
              </w:rPr>
              <w:t>24</w:t>
            </w:r>
          </w:hyperlink>
          <w:r w:rsidR="00AA1494">
            <w:rPr>
              <w:noProof/>
            </w:rPr>
            <w:t>]</w:t>
          </w:r>
          <w:r w:rsidR="00B93920">
            <w:fldChar w:fldCharType="end"/>
          </w:r>
        </w:sdtContent>
      </w:sdt>
    </w:p>
    <w:p w14:paraId="42427E2C" w14:textId="77777777" w:rsidR="00B93EE8" w:rsidRDefault="00B93EE8" w:rsidP="00AD355F">
      <w:pPr>
        <w:pStyle w:val="Heading1"/>
        <w:spacing w:before="0" w:after="120"/>
      </w:pPr>
      <w:r>
        <w:t>Discussion and Conclusions</w:t>
      </w:r>
    </w:p>
    <w:p w14:paraId="0F6BD55B" w14:textId="02400D85" w:rsidR="004A79C9" w:rsidRDefault="003720E2" w:rsidP="00AD355F">
      <w:pPr>
        <w:spacing w:after="120"/>
      </w:pPr>
      <w:r>
        <w:t>We have defined</w:t>
      </w:r>
      <w:r w:rsidR="005846AF">
        <w:t xml:space="preserve"> and </w:t>
      </w:r>
      <w:r w:rsidR="00B93EE8">
        <w:t>use</w:t>
      </w:r>
      <w:r>
        <w:t>d</w:t>
      </w:r>
      <w:r w:rsidR="00B93EE8">
        <w:t xml:space="preserve"> a small set of </w:t>
      </w:r>
      <w:r>
        <w:t xml:space="preserve">standard-defined Common Transactive Services. </w:t>
      </w:r>
      <w:r w:rsidR="004A79C9">
        <w:t xml:space="preserve">The transactive services </w:t>
      </w:r>
      <w:r>
        <w:t>from the</w:t>
      </w:r>
      <w:r w:rsidR="004A79C9">
        <w:t xml:space="preserve"> Energy Interoperation </w:t>
      </w:r>
      <w:sdt>
        <w:sdtPr>
          <w:id w:val="-2047204039"/>
          <w:citation/>
        </w:sdtPr>
        <w:sdtContent>
          <w:r w:rsidR="004A79C9">
            <w:fldChar w:fldCharType="begin"/>
          </w:r>
          <w:r w:rsidR="004A79C9">
            <w:instrText xml:space="preserve"> CITATION Org12 \l 1033 </w:instrText>
          </w:r>
          <w:r w:rsidR="004A79C9">
            <w:fldChar w:fldCharType="separate"/>
          </w:r>
          <w:r w:rsidR="00AA1494">
            <w:rPr>
              <w:noProof/>
            </w:rPr>
            <w:t>[</w:t>
          </w:r>
          <w:hyperlink w:anchor="Org12" w:history="1">
            <w:r w:rsidR="00AA1494" w:rsidRPr="00AA1494">
              <w:rPr>
                <w:rStyle w:val="Heading2Char"/>
                <w:rFonts w:eastAsiaTheme="minorHAnsi" w:cstheme="minorBidi"/>
                <w:noProof/>
                <w:color w:val="auto"/>
                <w:sz w:val="24"/>
                <w:szCs w:val="24"/>
              </w:rPr>
              <w:t>4</w:t>
            </w:r>
          </w:hyperlink>
          <w:r w:rsidR="00AA1494">
            <w:rPr>
              <w:noProof/>
            </w:rPr>
            <w:t>]</w:t>
          </w:r>
          <w:r w:rsidR="004A79C9">
            <w:fldChar w:fldCharType="end"/>
          </w:r>
        </w:sdtContent>
      </w:sdt>
      <w:r w:rsidR="004A79C9">
        <w:t xml:space="preserve"> </w:t>
      </w:r>
      <w:r>
        <w:t xml:space="preserve">standard </w:t>
      </w:r>
      <w:r w:rsidR="004A79C9">
        <w:t>(in progress as IEC 62939-3) were designed as a bridge and proved to be suited to our purpose.</w:t>
      </w:r>
    </w:p>
    <w:p w14:paraId="0BEF3DD2" w14:textId="68503E71" w:rsidR="00B93EE8" w:rsidRDefault="003B63FF" w:rsidP="00AD355F">
      <w:pPr>
        <w:spacing w:after="120"/>
      </w:pPr>
      <w:r>
        <w:t xml:space="preserve">We have sketched </w:t>
      </w:r>
      <w:r w:rsidR="00B93EE8">
        <w:t xml:space="preserve">how </w:t>
      </w:r>
      <w:r w:rsidR="003720E2">
        <w:t>these C</w:t>
      </w:r>
      <w:r w:rsidR="0089569B">
        <w:t xml:space="preserve">ommon </w:t>
      </w:r>
      <w:r w:rsidR="003720E2">
        <w:t>T</w:t>
      </w:r>
      <w:r>
        <w:t xml:space="preserve">ransactive </w:t>
      </w:r>
      <w:r w:rsidR="003720E2">
        <w:t>S</w:t>
      </w:r>
      <w:r w:rsidR="0089569B">
        <w:t>ervices</w:t>
      </w:r>
      <w:r w:rsidR="00B93EE8">
        <w:t xml:space="preserve"> </w:t>
      </w:r>
      <w:r w:rsidR="003720E2">
        <w:t>simplify integration and interoperation between the Transactive Systems we examined</w:t>
      </w:r>
      <w:r w:rsidR="00B93EE8">
        <w:t>. This means that a project in any of these environ</w:t>
      </w:r>
      <w:r>
        <w:t xml:space="preserve">ments may benefit by using the </w:t>
      </w:r>
      <w:r w:rsidR="00B93EE8">
        <w:t>Common Transactive Services</w:t>
      </w:r>
      <w:r>
        <w:t>—for integration in a surrounding transactive system, to mix and match diverse transactive systems, and as a simple complete set of transactive services for new implementations.</w:t>
      </w:r>
    </w:p>
    <w:p w14:paraId="0CF8EC79" w14:textId="45B3034A" w:rsidR="003720E2" w:rsidRDefault="003720E2" w:rsidP="00AD355F">
      <w:pPr>
        <w:spacing w:after="120"/>
      </w:pPr>
      <w:r>
        <w:t>For example, the PNW system goes to a system operator such as a utility. Could the PNW techniques be extended to microgrids contained in that utility’s domain? Must those microgrids use PNW services? Certainly not</w:t>
      </w:r>
      <w:r w:rsidR="005C6CAD">
        <w:t>—what’s</w:t>
      </w:r>
      <w:r>
        <w:t xml:space="preserve"> </w:t>
      </w:r>
      <w:r w:rsidR="005C6CAD">
        <w:t>needed</w:t>
      </w:r>
      <w:r>
        <w:t xml:space="preserve"> is to play nicely at the boundaries. That is achieved by the Common Services approach.</w:t>
      </w:r>
    </w:p>
    <w:p w14:paraId="0C4C3FCC" w14:textId="212C39A0" w:rsidR="00B93EE8" w:rsidRDefault="00B93EE8" w:rsidP="00AD355F">
      <w:pPr>
        <w:spacing w:after="120"/>
      </w:pPr>
      <w:r>
        <w:lastRenderedPageBreak/>
        <w:t xml:space="preserve">The </w:t>
      </w:r>
      <w:r w:rsidR="00E243F7">
        <w:t xml:space="preserve">Common Transactive Services </w:t>
      </w:r>
      <w:r w:rsidR="000E4938">
        <w:t>address</w:t>
      </w:r>
      <w:r>
        <w:t xml:space="preserve"> </w:t>
      </w:r>
      <w:r w:rsidR="003720E2">
        <w:t>the [abstracted]</w:t>
      </w:r>
      <w:r>
        <w:t xml:space="preserve"> stages of a transaction’s life cycle</w:t>
      </w:r>
      <w:r w:rsidR="003720E2">
        <w:rPr>
          <w:rStyle w:val="FootnoteReference"/>
        </w:rPr>
        <w:footnoteReference w:id="22"/>
      </w:r>
      <w:r>
        <w:t>, and</w:t>
      </w:r>
      <w:r w:rsidR="000E4938">
        <w:t xml:space="preserve"> are</w:t>
      </w:r>
      <w:r>
        <w:t xml:space="preserve"> </w:t>
      </w:r>
      <w:r w:rsidR="003720E2">
        <w:t>expressed</w:t>
      </w:r>
      <w:r>
        <w:t xml:space="preserve"> as four services.</w:t>
      </w:r>
      <w:r w:rsidR="00E243F7">
        <w:t xml:space="preserve"> They are easily automatable and place responsibility for standards of performance with the transacting parties, consistent with the GWAC TE Principles</w:t>
      </w:r>
      <w:r w:rsidR="003B21DB">
        <w:t xml:space="preserve"> and</w:t>
      </w:r>
      <w:r w:rsidR="00A4254E">
        <w:t xml:space="preserve"> further</w:t>
      </w:r>
      <w:r w:rsidR="003B21DB">
        <w:t xml:space="preserve"> support the TEA Transactive Energy </w:t>
      </w:r>
      <w:r w:rsidR="000E4938">
        <w:t>description</w:t>
      </w:r>
      <w:r w:rsidR="003B21DB">
        <w:t>.</w:t>
      </w:r>
    </w:p>
    <w:p w14:paraId="367401B7" w14:textId="4577F5AD" w:rsidR="00AE2B3E" w:rsidRPr="00AD08A0" w:rsidRDefault="00B93EE8" w:rsidP="00B21F29">
      <w:pPr>
        <w:spacing w:after="120"/>
      </w:pPr>
      <w:r>
        <w:t xml:space="preserve">We recommend that implementers </w:t>
      </w:r>
      <w:r w:rsidR="000E4938">
        <w:t xml:space="preserve">and integrators </w:t>
      </w:r>
      <w:r>
        <w:t>of Transactive Energy</w:t>
      </w:r>
      <w:r w:rsidR="000E4938">
        <w:t xml:space="preserve"> Systems</w:t>
      </w:r>
      <w:r>
        <w:t xml:space="preserve"> and other teams in the NIST Transactive Energy Challenge use these Common Services to</w:t>
      </w:r>
      <w:r w:rsidR="000E4938">
        <w:t xml:space="preserve"> simulate simulations, generalize results, and to</w:t>
      </w:r>
      <w:r>
        <w:t xml:space="preserve"> accelerate their work.</w:t>
      </w:r>
      <w:bookmarkStart w:id="10" w:name="_GoBack"/>
      <w:bookmarkEnd w:id="10"/>
      <w:r w:rsidR="00AE2B3E">
        <w:br w:type="page"/>
      </w:r>
    </w:p>
    <w:sdt>
      <w:sdtPr>
        <w:rPr>
          <w:rFonts w:eastAsiaTheme="minorHAnsi" w:cstheme="minorBidi"/>
          <w:color w:val="auto"/>
          <w:sz w:val="24"/>
          <w:szCs w:val="24"/>
        </w:rPr>
        <w:id w:val="-1009523875"/>
        <w:docPartObj>
          <w:docPartGallery w:val="Bibliographies"/>
          <w:docPartUnique/>
        </w:docPartObj>
      </w:sdtPr>
      <w:sdtContent>
        <w:p w14:paraId="5819CFB5" w14:textId="0EC97716" w:rsidR="00C3143A" w:rsidRDefault="00C3143A">
          <w:pPr>
            <w:pStyle w:val="Heading1"/>
          </w:pPr>
          <w:r>
            <w:t>Bibliography</w:t>
          </w:r>
        </w:p>
        <w:sdt>
          <w:sdtPr>
            <w:id w:val="111145805"/>
            <w:bibliography/>
          </w:sdtPr>
          <w:sdtContent>
            <w:p w14:paraId="39A5CC3C" w14:textId="77777777" w:rsidR="00AA1494" w:rsidRDefault="00C3143A" w:rsidP="00AA1494">
              <w:pPr>
                <w:pStyle w:val="Bibliography"/>
                <w:rPr>
                  <w:rFonts w:cs="Times New Roman"/>
                  <w:noProof/>
                  <w:vanish/>
                </w:rPr>
              </w:pPr>
              <w:r>
                <w:fldChar w:fldCharType="begin"/>
              </w:r>
              <w:r>
                <w:instrText xml:space="preserve"> BIBLIOGRAPHY </w:instrText>
              </w:r>
              <w:r>
                <w:fldChar w:fldCharType="separate"/>
              </w:r>
              <w:r w:rsidR="00AA1494">
                <w:rPr>
                  <w:rFonts w:cs="Times New Roman"/>
                  <w:noProof/>
                  <w:vanish/>
                </w:rPr>
                <w:t>x</w:t>
              </w:r>
            </w:p>
            <w:tbl>
              <w:tblPr>
                <w:tblW w:w="5868"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16"/>
                <w:gridCol w:w="9518"/>
              </w:tblGrid>
              <w:tr w:rsidR="005F6E6B" w14:paraId="7A070625" w14:textId="77777777" w:rsidTr="005F6E6B">
                <w:trPr>
                  <w:tblCellSpacing w:w="15" w:type="dxa"/>
                </w:trPr>
                <w:tc>
                  <w:tcPr>
                    <w:tcW w:w="235" w:type="pct"/>
                    <w:hideMark/>
                  </w:tcPr>
                  <w:p w14:paraId="2898ED45" w14:textId="77777777" w:rsidR="00AA1494" w:rsidRDefault="00AA1494">
                    <w:pPr>
                      <w:pStyle w:val="Bibliography"/>
                      <w:jc w:val="right"/>
                      <w:rPr>
                        <w:rFonts w:cs="Times New Roman"/>
                        <w:noProof/>
                      </w:rPr>
                    </w:pPr>
                    <w:r>
                      <w:rPr>
                        <w:rFonts w:cs="Times New Roman"/>
                        <w:noProof/>
                      </w:rPr>
                      <w:t>[1]</w:t>
                    </w:r>
                  </w:p>
                </w:tc>
                <w:tc>
                  <w:tcPr>
                    <w:tcW w:w="4719" w:type="pct"/>
                    <w:hideMark/>
                  </w:tcPr>
                  <w:p w14:paraId="0DD330E2" w14:textId="77777777" w:rsidR="00AA1494" w:rsidRDefault="00AA1494">
                    <w:pPr>
                      <w:pStyle w:val="Bibliography"/>
                      <w:rPr>
                        <w:rFonts w:cs="Times New Roman"/>
                        <w:noProof/>
                      </w:rPr>
                    </w:pPr>
                    <w:r>
                      <w:rPr>
                        <w:rFonts w:cs="Times New Roman"/>
                        <w:noProof/>
                      </w:rPr>
                      <w:t xml:space="preserve">International Electrotechnical Commission. (2014, November) Smart grid user interface - Part 1: Interface overview and country perspectives. [Online]. </w:t>
                    </w:r>
                    <w:hyperlink r:id="rId16" w:history="1">
                      <w:r>
                        <w:rPr>
                          <w:rStyle w:val="Hyperlink"/>
                          <w:rFonts w:cs="Times New Roman"/>
                          <w:noProof/>
                        </w:rPr>
                        <w:t>https://webstore.iec.ch/publication/7478</w:t>
                      </w:r>
                    </w:hyperlink>
                  </w:p>
                </w:tc>
              </w:tr>
              <w:tr w:rsidR="005F6E6B" w14:paraId="37B9DFCE" w14:textId="77777777" w:rsidTr="005F6E6B">
                <w:trPr>
                  <w:tblCellSpacing w:w="15" w:type="dxa"/>
                </w:trPr>
                <w:tc>
                  <w:tcPr>
                    <w:tcW w:w="235" w:type="pct"/>
                    <w:hideMark/>
                  </w:tcPr>
                  <w:p w14:paraId="7A83B48C" w14:textId="77777777" w:rsidR="00AA1494" w:rsidRDefault="00AA1494">
                    <w:pPr>
                      <w:pStyle w:val="Bibliography"/>
                      <w:jc w:val="right"/>
                      <w:rPr>
                        <w:rFonts w:cs="Times New Roman"/>
                        <w:noProof/>
                      </w:rPr>
                    </w:pPr>
                    <w:r>
                      <w:rPr>
                        <w:rFonts w:cs="Times New Roman"/>
                        <w:noProof/>
                      </w:rPr>
                      <w:t>[2]</w:t>
                    </w:r>
                  </w:p>
                </w:tc>
                <w:tc>
                  <w:tcPr>
                    <w:tcW w:w="4719" w:type="pct"/>
                    <w:hideMark/>
                  </w:tcPr>
                  <w:p w14:paraId="29B2497C" w14:textId="77777777" w:rsidR="00AA1494" w:rsidRDefault="00AA1494">
                    <w:pPr>
                      <w:pStyle w:val="Bibliography"/>
                      <w:rPr>
                        <w:rFonts w:cs="Times New Roman"/>
                        <w:noProof/>
                      </w:rPr>
                    </w:pPr>
                    <w:r>
                      <w:rPr>
                        <w:rFonts w:cs="Times New Roman"/>
                        <w:noProof/>
                      </w:rPr>
                      <w:t xml:space="preserve">National Institute of Standards and Technology. (2014, September) NIST Framework and Roadmap for Smart Grid Interoperability Standards, Release 3.0. [Online]. </w:t>
                    </w:r>
                    <w:hyperlink r:id="rId17" w:history="1">
                      <w:r>
                        <w:rPr>
                          <w:rStyle w:val="Hyperlink"/>
                          <w:rFonts w:cs="Times New Roman"/>
                          <w:noProof/>
                        </w:rPr>
                        <w:t>http://nist.gov/smartgrid/upload/NIST-SP-1108r3.pdf</w:t>
                      </w:r>
                    </w:hyperlink>
                  </w:p>
                </w:tc>
              </w:tr>
              <w:tr w:rsidR="005F6E6B" w14:paraId="678D60C4" w14:textId="77777777" w:rsidTr="005F6E6B">
                <w:trPr>
                  <w:tblCellSpacing w:w="15" w:type="dxa"/>
                </w:trPr>
                <w:tc>
                  <w:tcPr>
                    <w:tcW w:w="235" w:type="pct"/>
                    <w:hideMark/>
                  </w:tcPr>
                  <w:p w14:paraId="70CBBFCB" w14:textId="77777777" w:rsidR="00AA1494" w:rsidRDefault="00AA1494">
                    <w:pPr>
                      <w:pStyle w:val="Bibliography"/>
                      <w:jc w:val="right"/>
                      <w:rPr>
                        <w:rFonts w:cs="Times New Roman"/>
                        <w:noProof/>
                      </w:rPr>
                    </w:pPr>
                    <w:r>
                      <w:rPr>
                        <w:rFonts w:cs="Times New Roman"/>
                        <w:noProof/>
                      </w:rPr>
                      <w:t>[3]</w:t>
                    </w:r>
                  </w:p>
                </w:tc>
                <w:tc>
                  <w:tcPr>
                    <w:tcW w:w="4719" w:type="pct"/>
                    <w:hideMark/>
                  </w:tcPr>
                  <w:p w14:paraId="5389C668" w14:textId="77777777" w:rsidR="00AA1494" w:rsidRDefault="00AA1494">
                    <w:pPr>
                      <w:pStyle w:val="Bibliography"/>
                      <w:rPr>
                        <w:rFonts w:cs="Times New Roman"/>
                        <w:noProof/>
                      </w:rPr>
                    </w:pPr>
                    <w:r>
                      <w:rPr>
                        <w:rFonts w:cs="Times New Roman"/>
                        <w:noProof/>
                      </w:rPr>
                      <w:t xml:space="preserve">GridWise Architecture Council. (2014, July) Transactive Energy Principles. [Online]. </w:t>
                    </w:r>
                    <w:hyperlink r:id="rId18" w:history="1">
                      <w:r>
                        <w:rPr>
                          <w:rStyle w:val="Hyperlink"/>
                          <w:rFonts w:cs="Times New Roman"/>
                          <w:noProof/>
                        </w:rPr>
                        <w:t>http://www.gridwiseac.org/pdfs/te_principles_slide_pnnl_sa_103625.pdf</w:t>
                      </w:r>
                    </w:hyperlink>
                  </w:p>
                </w:tc>
              </w:tr>
              <w:tr w:rsidR="005F6E6B" w14:paraId="75A67038" w14:textId="77777777" w:rsidTr="005F6E6B">
                <w:trPr>
                  <w:tblCellSpacing w:w="15" w:type="dxa"/>
                </w:trPr>
                <w:tc>
                  <w:tcPr>
                    <w:tcW w:w="235" w:type="pct"/>
                    <w:hideMark/>
                  </w:tcPr>
                  <w:p w14:paraId="35C62901" w14:textId="77777777" w:rsidR="00AA1494" w:rsidRDefault="00AA1494">
                    <w:pPr>
                      <w:pStyle w:val="Bibliography"/>
                      <w:jc w:val="right"/>
                      <w:rPr>
                        <w:rFonts w:cs="Times New Roman"/>
                        <w:noProof/>
                      </w:rPr>
                    </w:pPr>
                    <w:r>
                      <w:rPr>
                        <w:rFonts w:cs="Times New Roman"/>
                        <w:noProof/>
                      </w:rPr>
                      <w:t>[4]</w:t>
                    </w:r>
                  </w:p>
                </w:tc>
                <w:tc>
                  <w:tcPr>
                    <w:tcW w:w="4719" w:type="pct"/>
                    <w:hideMark/>
                  </w:tcPr>
                  <w:p w14:paraId="0E1FD120" w14:textId="77777777" w:rsidR="00AA1494" w:rsidRDefault="00AA1494">
                    <w:pPr>
                      <w:pStyle w:val="Bibliography"/>
                      <w:rPr>
                        <w:rFonts w:cs="Times New Roman"/>
                        <w:noProof/>
                      </w:rPr>
                    </w:pPr>
                    <w:r>
                      <w:rPr>
                        <w:rFonts w:cs="Times New Roman"/>
                        <w:noProof/>
                      </w:rPr>
                      <w:t xml:space="preserve">OASIS. (2011-2014, February) Energy Interoperation 1.0 OASIS Standard. [Online]. </w:t>
                    </w:r>
                    <w:hyperlink r:id="rId19" w:history="1">
                      <w:r>
                        <w:rPr>
                          <w:rStyle w:val="Hyperlink"/>
                          <w:rFonts w:cs="Times New Roman"/>
                          <w:noProof/>
                        </w:rPr>
                        <w:t>http://docs.oasis-open.org/energyinterop/ei/v1.0/energyinterop-v1.0.html</w:t>
                      </w:r>
                    </w:hyperlink>
                  </w:p>
                </w:tc>
              </w:tr>
              <w:tr w:rsidR="005F6E6B" w14:paraId="2DB7C322" w14:textId="77777777" w:rsidTr="005F6E6B">
                <w:trPr>
                  <w:tblCellSpacing w:w="15" w:type="dxa"/>
                </w:trPr>
                <w:tc>
                  <w:tcPr>
                    <w:tcW w:w="235" w:type="pct"/>
                    <w:hideMark/>
                  </w:tcPr>
                  <w:p w14:paraId="0D2C0C02" w14:textId="77777777" w:rsidR="00AA1494" w:rsidRDefault="00AA1494">
                    <w:pPr>
                      <w:pStyle w:val="Bibliography"/>
                      <w:jc w:val="right"/>
                      <w:rPr>
                        <w:rFonts w:cs="Times New Roman"/>
                        <w:noProof/>
                      </w:rPr>
                    </w:pPr>
                    <w:r>
                      <w:rPr>
                        <w:rFonts w:cs="Times New Roman"/>
                        <w:noProof/>
                      </w:rPr>
                      <w:t>[5]</w:t>
                    </w:r>
                  </w:p>
                </w:tc>
                <w:tc>
                  <w:tcPr>
                    <w:tcW w:w="4719" w:type="pct"/>
                    <w:hideMark/>
                  </w:tcPr>
                  <w:p w14:paraId="6DD55F59" w14:textId="77777777" w:rsidR="00AA1494" w:rsidRDefault="00AA1494">
                    <w:pPr>
                      <w:pStyle w:val="Bibliography"/>
                      <w:rPr>
                        <w:rFonts w:cs="Times New Roman"/>
                        <w:noProof/>
                      </w:rPr>
                    </w:pPr>
                    <w:r>
                      <w:rPr>
                        <w:rFonts w:cs="Times New Roman"/>
                        <w:noProof/>
                      </w:rPr>
                      <w:t xml:space="preserve">FlexiblePower Alliance Network. (2016) PowerMatcher Documentation. [Online]. </w:t>
                    </w:r>
                    <w:hyperlink r:id="rId20" w:history="1">
                      <w:r>
                        <w:rPr>
                          <w:rStyle w:val="Hyperlink"/>
                          <w:rFonts w:cs="Times New Roman"/>
                          <w:noProof/>
                        </w:rPr>
                        <w:t>http://fpai-ci.sensorlab.tno.nl/builds/powermatcher-documentation/master/html/</w:t>
                      </w:r>
                    </w:hyperlink>
                  </w:p>
                </w:tc>
              </w:tr>
              <w:tr w:rsidR="005F6E6B" w14:paraId="3A80D6CD" w14:textId="77777777" w:rsidTr="005F6E6B">
                <w:trPr>
                  <w:tblCellSpacing w:w="15" w:type="dxa"/>
                </w:trPr>
                <w:tc>
                  <w:tcPr>
                    <w:tcW w:w="235" w:type="pct"/>
                    <w:hideMark/>
                  </w:tcPr>
                  <w:p w14:paraId="7DC5B51B" w14:textId="77777777" w:rsidR="00AA1494" w:rsidRDefault="00AA1494">
                    <w:pPr>
                      <w:pStyle w:val="Bibliography"/>
                      <w:jc w:val="right"/>
                      <w:rPr>
                        <w:rFonts w:cs="Times New Roman"/>
                        <w:noProof/>
                      </w:rPr>
                    </w:pPr>
                    <w:r>
                      <w:rPr>
                        <w:rFonts w:cs="Times New Roman"/>
                        <w:noProof/>
                      </w:rPr>
                      <w:t>[6]</w:t>
                    </w:r>
                  </w:p>
                </w:tc>
                <w:tc>
                  <w:tcPr>
                    <w:tcW w:w="4719" w:type="pct"/>
                    <w:hideMark/>
                  </w:tcPr>
                  <w:p w14:paraId="24C1D122" w14:textId="77777777" w:rsidR="00AA1494" w:rsidRDefault="00AA1494">
                    <w:pPr>
                      <w:pStyle w:val="Bibliography"/>
                      <w:rPr>
                        <w:rFonts w:cs="Times New Roman"/>
                        <w:noProof/>
                      </w:rPr>
                    </w:pPr>
                    <w:r>
                      <w:rPr>
                        <w:rFonts w:cs="Times New Roman"/>
                        <w:noProof/>
                      </w:rPr>
                      <w:t xml:space="preserve">FlexiblePower Alliance Network. (2016) The PowerMatcher Suite. [Online]. </w:t>
                    </w:r>
                    <w:hyperlink r:id="rId21" w:history="1">
                      <w:r>
                        <w:rPr>
                          <w:rStyle w:val="Hyperlink"/>
                          <w:rFonts w:cs="Times New Roman"/>
                          <w:noProof/>
                        </w:rPr>
                        <w:t>http://flexiblepower.github.io/</w:t>
                      </w:r>
                    </w:hyperlink>
                  </w:p>
                </w:tc>
              </w:tr>
              <w:tr w:rsidR="005F6E6B" w14:paraId="790FC8EB" w14:textId="77777777" w:rsidTr="005F6E6B">
                <w:trPr>
                  <w:tblCellSpacing w:w="15" w:type="dxa"/>
                </w:trPr>
                <w:tc>
                  <w:tcPr>
                    <w:tcW w:w="235" w:type="pct"/>
                    <w:hideMark/>
                  </w:tcPr>
                  <w:p w14:paraId="7BBD3AF4" w14:textId="77777777" w:rsidR="00AA1494" w:rsidRDefault="00AA1494">
                    <w:pPr>
                      <w:pStyle w:val="Bibliography"/>
                      <w:jc w:val="right"/>
                      <w:rPr>
                        <w:rFonts w:cs="Times New Roman"/>
                        <w:noProof/>
                      </w:rPr>
                    </w:pPr>
                    <w:r>
                      <w:rPr>
                        <w:rFonts w:cs="Times New Roman"/>
                        <w:noProof/>
                      </w:rPr>
                      <w:t>[7]</w:t>
                    </w:r>
                  </w:p>
                </w:tc>
                <w:tc>
                  <w:tcPr>
                    <w:tcW w:w="4719" w:type="pct"/>
                    <w:hideMark/>
                  </w:tcPr>
                  <w:p w14:paraId="258BA398" w14:textId="77777777" w:rsidR="00AA1494" w:rsidRDefault="00AA1494">
                    <w:pPr>
                      <w:pStyle w:val="Bibliography"/>
                      <w:rPr>
                        <w:rFonts w:cs="Times New Roman"/>
                        <w:noProof/>
                      </w:rPr>
                    </w:pPr>
                    <w:r>
                      <w:rPr>
                        <w:rFonts w:cs="Times New Roman"/>
                        <w:noProof/>
                      </w:rPr>
                      <w:t xml:space="preserve">Battelle Memorial Institute. (2015, June) SmartGrid.gov. [Online]. </w:t>
                    </w:r>
                    <w:hyperlink r:id="rId22" w:history="1">
                      <w:r>
                        <w:rPr>
                          <w:rStyle w:val="Hyperlink"/>
                          <w:rFonts w:cs="Times New Roman"/>
                          <w:noProof/>
                        </w:rPr>
                        <w:t>https://www.smartgrid.gov/document/Pacific_Northwest_Smart_Grid_Technology_Performance.html</w:t>
                      </w:r>
                    </w:hyperlink>
                  </w:p>
                </w:tc>
              </w:tr>
              <w:tr w:rsidR="005F6E6B" w14:paraId="426DE302" w14:textId="77777777" w:rsidTr="005F6E6B">
                <w:trPr>
                  <w:tblCellSpacing w:w="15" w:type="dxa"/>
                </w:trPr>
                <w:tc>
                  <w:tcPr>
                    <w:tcW w:w="235" w:type="pct"/>
                    <w:hideMark/>
                  </w:tcPr>
                  <w:p w14:paraId="6D9BE33E" w14:textId="77777777" w:rsidR="00AA1494" w:rsidRDefault="00AA1494">
                    <w:pPr>
                      <w:pStyle w:val="Bibliography"/>
                      <w:jc w:val="right"/>
                      <w:rPr>
                        <w:rFonts w:cs="Times New Roman"/>
                        <w:noProof/>
                      </w:rPr>
                    </w:pPr>
                    <w:r>
                      <w:rPr>
                        <w:rFonts w:cs="Times New Roman"/>
                        <w:noProof/>
                      </w:rPr>
                      <w:t>[8]</w:t>
                    </w:r>
                  </w:p>
                </w:tc>
                <w:tc>
                  <w:tcPr>
                    <w:tcW w:w="4719" w:type="pct"/>
                    <w:hideMark/>
                  </w:tcPr>
                  <w:p w14:paraId="1069B5BE" w14:textId="77777777" w:rsidR="00AA1494" w:rsidRDefault="00AA1494">
                    <w:pPr>
                      <w:pStyle w:val="Bibliography"/>
                      <w:rPr>
                        <w:rFonts w:cs="Times New Roman"/>
                        <w:noProof/>
                      </w:rPr>
                    </w:pPr>
                    <w:r>
                      <w:rPr>
                        <w:rFonts w:cs="Times New Roman"/>
                        <w:noProof/>
                      </w:rPr>
                      <w:t xml:space="preserve">International Electrotechnical Commission. (2016, Feb) IEC Webstore. [Online]. </w:t>
                    </w:r>
                    <w:hyperlink r:id="rId23" w:history="1">
                      <w:r>
                        <w:rPr>
                          <w:rStyle w:val="Hyperlink"/>
                          <w:rFonts w:cs="Times New Roman"/>
                          <w:noProof/>
                        </w:rPr>
                        <w:t>https://webstore.iec.ch/searchform&amp;q=62325</w:t>
                      </w:r>
                    </w:hyperlink>
                  </w:p>
                </w:tc>
              </w:tr>
              <w:tr w:rsidR="005F6E6B" w14:paraId="76A302B6" w14:textId="77777777" w:rsidTr="005F6E6B">
                <w:trPr>
                  <w:tblCellSpacing w:w="15" w:type="dxa"/>
                </w:trPr>
                <w:tc>
                  <w:tcPr>
                    <w:tcW w:w="235" w:type="pct"/>
                    <w:hideMark/>
                  </w:tcPr>
                  <w:p w14:paraId="0CAAAB48" w14:textId="77777777" w:rsidR="00AA1494" w:rsidRDefault="00AA1494">
                    <w:pPr>
                      <w:pStyle w:val="Bibliography"/>
                      <w:jc w:val="right"/>
                      <w:rPr>
                        <w:rFonts w:cs="Times New Roman"/>
                        <w:noProof/>
                      </w:rPr>
                    </w:pPr>
                    <w:r>
                      <w:rPr>
                        <w:rFonts w:cs="Times New Roman"/>
                        <w:noProof/>
                      </w:rPr>
                      <w:t>[9]</w:t>
                    </w:r>
                  </w:p>
                </w:tc>
                <w:tc>
                  <w:tcPr>
                    <w:tcW w:w="4719" w:type="pct"/>
                    <w:hideMark/>
                  </w:tcPr>
                  <w:p w14:paraId="0A799DAF" w14:textId="77777777" w:rsidR="00AA1494" w:rsidRDefault="00AA1494">
                    <w:pPr>
                      <w:pStyle w:val="Bibliography"/>
                      <w:rPr>
                        <w:rFonts w:cs="Times New Roman"/>
                        <w:noProof/>
                      </w:rPr>
                    </w:pPr>
                    <w:r>
                      <w:rPr>
                        <w:rFonts w:cs="Times New Roman"/>
                        <w:noProof/>
                      </w:rPr>
                      <w:t xml:space="preserve">OASIS. (2012, January) Energy Market Information Exchange Version 1.0. [Online]. </w:t>
                    </w:r>
                    <w:hyperlink r:id="rId24" w:history="1">
                      <w:r>
                        <w:rPr>
                          <w:rStyle w:val="Hyperlink"/>
                          <w:rFonts w:cs="Times New Roman"/>
                          <w:noProof/>
                        </w:rPr>
                        <w:t>http://docs.oasis-open.org/emix/emix/v1.0/emix-v1.0.html</w:t>
                      </w:r>
                    </w:hyperlink>
                  </w:p>
                </w:tc>
              </w:tr>
              <w:tr w:rsidR="005F6E6B" w14:paraId="0DB103FF" w14:textId="77777777" w:rsidTr="005F6E6B">
                <w:trPr>
                  <w:tblCellSpacing w:w="15" w:type="dxa"/>
                </w:trPr>
                <w:tc>
                  <w:tcPr>
                    <w:tcW w:w="235" w:type="pct"/>
                    <w:hideMark/>
                  </w:tcPr>
                  <w:p w14:paraId="66ABEC89" w14:textId="77777777" w:rsidR="00AA1494" w:rsidRDefault="00AA1494">
                    <w:pPr>
                      <w:pStyle w:val="Bibliography"/>
                      <w:jc w:val="right"/>
                      <w:rPr>
                        <w:rFonts w:cs="Times New Roman"/>
                        <w:noProof/>
                      </w:rPr>
                    </w:pPr>
                    <w:r>
                      <w:rPr>
                        <w:rFonts w:cs="Times New Roman"/>
                        <w:noProof/>
                      </w:rPr>
                      <w:t>[10]</w:t>
                    </w:r>
                  </w:p>
                </w:tc>
                <w:tc>
                  <w:tcPr>
                    <w:tcW w:w="4719" w:type="pct"/>
                    <w:hideMark/>
                  </w:tcPr>
                  <w:p w14:paraId="6C9E3DAD" w14:textId="77777777" w:rsidR="00AA1494" w:rsidRDefault="00AA1494">
                    <w:pPr>
                      <w:pStyle w:val="Bibliography"/>
                      <w:rPr>
                        <w:rFonts w:cs="Times New Roman"/>
                        <w:noProof/>
                      </w:rPr>
                    </w:pPr>
                    <w:r>
                      <w:rPr>
                        <w:rFonts w:cs="Times New Roman"/>
                        <w:noProof/>
                      </w:rPr>
                      <w:t xml:space="preserve">TransactiveADR Team. NIST Transactive Energy Challenge Collaborative Site. [Online]. </w:t>
                    </w:r>
                    <w:hyperlink r:id="rId25" w:history="1">
                      <w:r>
                        <w:rPr>
                          <w:rStyle w:val="Hyperlink"/>
                          <w:rFonts w:cs="Times New Roman"/>
                          <w:noProof/>
                        </w:rPr>
                        <w:t>https://pages.nist.gov/TEChallenge/community/</w:t>
                      </w:r>
                    </w:hyperlink>
                  </w:p>
                </w:tc>
              </w:tr>
              <w:tr w:rsidR="005F6E6B" w14:paraId="7E4924C4" w14:textId="77777777" w:rsidTr="005F6E6B">
                <w:trPr>
                  <w:tblCellSpacing w:w="15" w:type="dxa"/>
                </w:trPr>
                <w:tc>
                  <w:tcPr>
                    <w:tcW w:w="235" w:type="pct"/>
                    <w:hideMark/>
                  </w:tcPr>
                  <w:p w14:paraId="5AF301B6" w14:textId="77777777" w:rsidR="00AA1494" w:rsidRDefault="00AA1494">
                    <w:pPr>
                      <w:pStyle w:val="Bibliography"/>
                      <w:jc w:val="right"/>
                      <w:rPr>
                        <w:rFonts w:cs="Times New Roman"/>
                        <w:noProof/>
                      </w:rPr>
                    </w:pPr>
                    <w:r>
                      <w:rPr>
                        <w:rFonts w:cs="Times New Roman"/>
                        <w:noProof/>
                      </w:rPr>
                      <w:t>[11]</w:t>
                    </w:r>
                  </w:p>
                </w:tc>
                <w:tc>
                  <w:tcPr>
                    <w:tcW w:w="4719" w:type="pct"/>
                    <w:hideMark/>
                  </w:tcPr>
                  <w:p w14:paraId="3795862C" w14:textId="77777777" w:rsidR="00AA1494" w:rsidRDefault="00AA1494">
                    <w:pPr>
                      <w:pStyle w:val="Bibliography"/>
                      <w:rPr>
                        <w:rFonts w:cs="Times New Roman"/>
                        <w:noProof/>
                      </w:rPr>
                    </w:pPr>
                    <w:r>
                      <w:rPr>
                        <w:rFonts w:cs="Times New Roman"/>
                        <w:noProof/>
                      </w:rPr>
                      <w:t xml:space="preserve">A. Kiani Bejestani, A. Annaswamy, and T. Samad, "A Hierarchical Transactive Control Architecture for Renewables Integration in Smart Grids: Analytical Modeling and Stability," </w:t>
                    </w:r>
                    <w:r>
                      <w:rPr>
                        <w:rFonts w:cs="Times New Roman"/>
                        <w:i/>
                        <w:iCs/>
                        <w:noProof/>
                      </w:rPr>
                      <w:t>IEEE Transactions on Smart Grid</w:t>
                    </w:r>
                    <w:r>
                      <w:rPr>
                        <w:rFonts w:cs="Times New Roman"/>
                        <w:noProof/>
                      </w:rPr>
                      <w:t>, vol. 5, no. 4, pp. 2054-2065, July 2014.</w:t>
                    </w:r>
                  </w:p>
                </w:tc>
              </w:tr>
              <w:tr w:rsidR="005F6E6B" w14:paraId="670D601A" w14:textId="77777777" w:rsidTr="005F6E6B">
                <w:trPr>
                  <w:tblCellSpacing w:w="15" w:type="dxa"/>
                </w:trPr>
                <w:tc>
                  <w:tcPr>
                    <w:tcW w:w="235" w:type="pct"/>
                    <w:hideMark/>
                  </w:tcPr>
                  <w:p w14:paraId="57146ACA" w14:textId="77777777" w:rsidR="00AA1494" w:rsidRDefault="00AA1494">
                    <w:pPr>
                      <w:pStyle w:val="Bibliography"/>
                      <w:jc w:val="right"/>
                      <w:rPr>
                        <w:rFonts w:cs="Times New Roman"/>
                        <w:noProof/>
                      </w:rPr>
                    </w:pPr>
                    <w:r>
                      <w:rPr>
                        <w:rFonts w:cs="Times New Roman"/>
                        <w:noProof/>
                      </w:rPr>
                      <w:t>[12]</w:t>
                    </w:r>
                  </w:p>
                </w:tc>
                <w:tc>
                  <w:tcPr>
                    <w:tcW w:w="4719" w:type="pct"/>
                    <w:hideMark/>
                  </w:tcPr>
                  <w:p w14:paraId="45519D53" w14:textId="77777777" w:rsidR="00AA1494" w:rsidRDefault="00AA1494">
                    <w:pPr>
                      <w:pStyle w:val="Bibliography"/>
                      <w:rPr>
                        <w:rFonts w:cs="Times New Roman"/>
                        <w:noProof/>
                      </w:rPr>
                    </w:pPr>
                    <w:r>
                      <w:rPr>
                        <w:rFonts w:cs="Times New Roman"/>
                        <w:noProof/>
                      </w:rPr>
                      <w:t xml:space="preserve">J. Knudsen, J. Hansen, and A. M. Annaswamy, "A Dynamic Market Mechanism for the Integration of Renewables and Demand Response," </w:t>
                    </w:r>
                    <w:r>
                      <w:rPr>
                        <w:rFonts w:cs="Times New Roman"/>
                        <w:i/>
                        <w:iCs/>
                        <w:noProof/>
                      </w:rPr>
                      <w:t>IEEE Transactions on Control Systems Technology</w:t>
                    </w:r>
                    <w:r>
                      <w:rPr>
                        <w:rFonts w:cs="Times New Roman"/>
                        <w:noProof/>
                      </w:rPr>
                      <w:t>, pp. 1-16, 2015.</w:t>
                    </w:r>
                  </w:p>
                </w:tc>
              </w:tr>
              <w:tr w:rsidR="005F6E6B" w14:paraId="52CB1E0B" w14:textId="77777777" w:rsidTr="005F6E6B">
                <w:trPr>
                  <w:tblCellSpacing w:w="15" w:type="dxa"/>
                </w:trPr>
                <w:tc>
                  <w:tcPr>
                    <w:tcW w:w="235" w:type="pct"/>
                    <w:hideMark/>
                  </w:tcPr>
                  <w:p w14:paraId="072CB551" w14:textId="77777777" w:rsidR="00AA1494" w:rsidRDefault="00AA1494">
                    <w:pPr>
                      <w:pStyle w:val="Bibliography"/>
                      <w:jc w:val="right"/>
                      <w:rPr>
                        <w:rFonts w:cs="Times New Roman"/>
                        <w:noProof/>
                      </w:rPr>
                    </w:pPr>
                    <w:r>
                      <w:rPr>
                        <w:rFonts w:cs="Times New Roman"/>
                        <w:noProof/>
                      </w:rPr>
                      <w:t>[13]</w:t>
                    </w:r>
                  </w:p>
                </w:tc>
                <w:tc>
                  <w:tcPr>
                    <w:tcW w:w="4719" w:type="pct"/>
                    <w:hideMark/>
                  </w:tcPr>
                  <w:p w14:paraId="59349F2B" w14:textId="77777777" w:rsidR="00AA1494" w:rsidRDefault="00AA1494">
                    <w:pPr>
                      <w:pStyle w:val="Bibliography"/>
                      <w:rPr>
                        <w:rFonts w:cs="Times New Roman"/>
                        <w:noProof/>
                      </w:rPr>
                    </w:pPr>
                    <w:r>
                      <w:rPr>
                        <w:rFonts w:cs="Times New Roman"/>
                        <w:noProof/>
                      </w:rPr>
                      <w:t xml:space="preserve">GridWise Architecture Council. (2008, March) Interoperability Context-Setting Framework. [Online]. </w:t>
                    </w:r>
                    <w:hyperlink r:id="rId26" w:history="1">
                      <w:r>
                        <w:rPr>
                          <w:rStyle w:val="Hyperlink"/>
                          <w:rFonts w:cs="Times New Roman"/>
                          <w:noProof/>
                        </w:rPr>
                        <w:t>http://www.gridwiseac.org/pdfs/interopframework_v1_1.pdf</w:t>
                      </w:r>
                    </w:hyperlink>
                  </w:p>
                </w:tc>
              </w:tr>
              <w:tr w:rsidR="005F6E6B" w14:paraId="38B3DE15" w14:textId="77777777" w:rsidTr="005F6E6B">
                <w:trPr>
                  <w:tblCellSpacing w:w="15" w:type="dxa"/>
                </w:trPr>
                <w:tc>
                  <w:tcPr>
                    <w:tcW w:w="235" w:type="pct"/>
                    <w:hideMark/>
                  </w:tcPr>
                  <w:p w14:paraId="554C7BA3" w14:textId="77777777" w:rsidR="00AA1494" w:rsidRDefault="00AA1494">
                    <w:pPr>
                      <w:pStyle w:val="Bibliography"/>
                      <w:jc w:val="right"/>
                      <w:rPr>
                        <w:rFonts w:cs="Times New Roman"/>
                        <w:noProof/>
                      </w:rPr>
                    </w:pPr>
                    <w:r>
                      <w:rPr>
                        <w:rFonts w:cs="Times New Roman"/>
                        <w:noProof/>
                      </w:rPr>
                      <w:lastRenderedPageBreak/>
                      <w:t>[14]</w:t>
                    </w:r>
                  </w:p>
                </w:tc>
                <w:tc>
                  <w:tcPr>
                    <w:tcW w:w="4719" w:type="pct"/>
                    <w:hideMark/>
                  </w:tcPr>
                  <w:p w14:paraId="72300EC7" w14:textId="77777777" w:rsidR="00AA1494" w:rsidRDefault="00AA1494">
                    <w:pPr>
                      <w:pStyle w:val="Bibliography"/>
                      <w:rPr>
                        <w:rFonts w:cs="Times New Roman"/>
                        <w:noProof/>
                      </w:rPr>
                    </w:pPr>
                    <w:r>
                      <w:rPr>
                        <w:rFonts w:cs="Times New Roman"/>
                        <w:noProof/>
                      </w:rPr>
                      <w:t xml:space="preserve">Gamma, E Gamma, R Helm, and J Vissides, </w:t>
                    </w:r>
                    <w:r>
                      <w:rPr>
                        <w:rFonts w:cs="Times New Roman"/>
                        <w:i/>
                        <w:iCs/>
                        <w:noProof/>
                      </w:rPr>
                      <w:t>Design Patterns: Elements of Reusable Object-Oriented Software</w:t>
                    </w:r>
                    <w:r>
                      <w:rPr>
                        <w:rFonts w:cs="Times New Roman"/>
                        <w:noProof/>
                      </w:rPr>
                      <w:t>.: Addison-Wesley Professional, 1994.</w:t>
                    </w:r>
                  </w:p>
                </w:tc>
              </w:tr>
              <w:tr w:rsidR="005F6E6B" w14:paraId="499171E5" w14:textId="77777777" w:rsidTr="005F6E6B">
                <w:trPr>
                  <w:tblCellSpacing w:w="15" w:type="dxa"/>
                </w:trPr>
                <w:tc>
                  <w:tcPr>
                    <w:tcW w:w="235" w:type="pct"/>
                    <w:hideMark/>
                  </w:tcPr>
                  <w:p w14:paraId="675B93C8" w14:textId="77777777" w:rsidR="00AA1494" w:rsidRDefault="00AA1494">
                    <w:pPr>
                      <w:pStyle w:val="Bibliography"/>
                      <w:jc w:val="right"/>
                      <w:rPr>
                        <w:rFonts w:cs="Times New Roman"/>
                        <w:noProof/>
                      </w:rPr>
                    </w:pPr>
                    <w:r>
                      <w:rPr>
                        <w:rFonts w:cs="Times New Roman"/>
                        <w:noProof/>
                      </w:rPr>
                      <w:t>[15]</w:t>
                    </w:r>
                  </w:p>
                </w:tc>
                <w:tc>
                  <w:tcPr>
                    <w:tcW w:w="4719" w:type="pct"/>
                    <w:hideMark/>
                  </w:tcPr>
                  <w:p w14:paraId="3F415CC9" w14:textId="77777777" w:rsidR="00AA1494" w:rsidRDefault="00AA1494">
                    <w:pPr>
                      <w:pStyle w:val="Bibliography"/>
                      <w:rPr>
                        <w:rFonts w:cs="Times New Roman"/>
                        <w:noProof/>
                      </w:rPr>
                    </w:pPr>
                    <w:r>
                      <w:rPr>
                        <w:rFonts w:cs="Times New Roman"/>
                        <w:noProof/>
                      </w:rPr>
                      <w:t xml:space="preserve">GridWise Architecture Council. (2015, Jan.) GridWise Transactive Energy Framework Version 1.0. [Online]. </w:t>
                    </w:r>
                    <w:hyperlink r:id="rId27" w:history="1">
                      <w:r>
                        <w:rPr>
                          <w:rStyle w:val="Hyperlink"/>
                          <w:rFonts w:cs="Times New Roman"/>
                          <w:noProof/>
                        </w:rPr>
                        <w:t>http://www.gridwiseac.org/pdfs/te_framework_report_pnnl-22946.pdf</w:t>
                      </w:r>
                    </w:hyperlink>
                  </w:p>
                </w:tc>
              </w:tr>
              <w:tr w:rsidR="005F6E6B" w14:paraId="0C029742" w14:textId="77777777" w:rsidTr="005F6E6B">
                <w:trPr>
                  <w:tblCellSpacing w:w="15" w:type="dxa"/>
                </w:trPr>
                <w:tc>
                  <w:tcPr>
                    <w:tcW w:w="235" w:type="pct"/>
                    <w:hideMark/>
                  </w:tcPr>
                  <w:p w14:paraId="6BCB4717" w14:textId="77777777" w:rsidR="00AA1494" w:rsidRDefault="00AA1494">
                    <w:pPr>
                      <w:pStyle w:val="Bibliography"/>
                      <w:jc w:val="right"/>
                      <w:rPr>
                        <w:rFonts w:cs="Times New Roman"/>
                        <w:noProof/>
                      </w:rPr>
                    </w:pPr>
                    <w:r>
                      <w:rPr>
                        <w:rFonts w:cs="Times New Roman"/>
                        <w:noProof/>
                      </w:rPr>
                      <w:t>[16]</w:t>
                    </w:r>
                  </w:p>
                </w:tc>
                <w:tc>
                  <w:tcPr>
                    <w:tcW w:w="4719" w:type="pct"/>
                    <w:hideMark/>
                  </w:tcPr>
                  <w:p w14:paraId="70732295" w14:textId="77777777" w:rsidR="00AA1494" w:rsidRDefault="00AA1494">
                    <w:pPr>
                      <w:pStyle w:val="Bibliography"/>
                      <w:rPr>
                        <w:rFonts w:cs="Times New Roman"/>
                        <w:noProof/>
                      </w:rPr>
                    </w:pPr>
                    <w:r>
                      <w:rPr>
                        <w:rFonts w:cs="Times New Roman"/>
                        <w:noProof/>
                      </w:rPr>
                      <w:t xml:space="preserve">Transactive Energy Associatiion. TEA - Transactive Energy Association. [Online]. </w:t>
                    </w:r>
                    <w:hyperlink r:id="rId28" w:history="1">
                      <w:r>
                        <w:rPr>
                          <w:rStyle w:val="Hyperlink"/>
                          <w:rFonts w:cs="Times New Roman"/>
                          <w:noProof/>
                        </w:rPr>
                        <w:t>https://www.linkedin.com/groups/4778076/4778076-199816061</w:t>
                      </w:r>
                    </w:hyperlink>
                  </w:p>
                </w:tc>
              </w:tr>
              <w:tr w:rsidR="005F6E6B" w14:paraId="4CF1F6B3" w14:textId="77777777" w:rsidTr="005F6E6B">
                <w:trPr>
                  <w:tblCellSpacing w:w="15" w:type="dxa"/>
                </w:trPr>
                <w:tc>
                  <w:tcPr>
                    <w:tcW w:w="235" w:type="pct"/>
                    <w:hideMark/>
                  </w:tcPr>
                  <w:p w14:paraId="5A716C75" w14:textId="77777777" w:rsidR="00AA1494" w:rsidRDefault="00AA1494">
                    <w:pPr>
                      <w:pStyle w:val="Bibliography"/>
                      <w:jc w:val="right"/>
                      <w:rPr>
                        <w:rFonts w:cs="Times New Roman"/>
                        <w:noProof/>
                      </w:rPr>
                    </w:pPr>
                    <w:r>
                      <w:rPr>
                        <w:rFonts w:cs="Times New Roman"/>
                        <w:noProof/>
                      </w:rPr>
                      <w:t>[17]</w:t>
                    </w:r>
                  </w:p>
                </w:tc>
                <w:tc>
                  <w:tcPr>
                    <w:tcW w:w="4719" w:type="pct"/>
                    <w:hideMark/>
                  </w:tcPr>
                  <w:p w14:paraId="4C5AA828" w14:textId="77777777" w:rsidR="00AA1494" w:rsidRDefault="00AA1494">
                    <w:pPr>
                      <w:pStyle w:val="Bibliography"/>
                      <w:rPr>
                        <w:rFonts w:cs="Times New Roman"/>
                        <w:noProof/>
                      </w:rPr>
                    </w:pPr>
                    <w:r>
                      <w:rPr>
                        <w:rFonts w:cs="Times New Roman"/>
                        <w:noProof/>
                      </w:rPr>
                      <w:t xml:space="preserve">Farrokh Albuyeh and Farrokh Rahimi, "Applying Lessons Learned from Transmission/Bulk Power Deregulation to Transactive Energy at the Distribution/Retail Level ," in </w:t>
                    </w:r>
                    <w:r>
                      <w:rPr>
                        <w:rFonts w:cs="Times New Roman"/>
                        <w:i/>
                        <w:iCs/>
                        <w:noProof/>
                      </w:rPr>
                      <w:t>Submitted to Transactive Energy Systems Conference</w:t>
                    </w:r>
                    <w:r>
                      <w:rPr>
                        <w:rFonts w:cs="Times New Roman"/>
                        <w:noProof/>
                      </w:rPr>
                      <w:t>, Portland, 2016.</w:t>
                    </w:r>
                  </w:p>
                </w:tc>
              </w:tr>
              <w:tr w:rsidR="005F6E6B" w14:paraId="075331F5" w14:textId="77777777" w:rsidTr="005F6E6B">
                <w:trPr>
                  <w:tblCellSpacing w:w="15" w:type="dxa"/>
                </w:trPr>
                <w:tc>
                  <w:tcPr>
                    <w:tcW w:w="235" w:type="pct"/>
                    <w:hideMark/>
                  </w:tcPr>
                  <w:p w14:paraId="799207A4" w14:textId="77777777" w:rsidR="00AA1494" w:rsidRDefault="00AA1494">
                    <w:pPr>
                      <w:pStyle w:val="Bibliography"/>
                      <w:jc w:val="right"/>
                      <w:rPr>
                        <w:rFonts w:cs="Times New Roman"/>
                        <w:noProof/>
                      </w:rPr>
                    </w:pPr>
                    <w:r>
                      <w:rPr>
                        <w:rFonts w:cs="Times New Roman"/>
                        <w:noProof/>
                      </w:rPr>
                      <w:t>[18]</w:t>
                    </w:r>
                  </w:p>
                </w:tc>
                <w:tc>
                  <w:tcPr>
                    <w:tcW w:w="4719" w:type="pct"/>
                    <w:hideMark/>
                  </w:tcPr>
                  <w:p w14:paraId="723C1DE1" w14:textId="77777777" w:rsidR="00AA1494" w:rsidRDefault="00AA1494">
                    <w:pPr>
                      <w:pStyle w:val="Bibliography"/>
                      <w:rPr>
                        <w:rFonts w:cs="Times New Roman"/>
                        <w:noProof/>
                      </w:rPr>
                    </w:pPr>
                    <w:r>
                      <w:rPr>
                        <w:rFonts w:cs="Times New Roman"/>
                        <w:noProof/>
                      </w:rPr>
                      <w:t>Donald Hammerstrom, "Pacific Northwest Smart Grid Demonstration Transactive Coordination Signals," Pacific Northwest Division, Batelle Memorial Institute, Richland WA, Technical Report PNWD-4402 Rev. X., 2013.</w:t>
                    </w:r>
                  </w:p>
                </w:tc>
              </w:tr>
              <w:tr w:rsidR="005F6E6B" w14:paraId="32D489A5" w14:textId="77777777" w:rsidTr="005F6E6B">
                <w:trPr>
                  <w:tblCellSpacing w:w="15" w:type="dxa"/>
                </w:trPr>
                <w:tc>
                  <w:tcPr>
                    <w:tcW w:w="235" w:type="pct"/>
                    <w:hideMark/>
                  </w:tcPr>
                  <w:p w14:paraId="1DB0492A" w14:textId="77777777" w:rsidR="00AA1494" w:rsidRDefault="00AA1494">
                    <w:pPr>
                      <w:pStyle w:val="Bibliography"/>
                      <w:jc w:val="right"/>
                      <w:rPr>
                        <w:rFonts w:cs="Times New Roman"/>
                        <w:noProof/>
                      </w:rPr>
                    </w:pPr>
                    <w:r>
                      <w:rPr>
                        <w:rFonts w:cs="Times New Roman"/>
                        <w:noProof/>
                      </w:rPr>
                      <w:t>[19]</w:t>
                    </w:r>
                  </w:p>
                </w:tc>
                <w:tc>
                  <w:tcPr>
                    <w:tcW w:w="4719" w:type="pct"/>
                    <w:hideMark/>
                  </w:tcPr>
                  <w:p w14:paraId="0EF39CD6" w14:textId="77777777" w:rsidR="00AA1494" w:rsidRDefault="00AA1494">
                    <w:pPr>
                      <w:pStyle w:val="Bibliography"/>
                      <w:rPr>
                        <w:rFonts w:cs="Times New Roman"/>
                        <w:noProof/>
                      </w:rPr>
                    </w:pPr>
                    <w:r>
                      <w:rPr>
                        <w:rFonts w:cs="Times New Roman"/>
                        <w:noProof/>
                      </w:rPr>
                      <w:t>Donald Hammerstrom and Trhishan Esram, "Transactive Node Framework and Toolkit Library Functions, Version 1.0," Pacific Northwest Division, Battelle Memorial Institute, Richland WA, Technical Report PNWD-4449, 2015.</w:t>
                    </w:r>
                  </w:p>
                </w:tc>
              </w:tr>
              <w:tr w:rsidR="005F6E6B" w14:paraId="711D53CB" w14:textId="77777777" w:rsidTr="005F6E6B">
                <w:trPr>
                  <w:tblCellSpacing w:w="15" w:type="dxa"/>
                </w:trPr>
                <w:tc>
                  <w:tcPr>
                    <w:tcW w:w="235" w:type="pct"/>
                    <w:hideMark/>
                  </w:tcPr>
                  <w:p w14:paraId="1EB158DC" w14:textId="77777777" w:rsidR="00AA1494" w:rsidRDefault="00AA1494">
                    <w:pPr>
                      <w:pStyle w:val="Bibliography"/>
                      <w:jc w:val="right"/>
                      <w:rPr>
                        <w:rFonts w:cs="Times New Roman"/>
                        <w:noProof/>
                      </w:rPr>
                    </w:pPr>
                    <w:r>
                      <w:rPr>
                        <w:rFonts w:cs="Times New Roman"/>
                        <w:noProof/>
                      </w:rPr>
                      <w:t>[20]</w:t>
                    </w:r>
                  </w:p>
                </w:tc>
                <w:tc>
                  <w:tcPr>
                    <w:tcW w:w="4719" w:type="pct"/>
                    <w:hideMark/>
                  </w:tcPr>
                  <w:p w14:paraId="14AAA234" w14:textId="77777777" w:rsidR="00AA1494" w:rsidRDefault="00AA1494">
                    <w:pPr>
                      <w:pStyle w:val="Bibliography"/>
                      <w:rPr>
                        <w:rFonts w:cs="Times New Roman"/>
                        <w:noProof/>
                      </w:rPr>
                    </w:pPr>
                    <w:r>
                      <w:rPr>
                        <w:rFonts w:cs="Times New Roman"/>
                        <w:noProof/>
                      </w:rPr>
                      <w:t>Olga Kuchar, Stephen Elbert, Donald Hammerstrom, and Linda Connell, "Transactive Signal Schema," Pacific Northwest National Laboratory, Richland WA, Technical report PNNL-24744, 2015.</w:t>
                    </w:r>
                  </w:p>
                </w:tc>
              </w:tr>
              <w:tr w:rsidR="005F6E6B" w14:paraId="6D1728F0" w14:textId="77777777" w:rsidTr="005F6E6B">
                <w:trPr>
                  <w:tblCellSpacing w:w="15" w:type="dxa"/>
                </w:trPr>
                <w:tc>
                  <w:tcPr>
                    <w:tcW w:w="235" w:type="pct"/>
                    <w:hideMark/>
                  </w:tcPr>
                  <w:p w14:paraId="0D2487B6" w14:textId="77777777" w:rsidR="00AA1494" w:rsidRDefault="00AA1494">
                    <w:pPr>
                      <w:pStyle w:val="Bibliography"/>
                      <w:jc w:val="right"/>
                      <w:rPr>
                        <w:rFonts w:cs="Times New Roman"/>
                        <w:noProof/>
                      </w:rPr>
                    </w:pPr>
                    <w:bookmarkStart w:id="11" w:name="Ham1"/>
                    <w:r>
                      <w:rPr>
                        <w:rFonts w:cs="Times New Roman"/>
                        <w:noProof/>
                      </w:rPr>
                      <w:t>[21]</w:t>
                    </w:r>
                    <w:bookmarkEnd w:id="11"/>
                  </w:p>
                </w:tc>
                <w:tc>
                  <w:tcPr>
                    <w:tcW w:w="4719" w:type="pct"/>
                    <w:hideMark/>
                  </w:tcPr>
                  <w:p w14:paraId="4D77196C" w14:textId="77777777" w:rsidR="00AA1494" w:rsidRDefault="00AA1494">
                    <w:pPr>
                      <w:pStyle w:val="Bibliography"/>
                      <w:rPr>
                        <w:rFonts w:cs="Times New Roman"/>
                        <w:noProof/>
                      </w:rPr>
                    </w:pPr>
                    <w:r>
                      <w:rPr>
                        <w:rFonts w:cs="Times New Roman"/>
                        <w:noProof/>
                      </w:rPr>
                      <w:t>Donald Hammerstrom, Private communication.</w:t>
                    </w:r>
                  </w:p>
                </w:tc>
              </w:tr>
              <w:tr w:rsidR="005F6E6B" w14:paraId="1304F73F" w14:textId="77777777" w:rsidTr="005F6E6B">
                <w:trPr>
                  <w:tblCellSpacing w:w="15" w:type="dxa"/>
                </w:trPr>
                <w:tc>
                  <w:tcPr>
                    <w:tcW w:w="235" w:type="pct"/>
                    <w:hideMark/>
                  </w:tcPr>
                  <w:p w14:paraId="2C8A5DD3" w14:textId="77777777" w:rsidR="00AA1494" w:rsidRDefault="00AA1494">
                    <w:pPr>
                      <w:pStyle w:val="Bibliography"/>
                      <w:jc w:val="right"/>
                      <w:rPr>
                        <w:rFonts w:cs="Times New Roman"/>
                        <w:noProof/>
                      </w:rPr>
                    </w:pPr>
                    <w:r>
                      <w:rPr>
                        <w:rFonts w:cs="Times New Roman"/>
                        <w:noProof/>
                      </w:rPr>
                      <w:t>[22]</w:t>
                    </w:r>
                  </w:p>
                </w:tc>
                <w:tc>
                  <w:tcPr>
                    <w:tcW w:w="4719" w:type="pct"/>
                    <w:hideMark/>
                  </w:tcPr>
                  <w:p w14:paraId="533E2B03" w14:textId="77777777" w:rsidR="00AA1494" w:rsidRDefault="00AA1494">
                    <w:pPr>
                      <w:pStyle w:val="Bibliography"/>
                      <w:rPr>
                        <w:rFonts w:cs="Times New Roman"/>
                        <w:noProof/>
                      </w:rPr>
                    </w:pPr>
                    <w:r>
                      <w:rPr>
                        <w:rFonts w:cs="Times New Roman"/>
                        <w:noProof/>
                      </w:rPr>
                      <w:t xml:space="preserve">Edward G. Cazalet. (2011) GridWise Architecture Council Grid-Interop 2011. [Online]. </w:t>
                    </w:r>
                    <w:hyperlink r:id="rId29" w:history="1">
                      <w:r>
                        <w:rPr>
                          <w:rStyle w:val="Hyperlink"/>
                          <w:rFonts w:cs="Times New Roman"/>
                          <w:noProof/>
                        </w:rPr>
                        <w:t>http://www.gridwiseac.org/pdfs/forum_papers11/cazalet_paper_gi11.pdf</w:t>
                      </w:r>
                    </w:hyperlink>
                  </w:p>
                </w:tc>
              </w:tr>
              <w:tr w:rsidR="005F6E6B" w14:paraId="1CC515DE" w14:textId="77777777" w:rsidTr="005F6E6B">
                <w:trPr>
                  <w:tblCellSpacing w:w="15" w:type="dxa"/>
                </w:trPr>
                <w:tc>
                  <w:tcPr>
                    <w:tcW w:w="235" w:type="pct"/>
                    <w:hideMark/>
                  </w:tcPr>
                  <w:p w14:paraId="408DE79B" w14:textId="77777777" w:rsidR="00AA1494" w:rsidRDefault="00AA1494">
                    <w:pPr>
                      <w:pStyle w:val="Bibliography"/>
                      <w:jc w:val="right"/>
                      <w:rPr>
                        <w:rFonts w:cs="Times New Roman"/>
                        <w:noProof/>
                      </w:rPr>
                    </w:pPr>
                    <w:r>
                      <w:rPr>
                        <w:rFonts w:cs="Times New Roman"/>
                        <w:noProof/>
                      </w:rPr>
                      <w:t>[23]</w:t>
                    </w:r>
                  </w:p>
                </w:tc>
                <w:tc>
                  <w:tcPr>
                    <w:tcW w:w="4719" w:type="pct"/>
                    <w:hideMark/>
                  </w:tcPr>
                  <w:p w14:paraId="1EFAF63C" w14:textId="77777777" w:rsidR="00AA1494" w:rsidRDefault="00AA1494">
                    <w:pPr>
                      <w:pStyle w:val="Bibliography"/>
                      <w:rPr>
                        <w:rFonts w:cs="Times New Roman"/>
                        <w:noProof/>
                      </w:rPr>
                    </w:pPr>
                    <w:r>
                      <w:rPr>
                        <w:rFonts w:cs="Times New Roman"/>
                        <w:noProof/>
                      </w:rPr>
                      <w:t xml:space="preserve">International Electrotechnical Commission. (2014, February) Systems interface between customer energy management system and the power management system - Part 10-1: Open Automated Demand Response (OpenADR 2.0b Profile Specification). [Online]. </w:t>
                    </w:r>
                    <w:hyperlink r:id="rId30" w:history="1">
                      <w:r>
                        <w:rPr>
                          <w:rStyle w:val="Hyperlink"/>
                          <w:rFonts w:cs="Times New Roman"/>
                          <w:noProof/>
                        </w:rPr>
                        <w:t>https://webstore.iec.ch/publication/7570</w:t>
                      </w:r>
                    </w:hyperlink>
                  </w:p>
                </w:tc>
              </w:tr>
              <w:tr w:rsidR="005F6E6B" w14:paraId="5AE2C9CF" w14:textId="77777777" w:rsidTr="005F6E6B">
                <w:trPr>
                  <w:tblCellSpacing w:w="15" w:type="dxa"/>
                </w:trPr>
                <w:tc>
                  <w:tcPr>
                    <w:tcW w:w="235" w:type="pct"/>
                    <w:hideMark/>
                  </w:tcPr>
                  <w:p w14:paraId="4FE4B6B8" w14:textId="77777777" w:rsidR="00AA1494" w:rsidRDefault="00AA1494">
                    <w:pPr>
                      <w:pStyle w:val="Bibliography"/>
                      <w:jc w:val="right"/>
                      <w:rPr>
                        <w:rFonts w:cs="Times New Roman"/>
                        <w:noProof/>
                      </w:rPr>
                    </w:pPr>
                    <w:r>
                      <w:rPr>
                        <w:rFonts w:cs="Times New Roman"/>
                        <w:noProof/>
                      </w:rPr>
                      <w:t>[24]</w:t>
                    </w:r>
                  </w:p>
                </w:tc>
                <w:tc>
                  <w:tcPr>
                    <w:tcW w:w="4719" w:type="pct"/>
                    <w:hideMark/>
                  </w:tcPr>
                  <w:p w14:paraId="14429F37" w14:textId="77777777" w:rsidR="00AA1494" w:rsidRDefault="00AA1494">
                    <w:pPr>
                      <w:pStyle w:val="Bibliography"/>
                      <w:rPr>
                        <w:rFonts w:cs="Times New Roman"/>
                        <w:noProof/>
                      </w:rPr>
                    </w:pPr>
                    <w:r>
                      <w:rPr>
                        <w:rFonts w:cs="Times New Roman"/>
                        <w:noProof/>
                      </w:rPr>
                      <w:t xml:space="preserve">Transactive Microgrid Team. NIST Transactive Energy Challenge Collaborative Site. [Online]. </w:t>
                    </w:r>
                    <w:hyperlink r:id="rId31" w:history="1">
                      <w:r>
                        <w:rPr>
                          <w:rStyle w:val="Hyperlink"/>
                          <w:rFonts w:cs="Times New Roman"/>
                          <w:noProof/>
                        </w:rPr>
                        <w:t>https://pages.nist.gov/TEChallenge/community/</w:t>
                      </w:r>
                    </w:hyperlink>
                  </w:p>
                </w:tc>
              </w:tr>
              <w:tr w:rsidR="005F6E6B" w14:paraId="1DFA73AD" w14:textId="77777777" w:rsidTr="005F6E6B">
                <w:trPr>
                  <w:tblCellSpacing w:w="15" w:type="dxa"/>
                </w:trPr>
                <w:tc>
                  <w:tcPr>
                    <w:tcW w:w="235" w:type="pct"/>
                    <w:hideMark/>
                  </w:tcPr>
                  <w:p w14:paraId="4964F951" w14:textId="77777777" w:rsidR="00AA1494" w:rsidRDefault="00AA1494">
                    <w:pPr>
                      <w:pStyle w:val="Bibliography"/>
                      <w:jc w:val="right"/>
                      <w:rPr>
                        <w:rFonts w:cs="Times New Roman"/>
                        <w:noProof/>
                      </w:rPr>
                    </w:pPr>
                    <w:r>
                      <w:rPr>
                        <w:rFonts w:cs="Times New Roman"/>
                        <w:noProof/>
                      </w:rPr>
                      <w:t>[25]</w:t>
                    </w:r>
                  </w:p>
                </w:tc>
                <w:tc>
                  <w:tcPr>
                    <w:tcW w:w="4719" w:type="pct"/>
                    <w:hideMark/>
                  </w:tcPr>
                  <w:p w14:paraId="41BD8094" w14:textId="77777777" w:rsidR="00AA1494" w:rsidRDefault="00AA1494">
                    <w:pPr>
                      <w:pStyle w:val="Bibliography"/>
                      <w:rPr>
                        <w:rFonts w:cs="Times New Roman"/>
                        <w:noProof/>
                      </w:rPr>
                    </w:pPr>
                    <w:r>
                      <w:rPr>
                        <w:rFonts w:cs="Times New Roman"/>
                        <w:noProof/>
                      </w:rPr>
                      <w:t xml:space="preserve">OASIS. (2015, August) OASIS WS-Calendar Platform Independent Model (PIM) Version 1.0. [Online]. </w:t>
                    </w:r>
                    <w:hyperlink r:id="rId32" w:history="1">
                      <w:r>
                        <w:rPr>
                          <w:rStyle w:val="Hyperlink"/>
                          <w:rFonts w:cs="Times New Roman"/>
                          <w:noProof/>
                        </w:rPr>
                        <w:t>http://docs.oasis-open.org/ws-calendar/ws-calendar-pim/v1.0/cs02/ws-calendar-pim-v1.0-cs02.html</w:t>
                      </w:r>
                    </w:hyperlink>
                  </w:p>
                </w:tc>
              </w:tr>
              <w:tr w:rsidR="005F6E6B" w14:paraId="4178A3B1" w14:textId="77777777" w:rsidTr="005F6E6B">
                <w:trPr>
                  <w:tblCellSpacing w:w="15" w:type="dxa"/>
                </w:trPr>
                <w:tc>
                  <w:tcPr>
                    <w:tcW w:w="235" w:type="pct"/>
                    <w:hideMark/>
                  </w:tcPr>
                  <w:p w14:paraId="2C347962" w14:textId="77777777" w:rsidR="00AA1494" w:rsidRDefault="00AA1494">
                    <w:pPr>
                      <w:pStyle w:val="Bibliography"/>
                      <w:jc w:val="right"/>
                      <w:rPr>
                        <w:rFonts w:cs="Times New Roman"/>
                        <w:noProof/>
                      </w:rPr>
                    </w:pPr>
                    <w:r>
                      <w:rPr>
                        <w:rFonts w:cs="Times New Roman"/>
                        <w:noProof/>
                      </w:rPr>
                      <w:t>[26]</w:t>
                    </w:r>
                  </w:p>
                </w:tc>
                <w:tc>
                  <w:tcPr>
                    <w:tcW w:w="4719" w:type="pct"/>
                    <w:hideMark/>
                  </w:tcPr>
                  <w:p w14:paraId="74216DA7" w14:textId="77777777" w:rsidR="00AA1494" w:rsidRDefault="00AA1494">
                    <w:pPr>
                      <w:pStyle w:val="Bibliography"/>
                      <w:rPr>
                        <w:rFonts w:cs="Times New Roman"/>
                        <w:noProof/>
                      </w:rPr>
                    </w:pPr>
                    <w:r>
                      <w:rPr>
                        <w:rFonts w:cs="Times New Roman"/>
                        <w:noProof/>
                      </w:rPr>
                      <w:t xml:space="preserve">David G. Holmberg, David B. Hardin, and Steven T. Bushby. (2014, August) Facility Smart Grid Interface and a Demand Response Conceptual Model. [Online]. </w:t>
                    </w:r>
                    <w:hyperlink r:id="rId33" w:history="1">
                      <w:r>
                        <w:rPr>
                          <w:rStyle w:val="Hyperlink"/>
                          <w:rFonts w:cs="Times New Roman"/>
                          <w:noProof/>
                        </w:rPr>
                        <w:t>http://nvlpubs.nist.gov/nistpubs/TechnicalNotes/NIST.TN.1832.pdf</w:t>
                      </w:r>
                    </w:hyperlink>
                  </w:p>
                </w:tc>
              </w:tr>
              <w:tr w:rsidR="005F6E6B" w14:paraId="17FC6115" w14:textId="77777777" w:rsidTr="005F6E6B">
                <w:trPr>
                  <w:tblCellSpacing w:w="15" w:type="dxa"/>
                </w:trPr>
                <w:tc>
                  <w:tcPr>
                    <w:tcW w:w="235" w:type="pct"/>
                    <w:hideMark/>
                  </w:tcPr>
                  <w:p w14:paraId="4C2C993D" w14:textId="77777777" w:rsidR="00AA1494" w:rsidRDefault="00AA1494">
                    <w:pPr>
                      <w:pStyle w:val="Bibliography"/>
                      <w:jc w:val="right"/>
                      <w:rPr>
                        <w:rFonts w:cs="Times New Roman"/>
                        <w:noProof/>
                      </w:rPr>
                    </w:pPr>
                    <w:r>
                      <w:rPr>
                        <w:rFonts w:cs="Times New Roman"/>
                        <w:noProof/>
                      </w:rPr>
                      <w:lastRenderedPageBreak/>
                      <w:t>[27]</w:t>
                    </w:r>
                  </w:p>
                </w:tc>
                <w:tc>
                  <w:tcPr>
                    <w:tcW w:w="4719" w:type="pct"/>
                    <w:hideMark/>
                  </w:tcPr>
                  <w:p w14:paraId="65FF8E20" w14:textId="77777777" w:rsidR="00AA1494" w:rsidRDefault="00AA1494">
                    <w:pPr>
                      <w:pStyle w:val="Bibliography"/>
                      <w:rPr>
                        <w:rFonts w:cs="Times New Roman"/>
                        <w:noProof/>
                      </w:rPr>
                    </w:pPr>
                    <w:r>
                      <w:rPr>
                        <w:rFonts w:cs="Times New Roman"/>
                        <w:noProof/>
                      </w:rPr>
                      <w:t xml:space="preserve">F. A. Hayek, "The Use of Knowledge in Society," </w:t>
                    </w:r>
                    <w:r>
                      <w:rPr>
                        <w:rFonts w:cs="Times New Roman"/>
                        <w:i/>
                        <w:iCs/>
                        <w:noProof/>
                      </w:rPr>
                      <w:t>The American Economic Review</w:t>
                    </w:r>
                    <w:r>
                      <w:rPr>
                        <w:rFonts w:cs="Times New Roman"/>
                        <w:noProof/>
                      </w:rPr>
                      <w:t>, vol. 35, no. 4, pp. 519-530, 1945.</w:t>
                    </w:r>
                  </w:p>
                </w:tc>
              </w:tr>
              <w:tr w:rsidR="005F6E6B" w14:paraId="6B49A2B6" w14:textId="77777777" w:rsidTr="005F6E6B">
                <w:trPr>
                  <w:tblCellSpacing w:w="15" w:type="dxa"/>
                </w:trPr>
                <w:tc>
                  <w:tcPr>
                    <w:tcW w:w="235" w:type="pct"/>
                    <w:hideMark/>
                  </w:tcPr>
                  <w:p w14:paraId="482514FB" w14:textId="77777777" w:rsidR="00AA1494" w:rsidRDefault="00AA1494">
                    <w:pPr>
                      <w:pStyle w:val="Bibliography"/>
                      <w:jc w:val="right"/>
                      <w:rPr>
                        <w:rFonts w:cs="Times New Roman"/>
                        <w:noProof/>
                      </w:rPr>
                    </w:pPr>
                    <w:r>
                      <w:rPr>
                        <w:rFonts w:cs="Times New Roman"/>
                        <w:noProof/>
                      </w:rPr>
                      <w:t>[28]</w:t>
                    </w:r>
                  </w:p>
                </w:tc>
                <w:tc>
                  <w:tcPr>
                    <w:tcW w:w="4720" w:type="pct"/>
                    <w:hideMark/>
                  </w:tcPr>
                  <w:p w14:paraId="51A2BD6B" w14:textId="77777777" w:rsidR="00AA1494" w:rsidRDefault="00AA1494">
                    <w:pPr>
                      <w:pStyle w:val="Bibliography"/>
                      <w:rPr>
                        <w:rFonts w:cs="Times New Roman"/>
                        <w:noProof/>
                      </w:rPr>
                    </w:pPr>
                    <w:r>
                      <w:rPr>
                        <w:rFonts w:cs="Times New Roman"/>
                        <w:noProof/>
                      </w:rPr>
                      <w:t xml:space="preserve">OASIS. (2009, February) Web Services Business Activity (WS-BusinessActivity) Version 1.2. [Online]. </w:t>
                    </w:r>
                    <w:hyperlink r:id="rId34" w:history="1">
                      <w:r>
                        <w:rPr>
                          <w:rStyle w:val="Hyperlink"/>
                          <w:rFonts w:cs="Times New Roman"/>
                          <w:noProof/>
                        </w:rPr>
                        <w:t>http://docs.oasis-open.org/ws-tx/wstx-wsba-1.2-spec.html</w:t>
                      </w:r>
                    </w:hyperlink>
                  </w:p>
                </w:tc>
              </w:tr>
              <w:tr w:rsidR="005F6E6B" w14:paraId="074C3448" w14:textId="77777777" w:rsidTr="005F6E6B">
                <w:trPr>
                  <w:tblCellSpacing w:w="15" w:type="dxa"/>
                </w:trPr>
                <w:tc>
                  <w:tcPr>
                    <w:tcW w:w="235" w:type="pct"/>
                    <w:hideMark/>
                  </w:tcPr>
                  <w:p w14:paraId="02F40F17" w14:textId="77777777" w:rsidR="00AA1494" w:rsidRDefault="00AA1494">
                    <w:pPr>
                      <w:pStyle w:val="Bibliography"/>
                      <w:jc w:val="right"/>
                      <w:rPr>
                        <w:rFonts w:cs="Times New Roman"/>
                        <w:noProof/>
                      </w:rPr>
                    </w:pPr>
                    <w:r>
                      <w:rPr>
                        <w:rFonts w:cs="Times New Roman"/>
                        <w:noProof/>
                      </w:rPr>
                      <w:t>[29]</w:t>
                    </w:r>
                  </w:p>
                </w:tc>
                <w:tc>
                  <w:tcPr>
                    <w:tcW w:w="4720" w:type="pct"/>
                    <w:hideMark/>
                  </w:tcPr>
                  <w:p w14:paraId="67F39947" w14:textId="77777777" w:rsidR="00AA1494" w:rsidRDefault="00AA1494">
                    <w:pPr>
                      <w:pStyle w:val="Bibliography"/>
                      <w:rPr>
                        <w:rFonts w:cs="Times New Roman"/>
                        <w:noProof/>
                      </w:rPr>
                    </w:pPr>
                    <w:r>
                      <w:rPr>
                        <w:rFonts w:cs="Times New Roman"/>
                        <w:noProof/>
                      </w:rPr>
                      <w:t xml:space="preserve">J Gray and Andreas Reuter, </w:t>
                    </w:r>
                    <w:r>
                      <w:rPr>
                        <w:rFonts w:cs="Times New Roman"/>
                        <w:i/>
                        <w:iCs/>
                        <w:noProof/>
                      </w:rPr>
                      <w:t>Transaction Processing: Concepts and Techniques</w:t>
                    </w:r>
                    <w:r>
                      <w:rPr>
                        <w:rFonts w:cs="Times New Roman"/>
                        <w:noProof/>
                      </w:rPr>
                      <w:t>.: Morgan Kaufmann, 1993.</w:t>
                    </w:r>
                  </w:p>
                </w:tc>
              </w:tr>
              <w:tr w:rsidR="005F6E6B" w14:paraId="6407D03D" w14:textId="77777777" w:rsidTr="005F6E6B">
                <w:trPr>
                  <w:tblCellSpacing w:w="15" w:type="dxa"/>
                </w:trPr>
                <w:tc>
                  <w:tcPr>
                    <w:tcW w:w="235" w:type="pct"/>
                    <w:hideMark/>
                  </w:tcPr>
                  <w:p w14:paraId="117E5F76" w14:textId="77777777" w:rsidR="00AA1494" w:rsidRDefault="00AA1494">
                    <w:pPr>
                      <w:pStyle w:val="Bibliography"/>
                      <w:jc w:val="right"/>
                      <w:rPr>
                        <w:rFonts w:cs="Times New Roman"/>
                        <w:noProof/>
                      </w:rPr>
                    </w:pPr>
                    <w:r>
                      <w:rPr>
                        <w:rFonts w:cs="Times New Roman"/>
                        <w:noProof/>
                      </w:rPr>
                      <w:t>[30]</w:t>
                    </w:r>
                  </w:p>
                </w:tc>
                <w:tc>
                  <w:tcPr>
                    <w:tcW w:w="4720" w:type="pct"/>
                    <w:hideMark/>
                  </w:tcPr>
                  <w:p w14:paraId="3820F946" w14:textId="77777777" w:rsidR="00AA1494" w:rsidRDefault="00AA1494">
                    <w:pPr>
                      <w:pStyle w:val="Bibliography"/>
                      <w:rPr>
                        <w:rFonts w:cs="Times New Roman"/>
                        <w:noProof/>
                      </w:rPr>
                    </w:pPr>
                    <w:r>
                      <w:rPr>
                        <w:rFonts w:cs="Times New Roman"/>
                        <w:noProof/>
                      </w:rPr>
                      <w:t xml:space="preserve">OASIS. (2006) Reference Model for Service Oriented Architecture 1.0 (OASIS Standard). [Online]. </w:t>
                    </w:r>
                    <w:hyperlink r:id="rId35" w:history="1">
                      <w:r>
                        <w:rPr>
                          <w:rStyle w:val="Hyperlink"/>
                          <w:rFonts w:cs="Times New Roman"/>
                          <w:noProof/>
                        </w:rPr>
                        <w:t>http://docs.oasis-open.org/soa-rm/v1.0/soa-rm.html</w:t>
                      </w:r>
                    </w:hyperlink>
                  </w:p>
                </w:tc>
              </w:tr>
              <w:tr w:rsidR="005F6E6B" w14:paraId="2995BBB2" w14:textId="77777777" w:rsidTr="005F6E6B">
                <w:trPr>
                  <w:tblCellSpacing w:w="15" w:type="dxa"/>
                </w:trPr>
                <w:tc>
                  <w:tcPr>
                    <w:tcW w:w="235" w:type="pct"/>
                    <w:hideMark/>
                  </w:tcPr>
                  <w:p w14:paraId="1ACC9DE3" w14:textId="77777777" w:rsidR="00AA1494" w:rsidRDefault="00AA1494">
                    <w:pPr>
                      <w:pStyle w:val="Bibliography"/>
                      <w:jc w:val="right"/>
                      <w:rPr>
                        <w:rFonts w:cs="Times New Roman"/>
                        <w:noProof/>
                      </w:rPr>
                    </w:pPr>
                    <w:r>
                      <w:rPr>
                        <w:rFonts w:cs="Times New Roman"/>
                        <w:noProof/>
                      </w:rPr>
                      <w:t>[31]</w:t>
                    </w:r>
                  </w:p>
                </w:tc>
                <w:tc>
                  <w:tcPr>
                    <w:tcW w:w="4720" w:type="pct"/>
                    <w:hideMark/>
                  </w:tcPr>
                  <w:p w14:paraId="36D1CC41" w14:textId="77777777" w:rsidR="00AA1494" w:rsidRDefault="00AA1494">
                    <w:pPr>
                      <w:pStyle w:val="Bibliography"/>
                      <w:rPr>
                        <w:rFonts w:cs="Times New Roman"/>
                        <w:noProof/>
                      </w:rPr>
                    </w:pPr>
                    <w:r>
                      <w:rPr>
                        <w:rFonts w:cs="Times New Roman"/>
                        <w:noProof/>
                      </w:rPr>
                      <w:t>ASHRAE, "Facility Smart Grid Information Model," In Press, ASHRAE 201, 2016.</w:t>
                    </w:r>
                  </w:p>
                </w:tc>
              </w:tr>
              <w:tr w:rsidR="005F6E6B" w14:paraId="5DB2D33E" w14:textId="77777777" w:rsidTr="005F6E6B">
                <w:trPr>
                  <w:tblCellSpacing w:w="15" w:type="dxa"/>
                </w:trPr>
                <w:tc>
                  <w:tcPr>
                    <w:tcW w:w="235" w:type="pct"/>
                    <w:hideMark/>
                  </w:tcPr>
                  <w:p w14:paraId="704E6C96" w14:textId="77777777" w:rsidR="00AA1494" w:rsidRDefault="00AA1494">
                    <w:pPr>
                      <w:pStyle w:val="Bibliography"/>
                      <w:jc w:val="right"/>
                      <w:rPr>
                        <w:rFonts w:cs="Times New Roman"/>
                        <w:noProof/>
                      </w:rPr>
                    </w:pPr>
                    <w:r>
                      <w:rPr>
                        <w:rFonts w:cs="Times New Roman"/>
                        <w:noProof/>
                      </w:rPr>
                      <w:t>[32]</w:t>
                    </w:r>
                  </w:p>
                </w:tc>
                <w:tc>
                  <w:tcPr>
                    <w:tcW w:w="4720" w:type="pct"/>
                    <w:hideMark/>
                  </w:tcPr>
                  <w:p w14:paraId="0BA896EE" w14:textId="77777777" w:rsidR="00AA1494" w:rsidRDefault="00AA1494">
                    <w:pPr>
                      <w:pStyle w:val="Bibliography"/>
                      <w:rPr>
                        <w:rFonts w:cs="Times New Roman"/>
                        <w:noProof/>
                      </w:rPr>
                    </w:pPr>
                    <w:r>
                      <w:rPr>
                        <w:rFonts w:cs="Times New Roman"/>
                        <w:noProof/>
                      </w:rPr>
                      <w:t xml:space="preserve">GridWise Architecture Council. (2013) Transactive Energy Conference. [Online]. </w:t>
                    </w:r>
                    <w:hyperlink r:id="rId36" w:history="1">
                      <w:r>
                        <w:rPr>
                          <w:rStyle w:val="Hyperlink"/>
                          <w:rFonts w:cs="Times New Roman"/>
                          <w:noProof/>
                        </w:rPr>
                        <w:t>http://www.gridwiseac.org/pdfs/gwac_tec_052313/tec_2013_proceedings_pnnl_sa_96361.pdf</w:t>
                      </w:r>
                    </w:hyperlink>
                  </w:p>
                </w:tc>
              </w:tr>
              <w:tr w:rsidR="005F6E6B" w14:paraId="6EBAAFC4" w14:textId="77777777" w:rsidTr="005F6E6B">
                <w:trPr>
                  <w:tblCellSpacing w:w="15" w:type="dxa"/>
                </w:trPr>
                <w:tc>
                  <w:tcPr>
                    <w:tcW w:w="235" w:type="pct"/>
                    <w:hideMark/>
                  </w:tcPr>
                  <w:p w14:paraId="305EE6DD" w14:textId="77777777" w:rsidR="00AA1494" w:rsidRDefault="00AA1494">
                    <w:pPr>
                      <w:pStyle w:val="Bibliography"/>
                      <w:jc w:val="right"/>
                      <w:rPr>
                        <w:rFonts w:cs="Times New Roman"/>
                        <w:noProof/>
                      </w:rPr>
                    </w:pPr>
                    <w:r>
                      <w:rPr>
                        <w:rFonts w:cs="Times New Roman"/>
                        <w:noProof/>
                      </w:rPr>
                      <w:t>[33]</w:t>
                    </w:r>
                  </w:p>
                </w:tc>
                <w:tc>
                  <w:tcPr>
                    <w:tcW w:w="4720" w:type="pct"/>
                    <w:hideMark/>
                  </w:tcPr>
                  <w:p w14:paraId="43CB70FF" w14:textId="77777777" w:rsidR="00AA1494" w:rsidRDefault="00AA1494">
                    <w:pPr>
                      <w:pStyle w:val="Bibliography"/>
                      <w:rPr>
                        <w:rFonts w:cs="Times New Roman"/>
                        <w:noProof/>
                      </w:rPr>
                    </w:pPr>
                    <w:r>
                      <w:rPr>
                        <w:rFonts w:cs="Times New Roman"/>
                        <w:noProof/>
                      </w:rPr>
                      <w:t>Don Libes et al., "The AMIS Approach to Systems Integration: An Overview," National Institute of Standards and Technology, NISTIR 7101, 2004.</w:t>
                    </w:r>
                  </w:p>
                </w:tc>
              </w:tr>
              <w:tr w:rsidR="005F6E6B" w14:paraId="634950A3" w14:textId="77777777" w:rsidTr="005F6E6B">
                <w:trPr>
                  <w:tblCellSpacing w:w="15" w:type="dxa"/>
                </w:trPr>
                <w:tc>
                  <w:tcPr>
                    <w:tcW w:w="235" w:type="pct"/>
                    <w:hideMark/>
                  </w:tcPr>
                  <w:p w14:paraId="0AF5D6D6" w14:textId="77777777" w:rsidR="00AA1494" w:rsidRDefault="00AA1494">
                    <w:pPr>
                      <w:pStyle w:val="Bibliography"/>
                      <w:jc w:val="right"/>
                      <w:rPr>
                        <w:rFonts w:cs="Times New Roman"/>
                        <w:noProof/>
                      </w:rPr>
                    </w:pPr>
                    <w:r>
                      <w:rPr>
                        <w:rFonts w:cs="Times New Roman"/>
                        <w:noProof/>
                      </w:rPr>
                      <w:t>[34]</w:t>
                    </w:r>
                  </w:p>
                </w:tc>
                <w:tc>
                  <w:tcPr>
                    <w:tcW w:w="4720" w:type="pct"/>
                    <w:hideMark/>
                  </w:tcPr>
                  <w:p w14:paraId="143F811F" w14:textId="77777777" w:rsidR="00AA1494" w:rsidRDefault="00AA1494">
                    <w:pPr>
                      <w:pStyle w:val="Bibliography"/>
                      <w:rPr>
                        <w:rFonts w:cs="Times New Roman"/>
                        <w:noProof/>
                      </w:rPr>
                    </w:pPr>
                    <w:r>
                      <w:rPr>
                        <w:rFonts w:cs="Times New Roman"/>
                        <w:noProof/>
                      </w:rPr>
                      <w:t xml:space="preserve">William Cox. (2013, May) Cox Software Architects LLC. [Online]. </w:t>
                    </w:r>
                    <w:hyperlink r:id="rId37" w:history="1">
                      <w:r>
                        <w:rPr>
                          <w:rStyle w:val="Hyperlink"/>
                          <w:rFonts w:cs="Times New Roman"/>
                          <w:noProof/>
                        </w:rPr>
                        <w:t>http://coxsoftwarearchitects.com/Resources/TEC2013/Taxonomy_Transactive_Energy_Cox_20130523.pdf</w:t>
                      </w:r>
                    </w:hyperlink>
                  </w:p>
                </w:tc>
              </w:tr>
              <w:tr w:rsidR="005F6E6B" w14:paraId="3F626916" w14:textId="77777777" w:rsidTr="005F6E6B">
                <w:trPr>
                  <w:tblCellSpacing w:w="15" w:type="dxa"/>
                </w:trPr>
                <w:tc>
                  <w:tcPr>
                    <w:tcW w:w="235" w:type="pct"/>
                    <w:hideMark/>
                  </w:tcPr>
                  <w:p w14:paraId="0EA756E8" w14:textId="77777777" w:rsidR="00AA1494" w:rsidRDefault="00AA1494">
                    <w:pPr>
                      <w:pStyle w:val="Bibliography"/>
                      <w:jc w:val="right"/>
                      <w:rPr>
                        <w:rFonts w:cs="Times New Roman"/>
                        <w:noProof/>
                      </w:rPr>
                    </w:pPr>
                    <w:r>
                      <w:rPr>
                        <w:rFonts w:cs="Times New Roman"/>
                        <w:noProof/>
                      </w:rPr>
                      <w:t>[35]</w:t>
                    </w:r>
                  </w:p>
                </w:tc>
                <w:tc>
                  <w:tcPr>
                    <w:tcW w:w="4720" w:type="pct"/>
                    <w:hideMark/>
                  </w:tcPr>
                  <w:p w14:paraId="44BDC604" w14:textId="77777777" w:rsidR="00AA1494" w:rsidRDefault="00AA1494">
                    <w:pPr>
                      <w:pStyle w:val="Bibliography"/>
                      <w:rPr>
                        <w:rFonts w:cs="Times New Roman"/>
                        <w:noProof/>
                      </w:rPr>
                    </w:pPr>
                    <w:r>
                      <w:rPr>
                        <w:rFonts w:cs="Times New Roman"/>
                        <w:noProof/>
                      </w:rPr>
                      <w:t xml:space="preserve">D Hammerstrom et al., "Pacific Northwest Smart Grid Demonstration Project: Metrics and Benefits Reporting Plan," Pacific Northwest Division, Battell Memorial Institute, Richland WA, PNW-SGDP-MB-001 Revision 3.2, July 31, 2013. [Online]. </w:t>
                    </w:r>
                    <w:hyperlink r:id="rId38" w:history="1">
                      <w:r>
                        <w:rPr>
                          <w:rStyle w:val="Hyperlink"/>
                          <w:rFonts w:cs="Times New Roman"/>
                          <w:noProof/>
                        </w:rPr>
                        <w:t>http://www.pnwsmartgrid.org/docs/PNWSGDP_MBRP_Revision_3.2.pdf</w:t>
                      </w:r>
                    </w:hyperlink>
                  </w:p>
                </w:tc>
              </w:tr>
              <w:tr w:rsidR="005F6E6B" w14:paraId="7AED4F26" w14:textId="77777777" w:rsidTr="005F6E6B">
                <w:trPr>
                  <w:tblCellSpacing w:w="15" w:type="dxa"/>
                </w:trPr>
                <w:tc>
                  <w:tcPr>
                    <w:tcW w:w="235" w:type="pct"/>
                    <w:hideMark/>
                  </w:tcPr>
                  <w:p w14:paraId="3D663E78" w14:textId="77777777" w:rsidR="00AA1494" w:rsidRDefault="00AA1494">
                    <w:pPr>
                      <w:pStyle w:val="Bibliography"/>
                      <w:jc w:val="right"/>
                      <w:rPr>
                        <w:rFonts w:cs="Times New Roman"/>
                        <w:noProof/>
                      </w:rPr>
                    </w:pPr>
                    <w:r>
                      <w:rPr>
                        <w:rFonts w:cs="Times New Roman"/>
                        <w:noProof/>
                      </w:rPr>
                      <w:t>[36]</w:t>
                    </w:r>
                  </w:p>
                </w:tc>
                <w:tc>
                  <w:tcPr>
                    <w:tcW w:w="4720" w:type="pct"/>
                    <w:hideMark/>
                  </w:tcPr>
                  <w:p w14:paraId="16775464" w14:textId="77777777" w:rsidR="00AA1494" w:rsidRDefault="00AA1494">
                    <w:pPr>
                      <w:pStyle w:val="Bibliography"/>
                      <w:rPr>
                        <w:rFonts w:cs="Times New Roman"/>
                        <w:noProof/>
                      </w:rPr>
                    </w:pPr>
                    <w:r>
                      <w:rPr>
                        <w:rFonts w:cs="Times New Roman"/>
                        <w:noProof/>
                      </w:rPr>
                      <w:t>Olga A Kuchar, Stephen T Elbert, and Cristina Marinovici, "PNWSGD Data Colletion: Non-Transactive Data: XML Schema and Examples," Pacific Northwest National Laboratory, PNNL-25140 Rel 3.0, 2015.</w:t>
                    </w:r>
                  </w:p>
                </w:tc>
              </w:tr>
            </w:tbl>
            <w:p w14:paraId="7D02684D" w14:textId="77777777" w:rsidR="00AA1494" w:rsidRDefault="00AA1494" w:rsidP="00AA1494">
              <w:pPr>
                <w:pStyle w:val="Bibliography"/>
                <w:rPr>
                  <w:rFonts w:eastAsiaTheme="minorEastAsia" w:cs="Times New Roman"/>
                  <w:noProof/>
                  <w:vanish/>
                </w:rPr>
              </w:pPr>
              <w:r>
                <w:rPr>
                  <w:rFonts w:cs="Times New Roman"/>
                  <w:noProof/>
                  <w:vanish/>
                </w:rPr>
                <w:t>x</w:t>
              </w:r>
            </w:p>
            <w:p w14:paraId="71422878" w14:textId="345856E6" w:rsidR="00C3143A" w:rsidRDefault="00C3143A" w:rsidP="00AA1494">
              <w:r>
                <w:rPr>
                  <w:b/>
                  <w:bCs/>
                  <w:noProof/>
                </w:rPr>
                <w:fldChar w:fldCharType="end"/>
              </w:r>
            </w:p>
          </w:sdtContent>
        </w:sdt>
      </w:sdtContent>
    </w:sdt>
    <w:p w14:paraId="6B1684C9" w14:textId="2E564AEF" w:rsidR="00A97E4E" w:rsidRDefault="00A97E4E">
      <w:pPr>
        <w:spacing w:after="160" w:line="259" w:lineRule="auto"/>
      </w:pPr>
    </w:p>
    <w:p w14:paraId="7D9795A6" w14:textId="77777777" w:rsidR="002E1657" w:rsidRDefault="002E1657" w:rsidP="00AD355F">
      <w:pPr>
        <w:pStyle w:val="Heading1"/>
        <w:spacing w:before="0" w:after="120"/>
        <w:sectPr w:rsidR="002E1657" w:rsidSect="00AF0BD4">
          <w:footerReference w:type="default" r:id="rId39"/>
          <w:pgSz w:w="12240" w:h="15840"/>
          <w:pgMar w:top="1440" w:right="2340" w:bottom="1440" w:left="1440" w:header="720" w:footer="720" w:gutter="0"/>
          <w:lnNumType w:countBy="1" w:restart="continuous"/>
          <w:cols w:space="720"/>
          <w:docGrid w:linePitch="360"/>
        </w:sectPr>
      </w:pPr>
    </w:p>
    <w:p w14:paraId="7BED58EA" w14:textId="32478A76" w:rsidR="00B93EE8" w:rsidRDefault="00B93EE8" w:rsidP="00AD355F">
      <w:pPr>
        <w:pStyle w:val="Heading1"/>
        <w:spacing w:before="0" w:after="120"/>
      </w:pPr>
      <w:r>
        <w:lastRenderedPageBreak/>
        <w:t xml:space="preserve">Annex 1 </w:t>
      </w:r>
    </w:p>
    <w:p w14:paraId="04585D46" w14:textId="18E1EA43" w:rsidR="002E1657" w:rsidRDefault="00700A0B" w:rsidP="002E1657">
      <w:pPr>
        <w:spacing w:after="120"/>
      </w:pPr>
      <w:proofErr w:type="gramStart"/>
      <w:r>
        <w:t>S</w:t>
      </w:r>
      <w:r w:rsidR="00B93EE8">
        <w:t>ummary of analysis of Transactive Systems of Interest</w:t>
      </w:r>
      <w:r w:rsidR="00E23E88">
        <w:t xml:space="preserve"> and integration with Common Transactive Services.</w:t>
      </w:r>
      <w:bookmarkStart w:id="12" w:name="_Ref315357114"/>
      <w:proofErr w:type="gramEnd"/>
    </w:p>
    <w:p w14:paraId="3677D6D0" w14:textId="4FC26459" w:rsidR="002E1657" w:rsidRDefault="002E1657" w:rsidP="002E1657"/>
    <w:tbl>
      <w:tblPr>
        <w:tblW w:w="0" w:type="auto"/>
        <w:tblLayout w:type="fixed"/>
        <w:tblLook w:val="04A0" w:firstRow="1" w:lastRow="0" w:firstColumn="1" w:lastColumn="0" w:noHBand="0" w:noVBand="1"/>
      </w:tblPr>
      <w:tblGrid>
        <w:gridCol w:w="1260"/>
        <w:gridCol w:w="1629"/>
        <w:gridCol w:w="2061"/>
        <w:gridCol w:w="3780"/>
        <w:gridCol w:w="1710"/>
        <w:gridCol w:w="2520"/>
      </w:tblGrid>
      <w:tr w:rsidR="002E1657" w:rsidRPr="002E1657" w14:paraId="7B2C26CA" w14:textId="77777777" w:rsidTr="00356AFC">
        <w:trPr>
          <w:cantSplit/>
          <w:trHeight w:val="342"/>
          <w:tblHeader/>
        </w:trPr>
        <w:tc>
          <w:tcPr>
            <w:tcW w:w="1260" w:type="dxa"/>
            <w:tcBorders>
              <w:top w:val="nil"/>
              <w:left w:val="nil"/>
              <w:bottom w:val="nil"/>
              <w:right w:val="nil"/>
            </w:tcBorders>
            <w:shd w:val="clear" w:color="auto" w:fill="auto"/>
            <w:hideMark/>
          </w:tcPr>
          <w:p w14:paraId="534FE36A" w14:textId="77777777" w:rsidR="002E1657" w:rsidRPr="002E1657" w:rsidRDefault="002E1657" w:rsidP="00AA094C">
            <w:pPr>
              <w:spacing w:after="0"/>
              <w:jc w:val="center"/>
              <w:rPr>
                <w:rFonts w:ascii="Times New Roman" w:eastAsia="Times New Roman" w:hAnsi="Times New Roman" w:cs="Times New Roman"/>
                <w:b/>
                <w:bCs/>
                <w:color w:val="000000"/>
                <w:sz w:val="18"/>
                <w:szCs w:val="28"/>
              </w:rPr>
            </w:pPr>
            <w:r w:rsidRPr="002E1657">
              <w:rPr>
                <w:rFonts w:ascii="Times New Roman" w:eastAsia="Times New Roman" w:hAnsi="Times New Roman" w:cs="Times New Roman"/>
                <w:b/>
                <w:bCs/>
                <w:color w:val="000000"/>
                <w:sz w:val="18"/>
                <w:szCs w:val="28"/>
              </w:rPr>
              <w:t>Abbreviation</w:t>
            </w:r>
          </w:p>
        </w:tc>
        <w:tc>
          <w:tcPr>
            <w:tcW w:w="1629" w:type="dxa"/>
            <w:tcBorders>
              <w:top w:val="nil"/>
              <w:left w:val="nil"/>
              <w:bottom w:val="nil"/>
              <w:right w:val="nil"/>
            </w:tcBorders>
            <w:shd w:val="clear" w:color="auto" w:fill="auto"/>
            <w:hideMark/>
          </w:tcPr>
          <w:p w14:paraId="3AD44315" w14:textId="77777777" w:rsidR="002E1657" w:rsidRPr="002E1657" w:rsidRDefault="002E1657" w:rsidP="002E1657">
            <w:pPr>
              <w:spacing w:after="0"/>
              <w:jc w:val="center"/>
              <w:rPr>
                <w:rFonts w:ascii="Times New Roman" w:eastAsia="Times New Roman" w:hAnsi="Times New Roman" w:cs="Times New Roman"/>
                <w:b/>
                <w:bCs/>
                <w:color w:val="000000"/>
                <w:sz w:val="18"/>
                <w:szCs w:val="32"/>
              </w:rPr>
            </w:pPr>
            <w:r w:rsidRPr="002E1657">
              <w:rPr>
                <w:rFonts w:ascii="Times New Roman" w:eastAsia="Times New Roman" w:hAnsi="Times New Roman" w:cs="Times New Roman"/>
                <w:b/>
                <w:bCs/>
                <w:color w:val="000000"/>
                <w:sz w:val="18"/>
                <w:szCs w:val="32"/>
              </w:rPr>
              <w:t>EI</w:t>
            </w:r>
          </w:p>
        </w:tc>
        <w:tc>
          <w:tcPr>
            <w:tcW w:w="2061" w:type="dxa"/>
            <w:tcBorders>
              <w:top w:val="nil"/>
              <w:left w:val="nil"/>
              <w:bottom w:val="nil"/>
              <w:right w:val="nil"/>
            </w:tcBorders>
            <w:shd w:val="clear" w:color="auto" w:fill="auto"/>
            <w:hideMark/>
          </w:tcPr>
          <w:p w14:paraId="7C1E53D8" w14:textId="77777777" w:rsidR="002E1657" w:rsidRPr="002E1657" w:rsidRDefault="002E1657" w:rsidP="002E1657">
            <w:pPr>
              <w:spacing w:after="0"/>
              <w:jc w:val="center"/>
              <w:rPr>
                <w:rFonts w:ascii="Times New Roman" w:eastAsia="Times New Roman" w:hAnsi="Times New Roman" w:cs="Times New Roman"/>
                <w:b/>
                <w:bCs/>
                <w:color w:val="000000"/>
                <w:sz w:val="18"/>
                <w:szCs w:val="32"/>
              </w:rPr>
            </w:pPr>
            <w:r w:rsidRPr="002E1657">
              <w:rPr>
                <w:rFonts w:ascii="Times New Roman" w:eastAsia="Times New Roman" w:hAnsi="Times New Roman" w:cs="Times New Roman"/>
                <w:b/>
                <w:bCs/>
                <w:color w:val="000000"/>
                <w:sz w:val="18"/>
                <w:szCs w:val="32"/>
              </w:rPr>
              <w:t>IEC Markets</w:t>
            </w:r>
          </w:p>
        </w:tc>
        <w:tc>
          <w:tcPr>
            <w:tcW w:w="3780" w:type="dxa"/>
            <w:tcBorders>
              <w:top w:val="nil"/>
              <w:left w:val="nil"/>
              <w:bottom w:val="nil"/>
              <w:right w:val="nil"/>
            </w:tcBorders>
            <w:shd w:val="clear" w:color="auto" w:fill="auto"/>
            <w:hideMark/>
          </w:tcPr>
          <w:p w14:paraId="32836FCB" w14:textId="77777777" w:rsidR="002E1657" w:rsidRPr="002E1657" w:rsidRDefault="002E1657" w:rsidP="002E1657">
            <w:pPr>
              <w:spacing w:after="0"/>
              <w:jc w:val="center"/>
              <w:rPr>
                <w:rFonts w:ascii="Times New Roman" w:eastAsia="Times New Roman" w:hAnsi="Times New Roman" w:cs="Times New Roman"/>
                <w:b/>
                <w:bCs/>
                <w:color w:val="000000"/>
                <w:sz w:val="18"/>
                <w:szCs w:val="32"/>
              </w:rPr>
            </w:pPr>
            <w:r w:rsidRPr="002E1657">
              <w:rPr>
                <w:rFonts w:ascii="Times New Roman" w:eastAsia="Times New Roman" w:hAnsi="Times New Roman" w:cs="Times New Roman"/>
                <w:b/>
                <w:bCs/>
                <w:color w:val="000000"/>
                <w:sz w:val="18"/>
                <w:szCs w:val="32"/>
              </w:rPr>
              <w:t>PNW</w:t>
            </w:r>
          </w:p>
        </w:tc>
        <w:tc>
          <w:tcPr>
            <w:tcW w:w="1710" w:type="dxa"/>
            <w:tcBorders>
              <w:top w:val="nil"/>
              <w:left w:val="nil"/>
              <w:bottom w:val="nil"/>
              <w:right w:val="nil"/>
            </w:tcBorders>
            <w:shd w:val="clear" w:color="auto" w:fill="auto"/>
            <w:hideMark/>
          </w:tcPr>
          <w:p w14:paraId="77648EFE" w14:textId="77777777" w:rsidR="002E1657" w:rsidRPr="002E1657" w:rsidRDefault="002E1657" w:rsidP="002E1657">
            <w:pPr>
              <w:spacing w:after="0"/>
              <w:jc w:val="center"/>
              <w:rPr>
                <w:rFonts w:ascii="Times New Roman" w:eastAsia="Times New Roman" w:hAnsi="Times New Roman" w:cs="Times New Roman"/>
                <w:b/>
                <w:bCs/>
                <w:color w:val="000000"/>
                <w:sz w:val="18"/>
                <w:szCs w:val="32"/>
              </w:rPr>
            </w:pPr>
            <w:r w:rsidRPr="002E1657">
              <w:rPr>
                <w:rFonts w:ascii="Times New Roman" w:eastAsia="Times New Roman" w:hAnsi="Times New Roman" w:cs="Times New Roman"/>
                <w:b/>
                <w:bCs/>
                <w:color w:val="000000"/>
                <w:sz w:val="18"/>
                <w:szCs w:val="32"/>
              </w:rPr>
              <w:t>PM</w:t>
            </w:r>
          </w:p>
        </w:tc>
        <w:tc>
          <w:tcPr>
            <w:tcW w:w="2520" w:type="dxa"/>
            <w:tcBorders>
              <w:top w:val="nil"/>
              <w:left w:val="nil"/>
              <w:bottom w:val="nil"/>
              <w:right w:val="nil"/>
            </w:tcBorders>
            <w:shd w:val="clear" w:color="auto" w:fill="auto"/>
            <w:hideMark/>
          </w:tcPr>
          <w:p w14:paraId="67CE94B7" w14:textId="77777777" w:rsidR="002E1657" w:rsidRPr="002E1657" w:rsidRDefault="002E1657" w:rsidP="002E1657">
            <w:pPr>
              <w:spacing w:after="0"/>
              <w:jc w:val="center"/>
              <w:rPr>
                <w:rFonts w:ascii="Times New Roman" w:eastAsia="Times New Roman" w:hAnsi="Times New Roman" w:cs="Times New Roman"/>
                <w:b/>
                <w:bCs/>
                <w:color w:val="000000"/>
                <w:sz w:val="18"/>
                <w:szCs w:val="32"/>
              </w:rPr>
            </w:pPr>
            <w:r w:rsidRPr="002E1657">
              <w:rPr>
                <w:rFonts w:ascii="Times New Roman" w:eastAsia="Times New Roman" w:hAnsi="Times New Roman" w:cs="Times New Roman"/>
                <w:b/>
                <w:bCs/>
                <w:color w:val="000000"/>
                <w:sz w:val="18"/>
                <w:szCs w:val="32"/>
              </w:rPr>
              <w:t>TEMIX</w:t>
            </w:r>
          </w:p>
        </w:tc>
      </w:tr>
      <w:tr w:rsidR="002E1657" w:rsidRPr="002E1657" w14:paraId="336D72B9" w14:textId="77777777" w:rsidTr="00356AFC">
        <w:trPr>
          <w:cantSplit/>
          <w:tblHeader/>
        </w:trPr>
        <w:tc>
          <w:tcPr>
            <w:tcW w:w="1260" w:type="dxa"/>
            <w:tcBorders>
              <w:top w:val="nil"/>
              <w:left w:val="nil"/>
              <w:bottom w:val="nil"/>
              <w:right w:val="single" w:sz="4" w:space="0" w:color="auto"/>
            </w:tcBorders>
            <w:shd w:val="clear" w:color="auto" w:fill="auto"/>
            <w:vAlign w:val="center"/>
            <w:hideMark/>
          </w:tcPr>
          <w:p w14:paraId="32030DA1" w14:textId="77777777" w:rsidR="002E1657" w:rsidRPr="002E1657" w:rsidRDefault="002E1657" w:rsidP="002E1657">
            <w:pPr>
              <w:spacing w:after="0"/>
              <w:jc w:val="center"/>
              <w:rPr>
                <w:rFonts w:ascii="Times New Roman" w:eastAsia="Times New Roman" w:hAnsi="Times New Roman" w:cs="Times New Roman"/>
                <w:b/>
                <w:bCs/>
                <w:i/>
                <w:iCs/>
                <w:color w:val="000000"/>
                <w:sz w:val="18"/>
                <w:szCs w:val="32"/>
              </w:rPr>
            </w:pPr>
            <w:proofErr w:type="gramStart"/>
            <w:r w:rsidRPr="002E1657">
              <w:rPr>
                <w:rFonts w:ascii="Times New Roman" w:eastAsia="Times New Roman" w:hAnsi="Times New Roman" w:cs="Times New Roman"/>
                <w:b/>
                <w:bCs/>
                <w:i/>
                <w:iCs/>
                <w:color w:val="000000"/>
                <w:sz w:val="18"/>
                <w:szCs w:val="32"/>
              </w:rPr>
              <w:t>Common  Transactive</w:t>
            </w:r>
            <w:proofErr w:type="gramEnd"/>
            <w:r w:rsidRPr="002E1657">
              <w:rPr>
                <w:rFonts w:ascii="Times New Roman" w:eastAsia="Times New Roman" w:hAnsi="Times New Roman" w:cs="Times New Roman"/>
                <w:b/>
                <w:bCs/>
                <w:i/>
                <w:iCs/>
                <w:color w:val="000000"/>
                <w:sz w:val="18"/>
                <w:szCs w:val="32"/>
              </w:rPr>
              <w:t xml:space="preserve"> Service</w:t>
            </w:r>
          </w:p>
        </w:tc>
        <w:tc>
          <w:tcPr>
            <w:tcW w:w="1629" w:type="dxa"/>
            <w:tcBorders>
              <w:top w:val="nil"/>
              <w:left w:val="nil"/>
              <w:bottom w:val="nil"/>
              <w:right w:val="nil"/>
            </w:tcBorders>
            <w:shd w:val="clear" w:color="auto" w:fill="auto"/>
            <w:vAlign w:val="center"/>
            <w:hideMark/>
          </w:tcPr>
          <w:p w14:paraId="3A2EACF6" w14:textId="77777777" w:rsidR="002E1657" w:rsidRPr="002E1657" w:rsidRDefault="002E1657" w:rsidP="002E1657">
            <w:pPr>
              <w:spacing w:after="0"/>
              <w:jc w:val="center"/>
              <w:rPr>
                <w:rFonts w:ascii="Times New Roman" w:eastAsia="Times New Roman" w:hAnsi="Times New Roman" w:cs="Times New Roman"/>
                <w:b/>
                <w:bCs/>
                <w:i/>
                <w:iCs/>
                <w:color w:val="000000"/>
                <w:sz w:val="18"/>
                <w:szCs w:val="32"/>
              </w:rPr>
            </w:pPr>
            <w:r w:rsidRPr="002E1657">
              <w:rPr>
                <w:rFonts w:ascii="Times New Roman" w:eastAsia="Times New Roman" w:hAnsi="Times New Roman" w:cs="Times New Roman"/>
                <w:b/>
                <w:bCs/>
                <w:i/>
                <w:iCs/>
                <w:color w:val="000000"/>
                <w:sz w:val="18"/>
                <w:szCs w:val="32"/>
              </w:rPr>
              <w:t>Energy Interoperation</w:t>
            </w:r>
          </w:p>
        </w:tc>
        <w:tc>
          <w:tcPr>
            <w:tcW w:w="2061" w:type="dxa"/>
            <w:tcBorders>
              <w:top w:val="nil"/>
              <w:left w:val="nil"/>
              <w:bottom w:val="nil"/>
              <w:right w:val="nil"/>
            </w:tcBorders>
            <w:shd w:val="clear" w:color="auto" w:fill="auto"/>
            <w:vAlign w:val="center"/>
            <w:hideMark/>
          </w:tcPr>
          <w:p w14:paraId="2BAE1A2F" w14:textId="77777777" w:rsidR="002E1657" w:rsidRPr="002E1657" w:rsidRDefault="002E1657" w:rsidP="002E1657">
            <w:pPr>
              <w:spacing w:after="0"/>
              <w:jc w:val="center"/>
              <w:rPr>
                <w:rFonts w:ascii="Times New Roman" w:eastAsia="Times New Roman" w:hAnsi="Times New Roman" w:cs="Times New Roman"/>
                <w:b/>
                <w:bCs/>
                <w:i/>
                <w:iCs/>
                <w:color w:val="000000"/>
                <w:sz w:val="18"/>
                <w:szCs w:val="32"/>
              </w:rPr>
            </w:pPr>
            <w:r w:rsidRPr="002E1657">
              <w:rPr>
                <w:rFonts w:ascii="Times New Roman" w:eastAsia="Times New Roman" w:hAnsi="Times New Roman" w:cs="Times New Roman"/>
                <w:b/>
                <w:bCs/>
                <w:i/>
                <w:iCs/>
                <w:color w:val="000000"/>
                <w:sz w:val="18"/>
                <w:szCs w:val="32"/>
              </w:rPr>
              <w:t>IEC 62325 Family</w:t>
            </w:r>
          </w:p>
        </w:tc>
        <w:tc>
          <w:tcPr>
            <w:tcW w:w="3780" w:type="dxa"/>
            <w:tcBorders>
              <w:top w:val="nil"/>
              <w:left w:val="nil"/>
              <w:bottom w:val="nil"/>
              <w:right w:val="nil"/>
            </w:tcBorders>
            <w:shd w:val="clear" w:color="auto" w:fill="auto"/>
            <w:vAlign w:val="center"/>
            <w:hideMark/>
          </w:tcPr>
          <w:p w14:paraId="512F351F" w14:textId="77777777" w:rsidR="002E1657" w:rsidRPr="002E1657" w:rsidRDefault="002E1657" w:rsidP="002E1657">
            <w:pPr>
              <w:spacing w:after="0"/>
              <w:jc w:val="center"/>
              <w:rPr>
                <w:rFonts w:ascii="Times New Roman" w:eastAsia="Times New Roman" w:hAnsi="Times New Roman" w:cs="Times New Roman"/>
                <w:b/>
                <w:bCs/>
                <w:i/>
                <w:iCs/>
                <w:color w:val="000000"/>
                <w:sz w:val="18"/>
                <w:szCs w:val="32"/>
              </w:rPr>
            </w:pPr>
            <w:r w:rsidRPr="002E1657">
              <w:rPr>
                <w:rFonts w:ascii="Times New Roman" w:eastAsia="Times New Roman" w:hAnsi="Times New Roman" w:cs="Times New Roman"/>
                <w:b/>
                <w:bCs/>
                <w:i/>
                <w:iCs/>
                <w:color w:val="000000"/>
                <w:sz w:val="18"/>
                <w:szCs w:val="32"/>
              </w:rPr>
              <w:t>Pacific Northwest Smart Grid</w:t>
            </w:r>
            <w:r w:rsidRPr="002E1657">
              <w:rPr>
                <w:rFonts w:ascii="Times New Roman" w:eastAsia="Times New Roman" w:hAnsi="Times New Roman" w:cs="Times New Roman"/>
                <w:b/>
                <w:bCs/>
                <w:i/>
                <w:iCs/>
                <w:color w:val="000000"/>
                <w:sz w:val="18"/>
                <w:szCs w:val="32"/>
              </w:rPr>
              <w:br/>
              <w:t>Demonstration Project</w:t>
            </w:r>
          </w:p>
        </w:tc>
        <w:tc>
          <w:tcPr>
            <w:tcW w:w="1710" w:type="dxa"/>
            <w:tcBorders>
              <w:top w:val="nil"/>
              <w:left w:val="nil"/>
              <w:bottom w:val="nil"/>
              <w:right w:val="nil"/>
            </w:tcBorders>
            <w:shd w:val="clear" w:color="auto" w:fill="auto"/>
            <w:vAlign w:val="center"/>
            <w:hideMark/>
          </w:tcPr>
          <w:p w14:paraId="1B15BB02" w14:textId="77777777" w:rsidR="002E1657" w:rsidRPr="002E1657" w:rsidRDefault="002E1657" w:rsidP="002E1657">
            <w:pPr>
              <w:spacing w:after="0"/>
              <w:jc w:val="center"/>
              <w:rPr>
                <w:rFonts w:ascii="Times New Roman" w:eastAsia="Times New Roman" w:hAnsi="Times New Roman" w:cs="Times New Roman"/>
                <w:b/>
                <w:bCs/>
                <w:i/>
                <w:iCs/>
                <w:color w:val="000000"/>
                <w:sz w:val="18"/>
                <w:szCs w:val="32"/>
              </w:rPr>
            </w:pPr>
            <w:r w:rsidRPr="002E1657">
              <w:rPr>
                <w:rFonts w:ascii="Times New Roman" w:eastAsia="Times New Roman" w:hAnsi="Times New Roman" w:cs="Times New Roman"/>
                <w:b/>
                <w:bCs/>
                <w:i/>
                <w:iCs/>
                <w:color w:val="000000"/>
                <w:sz w:val="18"/>
                <w:szCs w:val="32"/>
              </w:rPr>
              <w:t>PowerMatcher</w:t>
            </w:r>
          </w:p>
        </w:tc>
        <w:tc>
          <w:tcPr>
            <w:tcW w:w="2520" w:type="dxa"/>
            <w:tcBorders>
              <w:top w:val="nil"/>
              <w:left w:val="nil"/>
              <w:bottom w:val="nil"/>
              <w:right w:val="nil"/>
            </w:tcBorders>
            <w:shd w:val="clear" w:color="auto" w:fill="auto"/>
            <w:vAlign w:val="center"/>
            <w:hideMark/>
          </w:tcPr>
          <w:p w14:paraId="2BB3FFEA" w14:textId="77777777" w:rsidR="002E1657" w:rsidRPr="002E1657" w:rsidRDefault="002E1657" w:rsidP="002E1657">
            <w:pPr>
              <w:spacing w:after="0"/>
              <w:jc w:val="center"/>
              <w:rPr>
                <w:rFonts w:ascii="Times New Roman" w:eastAsia="Times New Roman" w:hAnsi="Times New Roman" w:cs="Times New Roman"/>
                <w:b/>
                <w:bCs/>
                <w:i/>
                <w:iCs/>
                <w:color w:val="000000"/>
                <w:sz w:val="18"/>
                <w:szCs w:val="32"/>
              </w:rPr>
            </w:pPr>
            <w:r w:rsidRPr="002E1657">
              <w:rPr>
                <w:rFonts w:ascii="Times New Roman" w:eastAsia="Times New Roman" w:hAnsi="Times New Roman" w:cs="Times New Roman"/>
                <w:b/>
                <w:bCs/>
                <w:i/>
                <w:iCs/>
                <w:color w:val="000000"/>
                <w:sz w:val="18"/>
                <w:szCs w:val="32"/>
              </w:rPr>
              <w:t>TEMIX</w:t>
            </w:r>
          </w:p>
        </w:tc>
      </w:tr>
      <w:tr w:rsidR="002E1657" w:rsidRPr="002E1657" w14:paraId="6A08410A" w14:textId="77777777" w:rsidTr="00D843C0">
        <w:trPr>
          <w:cantSplit/>
        </w:trPr>
        <w:tc>
          <w:tcPr>
            <w:tcW w:w="1260" w:type="dxa"/>
            <w:tcBorders>
              <w:top w:val="nil"/>
              <w:left w:val="nil"/>
              <w:bottom w:val="nil"/>
              <w:right w:val="nil"/>
            </w:tcBorders>
            <w:shd w:val="clear" w:color="auto" w:fill="auto"/>
            <w:vAlign w:val="center"/>
            <w:hideMark/>
          </w:tcPr>
          <w:p w14:paraId="08D6FE53" w14:textId="77777777" w:rsidR="002E1657" w:rsidRPr="002E1657" w:rsidRDefault="002E1657" w:rsidP="002E1657">
            <w:pPr>
              <w:spacing w:after="0"/>
              <w:jc w:val="center"/>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Quote</w:t>
            </w:r>
          </w:p>
        </w:tc>
        <w:tc>
          <w:tcPr>
            <w:tcW w:w="1629" w:type="dxa"/>
            <w:tcBorders>
              <w:top w:val="single" w:sz="4" w:space="0" w:color="auto"/>
              <w:left w:val="single" w:sz="4" w:space="0" w:color="auto"/>
              <w:bottom w:val="single" w:sz="4" w:space="0" w:color="auto"/>
              <w:right w:val="single" w:sz="4" w:space="0" w:color="auto"/>
            </w:tcBorders>
            <w:shd w:val="clear" w:color="auto" w:fill="auto"/>
            <w:hideMark/>
          </w:tcPr>
          <w:p w14:paraId="3AE764D5"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For the OpenADR profile, EiEvent with timed series of prices. Quotes are logically and formally equivalent.</w:t>
            </w:r>
          </w:p>
        </w:tc>
        <w:tc>
          <w:tcPr>
            <w:tcW w:w="2061" w:type="dxa"/>
            <w:tcBorders>
              <w:top w:val="single" w:sz="4" w:space="0" w:color="auto"/>
              <w:left w:val="nil"/>
              <w:bottom w:val="single" w:sz="4" w:space="0" w:color="auto"/>
              <w:right w:val="single" w:sz="4" w:space="0" w:color="auto"/>
            </w:tcBorders>
            <w:shd w:val="clear" w:color="auto" w:fill="auto"/>
            <w:hideMark/>
          </w:tcPr>
          <w:p w14:paraId="5A141F70"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xml:space="preserve">Various Open Access Same-time Information System (OASIS) functions for previous market cycle clearing. Information on current and future cycles is within the market </w:t>
            </w:r>
            <w:proofErr w:type="spellStart"/>
            <w:r w:rsidRPr="002E1657">
              <w:rPr>
                <w:rFonts w:ascii="Times New Roman" w:eastAsia="Times New Roman" w:hAnsi="Times New Roman" w:cs="Times New Roman"/>
                <w:sz w:val="18"/>
                <w:szCs w:val="32"/>
              </w:rPr>
              <w:t>facilitiation</w:t>
            </w:r>
            <w:proofErr w:type="spellEnd"/>
            <w:r w:rsidRPr="002E1657">
              <w:rPr>
                <w:rFonts w:ascii="Times New Roman" w:eastAsia="Times New Roman" w:hAnsi="Times New Roman" w:cs="Times New Roman"/>
                <w:sz w:val="18"/>
                <w:szCs w:val="32"/>
              </w:rPr>
              <w:t xml:space="preserve"> function and not disclosed.</w:t>
            </w:r>
          </w:p>
        </w:tc>
        <w:tc>
          <w:tcPr>
            <w:tcW w:w="3780" w:type="dxa"/>
            <w:tcBorders>
              <w:top w:val="single" w:sz="4" w:space="0" w:color="auto"/>
              <w:left w:val="nil"/>
              <w:bottom w:val="single" w:sz="4" w:space="0" w:color="auto"/>
              <w:right w:val="single" w:sz="4" w:space="0" w:color="auto"/>
            </w:tcBorders>
            <w:shd w:val="clear" w:color="auto" w:fill="auto"/>
            <w:hideMark/>
          </w:tcPr>
          <w:p w14:paraId="5106E048"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color w:val="000000"/>
                <w:sz w:val="18"/>
                <w:szCs w:val="32"/>
              </w:rPr>
              <w:t xml:space="preserve">A forward curve for a blended energy price, based on energy that is intended to be imported into and/or generated at a node in an upcoming time period is exchanged between nodes This incentive signal represents a forward "delivered cost of energy" at the location, on which </w:t>
            </w:r>
            <w:proofErr w:type="gramStart"/>
            <w:r w:rsidRPr="002E1657">
              <w:rPr>
                <w:rFonts w:ascii="Times New Roman" w:eastAsia="Times New Roman" w:hAnsi="Times New Roman" w:cs="Times New Roman"/>
                <w:color w:val="000000"/>
                <w:sz w:val="18"/>
                <w:szCs w:val="32"/>
              </w:rPr>
              <w:t>demand planning</w:t>
            </w:r>
            <w:proofErr w:type="gramEnd"/>
            <w:r w:rsidRPr="002E1657">
              <w:rPr>
                <w:rFonts w:ascii="Times New Roman" w:eastAsia="Times New Roman" w:hAnsi="Times New Roman" w:cs="Times New Roman"/>
                <w:color w:val="000000"/>
                <w:sz w:val="18"/>
                <w:szCs w:val="32"/>
              </w:rPr>
              <w:t xml:space="preserve"> decisions may be made.</w:t>
            </w:r>
          </w:p>
        </w:tc>
        <w:tc>
          <w:tcPr>
            <w:tcW w:w="1710" w:type="dxa"/>
            <w:tcBorders>
              <w:top w:val="single" w:sz="4" w:space="0" w:color="auto"/>
              <w:left w:val="nil"/>
              <w:bottom w:val="single" w:sz="4" w:space="0" w:color="auto"/>
              <w:right w:val="single" w:sz="4" w:space="0" w:color="auto"/>
            </w:tcBorders>
            <w:shd w:val="clear" w:color="auto" w:fill="auto"/>
            <w:hideMark/>
          </w:tcPr>
          <w:p w14:paraId="0FD706C5"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w:t>
            </w:r>
          </w:p>
        </w:tc>
        <w:tc>
          <w:tcPr>
            <w:tcW w:w="2520" w:type="dxa"/>
            <w:tcBorders>
              <w:top w:val="single" w:sz="4" w:space="0" w:color="auto"/>
              <w:left w:val="nil"/>
              <w:bottom w:val="single" w:sz="4" w:space="0" w:color="auto"/>
              <w:right w:val="single" w:sz="4" w:space="0" w:color="auto"/>
            </w:tcBorders>
            <w:shd w:val="clear" w:color="auto" w:fill="auto"/>
            <w:hideMark/>
          </w:tcPr>
          <w:p w14:paraId="472B7A86" w14:textId="77777777" w:rsidR="002E1657" w:rsidRPr="002E1657" w:rsidRDefault="002E1657" w:rsidP="002E1657">
            <w:pPr>
              <w:spacing w:after="0"/>
              <w:rPr>
                <w:rFonts w:ascii="Times New Roman" w:eastAsia="Times New Roman" w:hAnsi="Times New Roman" w:cs="Times New Roman"/>
                <w:i/>
                <w:iCs/>
                <w:sz w:val="18"/>
                <w:szCs w:val="32"/>
              </w:rPr>
            </w:pPr>
            <w:r w:rsidRPr="002E1657">
              <w:rPr>
                <w:rFonts w:ascii="Times New Roman" w:eastAsia="Times New Roman" w:hAnsi="Times New Roman" w:cs="Times New Roman"/>
                <w:i/>
                <w:iCs/>
                <w:sz w:val="18"/>
                <w:szCs w:val="32"/>
              </w:rPr>
              <w:t>Typically not used.</w:t>
            </w:r>
            <w:r w:rsidRPr="002E1657">
              <w:rPr>
                <w:rFonts w:ascii="Times New Roman" w:eastAsia="Times New Roman" w:hAnsi="Times New Roman" w:cs="Times New Roman"/>
                <w:sz w:val="18"/>
                <w:szCs w:val="32"/>
              </w:rPr>
              <w:t xml:space="preserve">  Use the Tender Service with indication of interest set.</w:t>
            </w:r>
          </w:p>
        </w:tc>
      </w:tr>
      <w:tr w:rsidR="002E1657" w:rsidRPr="002E1657" w14:paraId="38C64DB9" w14:textId="77777777" w:rsidTr="00D843C0">
        <w:trPr>
          <w:cantSplit/>
        </w:trPr>
        <w:tc>
          <w:tcPr>
            <w:tcW w:w="1260" w:type="dxa"/>
            <w:tcBorders>
              <w:top w:val="nil"/>
              <w:left w:val="nil"/>
              <w:bottom w:val="nil"/>
              <w:right w:val="nil"/>
            </w:tcBorders>
            <w:shd w:val="clear" w:color="auto" w:fill="auto"/>
            <w:vAlign w:val="center"/>
            <w:hideMark/>
          </w:tcPr>
          <w:p w14:paraId="59B41F15" w14:textId="77777777" w:rsidR="002E1657" w:rsidRPr="002E1657" w:rsidRDefault="002E1657" w:rsidP="002E1657">
            <w:pPr>
              <w:spacing w:after="0"/>
              <w:jc w:val="center"/>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Indication of Interest</w:t>
            </w:r>
          </w:p>
        </w:tc>
        <w:tc>
          <w:tcPr>
            <w:tcW w:w="1629" w:type="dxa"/>
            <w:tcBorders>
              <w:top w:val="nil"/>
              <w:left w:val="single" w:sz="4" w:space="0" w:color="auto"/>
              <w:bottom w:val="single" w:sz="4" w:space="0" w:color="auto"/>
              <w:right w:val="single" w:sz="4" w:space="0" w:color="auto"/>
            </w:tcBorders>
            <w:shd w:val="clear" w:color="auto" w:fill="auto"/>
            <w:hideMark/>
          </w:tcPr>
          <w:p w14:paraId="6E194B88" w14:textId="58738145"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A "soft tender" that cannot be accepted; transactive state in the tender service must be set to "Tender" to allow transition to Transaction. If interested, a party responds with a Tender</w:t>
            </w:r>
            <w:r>
              <w:rPr>
                <w:rFonts w:ascii="Times New Roman" w:eastAsia="Times New Roman" w:hAnsi="Times New Roman" w:cs="Times New Roman"/>
                <w:sz w:val="18"/>
                <w:szCs w:val="32"/>
              </w:rPr>
              <w:t>.</w:t>
            </w:r>
          </w:p>
        </w:tc>
        <w:tc>
          <w:tcPr>
            <w:tcW w:w="2061" w:type="dxa"/>
            <w:tcBorders>
              <w:top w:val="nil"/>
              <w:left w:val="nil"/>
              <w:bottom w:val="single" w:sz="4" w:space="0" w:color="auto"/>
              <w:right w:val="single" w:sz="4" w:space="0" w:color="auto"/>
            </w:tcBorders>
            <w:shd w:val="clear" w:color="auto" w:fill="auto"/>
            <w:hideMark/>
          </w:tcPr>
          <w:p w14:paraId="5B73979E"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w:t>
            </w:r>
          </w:p>
        </w:tc>
        <w:tc>
          <w:tcPr>
            <w:tcW w:w="3780" w:type="dxa"/>
            <w:tcBorders>
              <w:top w:val="nil"/>
              <w:left w:val="nil"/>
              <w:bottom w:val="single" w:sz="4" w:space="0" w:color="auto"/>
              <w:right w:val="single" w:sz="4" w:space="0" w:color="auto"/>
            </w:tcBorders>
            <w:shd w:val="clear" w:color="auto" w:fill="auto"/>
            <w:hideMark/>
          </w:tcPr>
          <w:p w14:paraId="7C8C61EF"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Node locations respond to the price signals with forward demand intentions for the aggregate loads at this location, including for the energy that </w:t>
            </w:r>
            <w:proofErr w:type="gramStart"/>
            <w:r w:rsidRPr="002E1657">
              <w:rPr>
                <w:rFonts w:ascii="Times New Roman" w:eastAsia="Times New Roman" w:hAnsi="Times New Roman" w:cs="Times New Roman"/>
                <w:color w:val="000000"/>
                <w:sz w:val="18"/>
                <w:szCs w:val="32"/>
              </w:rPr>
              <w:t>is planned to become exported</w:t>
            </w:r>
            <w:proofErr w:type="gramEnd"/>
            <w:r w:rsidRPr="002E1657">
              <w:rPr>
                <w:rFonts w:ascii="Times New Roman" w:eastAsia="Times New Roman" w:hAnsi="Times New Roman" w:cs="Times New Roman"/>
                <w:color w:val="000000"/>
                <w:sz w:val="18"/>
                <w:szCs w:val="32"/>
              </w:rPr>
              <w:t xml:space="preserve"> from this location.</w:t>
            </w:r>
          </w:p>
        </w:tc>
        <w:tc>
          <w:tcPr>
            <w:tcW w:w="1710" w:type="dxa"/>
            <w:tcBorders>
              <w:top w:val="nil"/>
              <w:left w:val="nil"/>
              <w:bottom w:val="single" w:sz="4" w:space="0" w:color="auto"/>
              <w:right w:val="single" w:sz="4" w:space="0" w:color="auto"/>
            </w:tcBorders>
            <w:shd w:val="clear" w:color="auto" w:fill="auto"/>
            <w:hideMark/>
          </w:tcPr>
          <w:p w14:paraId="3096105A"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w:t>
            </w:r>
          </w:p>
        </w:tc>
        <w:tc>
          <w:tcPr>
            <w:tcW w:w="2520" w:type="dxa"/>
            <w:tcBorders>
              <w:top w:val="nil"/>
              <w:left w:val="nil"/>
              <w:bottom w:val="single" w:sz="4" w:space="0" w:color="auto"/>
              <w:right w:val="single" w:sz="4" w:space="0" w:color="auto"/>
            </w:tcBorders>
            <w:shd w:val="clear" w:color="auto" w:fill="auto"/>
            <w:hideMark/>
          </w:tcPr>
          <w:p w14:paraId="07FE105C"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A "soft tender" in the Tender Service that cannot be accepted</w:t>
            </w:r>
            <w:proofErr w:type="gramStart"/>
            <w:r w:rsidRPr="002E1657">
              <w:rPr>
                <w:rFonts w:ascii="Times New Roman" w:eastAsia="Times New Roman" w:hAnsi="Times New Roman" w:cs="Times New Roman"/>
                <w:sz w:val="18"/>
                <w:szCs w:val="32"/>
              </w:rPr>
              <w:t>;  If</w:t>
            </w:r>
            <w:proofErr w:type="gramEnd"/>
            <w:r w:rsidRPr="002E1657">
              <w:rPr>
                <w:rFonts w:ascii="Times New Roman" w:eastAsia="Times New Roman" w:hAnsi="Times New Roman" w:cs="Times New Roman"/>
                <w:sz w:val="18"/>
                <w:szCs w:val="32"/>
              </w:rPr>
              <w:t xml:space="preserve"> I'm interested, I respond with a Tender.</w:t>
            </w:r>
          </w:p>
        </w:tc>
      </w:tr>
      <w:tr w:rsidR="002E1657" w:rsidRPr="002E1657" w14:paraId="39E834A1" w14:textId="77777777" w:rsidTr="00D843C0">
        <w:trPr>
          <w:cantSplit/>
        </w:trPr>
        <w:tc>
          <w:tcPr>
            <w:tcW w:w="1260" w:type="dxa"/>
            <w:tcBorders>
              <w:top w:val="nil"/>
              <w:left w:val="nil"/>
              <w:bottom w:val="nil"/>
              <w:right w:val="nil"/>
            </w:tcBorders>
            <w:shd w:val="clear" w:color="auto" w:fill="auto"/>
            <w:vAlign w:val="center"/>
            <w:hideMark/>
          </w:tcPr>
          <w:p w14:paraId="2AA083CE" w14:textId="77777777" w:rsidR="002E1657" w:rsidRPr="002E1657" w:rsidRDefault="002E1657" w:rsidP="002E1657">
            <w:pPr>
              <w:spacing w:after="0"/>
              <w:jc w:val="center"/>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lastRenderedPageBreak/>
              <w:t>Tender</w:t>
            </w:r>
          </w:p>
        </w:tc>
        <w:tc>
          <w:tcPr>
            <w:tcW w:w="1629" w:type="dxa"/>
            <w:tcBorders>
              <w:top w:val="nil"/>
              <w:left w:val="single" w:sz="4" w:space="0" w:color="auto"/>
              <w:bottom w:val="single" w:sz="4" w:space="0" w:color="auto"/>
              <w:right w:val="single" w:sz="4" w:space="0" w:color="auto"/>
            </w:tcBorders>
            <w:shd w:val="clear" w:color="auto" w:fill="auto"/>
            <w:hideMark/>
          </w:tcPr>
          <w:p w14:paraId="6AED4841"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xml:space="preserve">Binding price, quantity and product buy/sell offer to counterparty at an Energy Services </w:t>
            </w:r>
            <w:proofErr w:type="gramStart"/>
            <w:r w:rsidRPr="002E1657">
              <w:rPr>
                <w:rFonts w:ascii="Times New Roman" w:eastAsia="Times New Roman" w:hAnsi="Times New Roman" w:cs="Times New Roman"/>
                <w:sz w:val="18"/>
                <w:szCs w:val="32"/>
              </w:rPr>
              <w:t>Interface(</w:t>
            </w:r>
            <w:proofErr w:type="gramEnd"/>
            <w:r w:rsidRPr="002E1657">
              <w:rPr>
                <w:rFonts w:ascii="Times New Roman" w:eastAsia="Times New Roman" w:hAnsi="Times New Roman" w:cs="Times New Roman"/>
                <w:sz w:val="18"/>
                <w:szCs w:val="32"/>
              </w:rPr>
              <w:t>ESI) for an interval with an expiration date/time. CIM demand and supply curves may also be used.</w:t>
            </w:r>
          </w:p>
        </w:tc>
        <w:tc>
          <w:tcPr>
            <w:tcW w:w="2061" w:type="dxa"/>
            <w:tcBorders>
              <w:top w:val="nil"/>
              <w:left w:val="nil"/>
              <w:bottom w:val="single" w:sz="4" w:space="0" w:color="auto"/>
              <w:right w:val="single" w:sz="4" w:space="0" w:color="auto"/>
            </w:tcBorders>
            <w:shd w:val="clear" w:color="auto" w:fill="auto"/>
            <w:hideMark/>
          </w:tcPr>
          <w:p w14:paraId="2BF9DE53"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xml:space="preserve">The equivalent term is </w:t>
            </w:r>
            <w:r w:rsidRPr="002E1657">
              <w:rPr>
                <w:rFonts w:ascii="Times New Roman" w:eastAsia="Times New Roman" w:hAnsi="Times New Roman" w:cs="Times New Roman"/>
                <w:i/>
                <w:iCs/>
                <w:sz w:val="18"/>
                <w:szCs w:val="32"/>
              </w:rPr>
              <w:t xml:space="preserve">Bid </w:t>
            </w:r>
            <w:r w:rsidRPr="002E1657">
              <w:rPr>
                <w:rFonts w:ascii="Times New Roman" w:eastAsia="Times New Roman" w:hAnsi="Times New Roman" w:cs="Times New Roman"/>
                <w:sz w:val="18"/>
                <w:szCs w:val="32"/>
              </w:rPr>
              <w:t xml:space="preserve">as defined in 62325-301 (classes Bid, </w:t>
            </w:r>
            <w:proofErr w:type="spellStart"/>
            <w:r w:rsidRPr="002E1657">
              <w:rPr>
                <w:rFonts w:ascii="Times New Roman" w:eastAsia="Times New Roman" w:hAnsi="Times New Roman" w:cs="Times New Roman"/>
                <w:sz w:val="18"/>
                <w:szCs w:val="32"/>
              </w:rPr>
              <w:t>ResourceBid</w:t>
            </w:r>
            <w:proofErr w:type="spellEnd"/>
            <w:proofErr w:type="gramStart"/>
            <w:r w:rsidRPr="002E1657">
              <w:rPr>
                <w:rFonts w:ascii="Times New Roman" w:eastAsia="Times New Roman" w:hAnsi="Times New Roman" w:cs="Times New Roman"/>
                <w:sz w:val="18"/>
                <w:szCs w:val="32"/>
              </w:rPr>
              <w:t>) which</w:t>
            </w:r>
            <w:proofErr w:type="gramEnd"/>
            <w:r w:rsidRPr="002E1657">
              <w:rPr>
                <w:rFonts w:ascii="Times New Roman" w:eastAsia="Times New Roman" w:hAnsi="Times New Roman" w:cs="Times New Roman"/>
                <w:sz w:val="18"/>
                <w:szCs w:val="32"/>
              </w:rPr>
              <w:t xml:space="preserve"> in turn is associated with a </w:t>
            </w:r>
            <w:proofErr w:type="spellStart"/>
            <w:r w:rsidRPr="002E1657">
              <w:rPr>
                <w:rFonts w:ascii="Times New Roman" w:eastAsia="Times New Roman" w:hAnsi="Times New Roman" w:cs="Times New Roman"/>
                <w:sz w:val="18"/>
                <w:szCs w:val="32"/>
              </w:rPr>
              <w:t>MarketProduct</w:t>
            </w:r>
            <w:proofErr w:type="spellEnd"/>
            <w:r w:rsidRPr="002E1657">
              <w:rPr>
                <w:rFonts w:ascii="Times New Roman" w:eastAsia="Times New Roman" w:hAnsi="Times New Roman" w:cs="Times New Roman"/>
                <w:sz w:val="18"/>
                <w:szCs w:val="32"/>
              </w:rPr>
              <w:t>.</w:t>
            </w:r>
            <w:r w:rsidRPr="002E1657">
              <w:rPr>
                <w:rFonts w:ascii="Times New Roman" w:eastAsia="Times New Roman" w:hAnsi="Times New Roman" w:cs="Times New Roman"/>
                <w:sz w:val="18"/>
                <w:szCs w:val="32"/>
              </w:rPr>
              <w:br/>
            </w:r>
            <w:r w:rsidRPr="002E1657">
              <w:rPr>
                <w:rFonts w:ascii="Times New Roman" w:eastAsia="Times New Roman" w:hAnsi="Times New Roman" w:cs="Times New Roman"/>
                <w:sz w:val="18"/>
                <w:szCs w:val="32"/>
              </w:rPr>
              <w:br/>
              <w:t xml:space="preserve">Subclasses are </w:t>
            </w:r>
            <w:proofErr w:type="spellStart"/>
            <w:r w:rsidRPr="002E1657">
              <w:rPr>
                <w:rFonts w:ascii="Times New Roman" w:eastAsia="Times New Roman" w:hAnsi="Times New Roman" w:cs="Times New Roman"/>
                <w:sz w:val="18"/>
                <w:szCs w:val="32"/>
              </w:rPr>
              <w:t>GeneratingBid</w:t>
            </w:r>
            <w:proofErr w:type="spellEnd"/>
            <w:r w:rsidRPr="002E1657">
              <w:rPr>
                <w:rFonts w:ascii="Times New Roman" w:eastAsia="Times New Roman" w:hAnsi="Times New Roman" w:cs="Times New Roman"/>
                <w:sz w:val="18"/>
                <w:szCs w:val="32"/>
              </w:rPr>
              <w:t xml:space="preserve">, </w:t>
            </w:r>
            <w:proofErr w:type="spellStart"/>
            <w:r w:rsidRPr="002E1657">
              <w:rPr>
                <w:rFonts w:ascii="Times New Roman" w:eastAsia="Times New Roman" w:hAnsi="Times New Roman" w:cs="Times New Roman"/>
                <w:sz w:val="18"/>
                <w:szCs w:val="32"/>
              </w:rPr>
              <w:t>LoadBid</w:t>
            </w:r>
            <w:proofErr w:type="spellEnd"/>
            <w:r w:rsidRPr="002E1657">
              <w:rPr>
                <w:rFonts w:ascii="Times New Roman" w:eastAsia="Times New Roman" w:hAnsi="Times New Roman" w:cs="Times New Roman"/>
                <w:sz w:val="18"/>
                <w:szCs w:val="32"/>
              </w:rPr>
              <w:t xml:space="preserve">, </w:t>
            </w:r>
            <w:proofErr w:type="spellStart"/>
            <w:r w:rsidRPr="002E1657">
              <w:rPr>
                <w:rFonts w:ascii="Times New Roman" w:eastAsia="Times New Roman" w:hAnsi="Times New Roman" w:cs="Times New Roman"/>
                <w:sz w:val="18"/>
                <w:szCs w:val="32"/>
              </w:rPr>
              <w:t>InterTieBid</w:t>
            </w:r>
            <w:proofErr w:type="spellEnd"/>
            <w:r w:rsidRPr="002E1657">
              <w:rPr>
                <w:rFonts w:ascii="Times New Roman" w:eastAsia="Times New Roman" w:hAnsi="Times New Roman" w:cs="Times New Roman"/>
                <w:sz w:val="18"/>
                <w:szCs w:val="32"/>
              </w:rPr>
              <w:t>, each with a specific start and stop time (equivalent to a WS-Calendar Interval)</w:t>
            </w:r>
          </w:p>
        </w:tc>
        <w:tc>
          <w:tcPr>
            <w:tcW w:w="3780" w:type="dxa"/>
            <w:tcBorders>
              <w:top w:val="nil"/>
              <w:left w:val="nil"/>
              <w:bottom w:val="single" w:sz="4" w:space="0" w:color="auto"/>
              <w:right w:val="single" w:sz="4" w:space="0" w:color="auto"/>
            </w:tcBorders>
            <w:shd w:val="clear" w:color="auto" w:fill="auto"/>
            <w:hideMark/>
          </w:tcPr>
          <w:p w14:paraId="2BD2E19B" w14:textId="6F5F5302"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An offer for a sale or purchase is implicit in the </w:t>
            </w:r>
            <w:r w:rsidR="00AA094C" w:rsidRPr="002E1657">
              <w:rPr>
                <w:rFonts w:ascii="Times New Roman" w:eastAsia="Times New Roman" w:hAnsi="Times New Roman" w:cs="Times New Roman"/>
                <w:color w:val="000000"/>
                <w:sz w:val="18"/>
                <w:szCs w:val="32"/>
              </w:rPr>
              <w:t>Incentive and</w:t>
            </w:r>
            <w:r w:rsidRPr="002E1657">
              <w:rPr>
                <w:rFonts w:ascii="Times New Roman" w:eastAsia="Times New Roman" w:hAnsi="Times New Roman" w:cs="Times New Roman"/>
                <w:color w:val="000000"/>
                <w:sz w:val="18"/>
                <w:szCs w:val="32"/>
              </w:rPr>
              <w:t xml:space="preserve"> Feedback signals.  An Incentive signal is similar to an offer to sell energy at </w:t>
            </w:r>
            <w:proofErr w:type="spellStart"/>
            <w:r w:rsidRPr="002E1657">
              <w:rPr>
                <w:rFonts w:ascii="Times New Roman" w:eastAsia="Times New Roman" w:hAnsi="Times New Roman" w:cs="Times New Roman"/>
                <w:color w:val="000000"/>
                <w:sz w:val="18"/>
                <w:szCs w:val="32"/>
              </w:rPr>
              <w:t>tthat</w:t>
            </w:r>
            <w:proofErr w:type="spellEnd"/>
            <w:r w:rsidRPr="002E1657">
              <w:rPr>
                <w:rFonts w:ascii="Times New Roman" w:eastAsia="Times New Roman" w:hAnsi="Times New Roman" w:cs="Times New Roman"/>
                <w:color w:val="000000"/>
                <w:sz w:val="18"/>
                <w:szCs w:val="32"/>
              </w:rPr>
              <w:t xml:space="preserve"> price from the transmission system, while an offer to purchase is an expression per node in terms of the load expected at that price by time period.                                                                                                                                             </w:t>
            </w:r>
            <w:r w:rsidRPr="002E1657">
              <w:rPr>
                <w:rFonts w:ascii="Times New Roman" w:eastAsia="Times New Roman" w:hAnsi="Times New Roman" w:cs="Times New Roman"/>
                <w:color w:val="000000"/>
                <w:sz w:val="18"/>
                <w:szCs w:val="32"/>
              </w:rPr>
              <w:br/>
              <w:t xml:space="preserve">                                                                                         The framework does not presently support commitment, but it may be extended to support </w:t>
            </w:r>
            <w:proofErr w:type="spellStart"/>
            <w:r w:rsidRPr="002E1657">
              <w:rPr>
                <w:rFonts w:ascii="Times New Roman" w:eastAsia="Times New Roman" w:hAnsi="Times New Roman" w:cs="Times New Roman"/>
                <w:color w:val="000000"/>
                <w:sz w:val="18"/>
                <w:szCs w:val="32"/>
              </w:rPr>
              <w:t>committment</w:t>
            </w:r>
            <w:proofErr w:type="spellEnd"/>
            <w:r w:rsidRPr="002E1657">
              <w:rPr>
                <w:rFonts w:ascii="Times New Roman" w:eastAsia="Times New Roman" w:hAnsi="Times New Roman" w:cs="Times New Roman"/>
                <w:color w:val="000000"/>
                <w:sz w:val="18"/>
                <w:szCs w:val="32"/>
              </w:rPr>
              <w:t xml:space="preserve">, which would recognize resources and loads as no longer </w:t>
            </w:r>
            <w:proofErr w:type="spellStart"/>
            <w:r w:rsidRPr="002E1657">
              <w:rPr>
                <w:rFonts w:ascii="Times New Roman" w:eastAsia="Times New Roman" w:hAnsi="Times New Roman" w:cs="Times New Roman"/>
                <w:color w:val="000000"/>
                <w:sz w:val="18"/>
                <w:szCs w:val="32"/>
              </w:rPr>
              <w:t>offereing</w:t>
            </w:r>
            <w:proofErr w:type="spellEnd"/>
            <w:r w:rsidRPr="002E1657">
              <w:rPr>
                <w:rFonts w:ascii="Times New Roman" w:eastAsia="Times New Roman" w:hAnsi="Times New Roman" w:cs="Times New Roman"/>
                <w:color w:val="000000"/>
                <w:sz w:val="18"/>
                <w:szCs w:val="32"/>
              </w:rPr>
              <w:t xml:space="preserve"> their potential for flexibility to the system.</w:t>
            </w:r>
          </w:p>
        </w:tc>
        <w:tc>
          <w:tcPr>
            <w:tcW w:w="1710" w:type="dxa"/>
            <w:tcBorders>
              <w:top w:val="nil"/>
              <w:left w:val="nil"/>
              <w:bottom w:val="single" w:sz="4" w:space="0" w:color="auto"/>
              <w:right w:val="single" w:sz="4" w:space="0" w:color="auto"/>
            </w:tcBorders>
            <w:shd w:val="clear" w:color="auto" w:fill="auto"/>
            <w:hideMark/>
          </w:tcPr>
          <w:p w14:paraId="5425CDC6"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Send demand and supply curves to a 'matcher agent', which clears the market. Equivalent to sending set of tenders.</w:t>
            </w:r>
          </w:p>
        </w:tc>
        <w:tc>
          <w:tcPr>
            <w:tcW w:w="2520" w:type="dxa"/>
            <w:tcBorders>
              <w:top w:val="nil"/>
              <w:left w:val="nil"/>
              <w:bottom w:val="single" w:sz="4" w:space="0" w:color="auto"/>
              <w:right w:val="single" w:sz="4" w:space="0" w:color="auto"/>
            </w:tcBorders>
            <w:shd w:val="clear" w:color="auto" w:fill="auto"/>
            <w:hideMark/>
          </w:tcPr>
          <w:p w14:paraId="4954164C"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xml:space="preserve">Binding price, quantity and product on an interval for a buy/sell offer to a counterparty at an Energy Services </w:t>
            </w:r>
            <w:proofErr w:type="gramStart"/>
            <w:r w:rsidRPr="002E1657">
              <w:rPr>
                <w:rFonts w:ascii="Times New Roman" w:eastAsia="Times New Roman" w:hAnsi="Times New Roman" w:cs="Times New Roman"/>
                <w:sz w:val="18"/>
                <w:szCs w:val="32"/>
              </w:rPr>
              <w:t>Interface(</w:t>
            </w:r>
            <w:proofErr w:type="gramEnd"/>
            <w:r w:rsidRPr="002E1657">
              <w:rPr>
                <w:rFonts w:ascii="Times New Roman" w:eastAsia="Times New Roman" w:hAnsi="Times New Roman" w:cs="Times New Roman"/>
                <w:sz w:val="18"/>
                <w:szCs w:val="32"/>
              </w:rPr>
              <w:t xml:space="preserve">ESI) with an expiration date/time. </w:t>
            </w:r>
          </w:p>
        </w:tc>
      </w:tr>
      <w:tr w:rsidR="002E1657" w:rsidRPr="002E1657" w14:paraId="3A45F2B5" w14:textId="77777777" w:rsidTr="00D843C0">
        <w:trPr>
          <w:cantSplit/>
        </w:trPr>
        <w:tc>
          <w:tcPr>
            <w:tcW w:w="1260" w:type="dxa"/>
            <w:tcBorders>
              <w:top w:val="nil"/>
              <w:left w:val="nil"/>
              <w:bottom w:val="nil"/>
              <w:right w:val="nil"/>
            </w:tcBorders>
            <w:shd w:val="clear" w:color="auto" w:fill="auto"/>
            <w:vAlign w:val="center"/>
            <w:hideMark/>
          </w:tcPr>
          <w:p w14:paraId="1C37E838" w14:textId="77777777" w:rsidR="002E1657" w:rsidRPr="002E1657" w:rsidRDefault="002E1657" w:rsidP="002E1657">
            <w:pPr>
              <w:spacing w:after="0"/>
              <w:jc w:val="center"/>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Transaction</w:t>
            </w:r>
          </w:p>
        </w:tc>
        <w:tc>
          <w:tcPr>
            <w:tcW w:w="1629" w:type="dxa"/>
            <w:tcBorders>
              <w:top w:val="nil"/>
              <w:left w:val="single" w:sz="4" w:space="0" w:color="auto"/>
              <w:bottom w:val="single" w:sz="4" w:space="0" w:color="auto"/>
              <w:right w:val="single" w:sz="4" w:space="0" w:color="auto"/>
            </w:tcBorders>
            <w:shd w:val="clear" w:color="auto" w:fill="auto"/>
            <w:hideMark/>
          </w:tcPr>
          <w:p w14:paraId="27D47D1E"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Binding acceptance of all or a portion of an active tender quantity at tendered price</w:t>
            </w:r>
          </w:p>
        </w:tc>
        <w:tc>
          <w:tcPr>
            <w:tcW w:w="2061" w:type="dxa"/>
            <w:tcBorders>
              <w:top w:val="nil"/>
              <w:left w:val="nil"/>
              <w:bottom w:val="single" w:sz="4" w:space="0" w:color="auto"/>
              <w:right w:val="single" w:sz="4" w:space="0" w:color="auto"/>
            </w:tcBorders>
            <w:shd w:val="clear" w:color="auto" w:fill="auto"/>
            <w:hideMark/>
          </w:tcPr>
          <w:p w14:paraId="1DD0BA66"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Cleared by Market Operator based on Bids (Tenders) received for a market cycle.</w:t>
            </w:r>
          </w:p>
        </w:tc>
        <w:tc>
          <w:tcPr>
            <w:tcW w:w="3780" w:type="dxa"/>
            <w:tcBorders>
              <w:top w:val="nil"/>
              <w:left w:val="nil"/>
              <w:bottom w:val="single" w:sz="4" w:space="0" w:color="auto"/>
              <w:right w:val="single" w:sz="4" w:space="0" w:color="auto"/>
            </w:tcBorders>
            <w:shd w:val="clear" w:color="auto" w:fill="auto"/>
            <w:hideMark/>
          </w:tcPr>
          <w:p w14:paraId="6B8B8E01"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Discovery of the price and demand curves results in an expected interconnect schedule, however, schedules would need to be tagged by a balancing authority for transmission transparency and scheduling. Transactions that occur in the market would be settled after-the-fact, based on the expected power flow (schedules </w:t>
            </w:r>
            <w:proofErr w:type="spellStart"/>
            <w:r w:rsidRPr="002E1657">
              <w:rPr>
                <w:rFonts w:ascii="Times New Roman" w:eastAsia="Times New Roman" w:hAnsi="Times New Roman" w:cs="Times New Roman"/>
                <w:color w:val="000000"/>
                <w:sz w:val="18"/>
                <w:szCs w:val="32"/>
              </w:rPr>
              <w:t>vs</w:t>
            </w:r>
            <w:proofErr w:type="spellEnd"/>
            <w:r w:rsidRPr="002E1657">
              <w:rPr>
                <w:rFonts w:ascii="Times New Roman" w:eastAsia="Times New Roman" w:hAnsi="Times New Roman" w:cs="Times New Roman"/>
                <w:color w:val="000000"/>
                <w:sz w:val="18"/>
                <w:szCs w:val="32"/>
              </w:rPr>
              <w:t xml:space="preserve"> actuals).  Thus, the transaction is based on the last clearing price, but no affirmation of the transaction is passed between the nodes. See the possible extension discussed in the "Tender" row.</w:t>
            </w:r>
          </w:p>
        </w:tc>
        <w:tc>
          <w:tcPr>
            <w:tcW w:w="1710" w:type="dxa"/>
            <w:tcBorders>
              <w:top w:val="nil"/>
              <w:left w:val="nil"/>
              <w:bottom w:val="single" w:sz="4" w:space="0" w:color="auto"/>
              <w:right w:val="single" w:sz="4" w:space="0" w:color="auto"/>
            </w:tcBorders>
            <w:shd w:val="clear" w:color="auto" w:fill="auto"/>
            <w:hideMark/>
          </w:tcPr>
          <w:p w14:paraId="63D3A9FB"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Receive notification from matcher as to market clearing prices</w:t>
            </w:r>
          </w:p>
        </w:tc>
        <w:tc>
          <w:tcPr>
            <w:tcW w:w="2520" w:type="dxa"/>
            <w:tcBorders>
              <w:top w:val="nil"/>
              <w:left w:val="nil"/>
              <w:bottom w:val="single" w:sz="4" w:space="0" w:color="auto"/>
              <w:right w:val="single" w:sz="4" w:space="0" w:color="auto"/>
            </w:tcBorders>
            <w:shd w:val="clear" w:color="auto" w:fill="auto"/>
            <w:hideMark/>
          </w:tcPr>
          <w:p w14:paraId="4A2CF87F" w14:textId="6627683E"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xml:space="preserve">Binding acceptance of all or a portion of an </w:t>
            </w:r>
            <w:r w:rsidR="00AA094C" w:rsidRPr="002E1657">
              <w:rPr>
                <w:rFonts w:ascii="Times New Roman" w:eastAsia="Times New Roman" w:hAnsi="Times New Roman" w:cs="Times New Roman"/>
                <w:sz w:val="18"/>
                <w:szCs w:val="32"/>
              </w:rPr>
              <w:t>active tender</w:t>
            </w:r>
            <w:r w:rsidRPr="002E1657">
              <w:rPr>
                <w:rFonts w:ascii="Times New Roman" w:eastAsia="Times New Roman" w:hAnsi="Times New Roman" w:cs="Times New Roman"/>
                <w:sz w:val="18"/>
                <w:szCs w:val="32"/>
              </w:rPr>
              <w:t xml:space="preserve"> quantity at tendered price.  </w:t>
            </w:r>
          </w:p>
        </w:tc>
      </w:tr>
      <w:tr w:rsidR="002E1657" w:rsidRPr="002E1657" w14:paraId="4FE14F5F" w14:textId="77777777" w:rsidTr="00D843C0">
        <w:trPr>
          <w:cantSplit/>
        </w:trPr>
        <w:tc>
          <w:tcPr>
            <w:tcW w:w="1260" w:type="dxa"/>
            <w:tcBorders>
              <w:top w:val="nil"/>
              <w:left w:val="nil"/>
              <w:bottom w:val="nil"/>
              <w:right w:val="nil"/>
            </w:tcBorders>
            <w:shd w:val="clear" w:color="auto" w:fill="auto"/>
            <w:vAlign w:val="center"/>
            <w:hideMark/>
          </w:tcPr>
          <w:p w14:paraId="287CEA0A" w14:textId="77777777" w:rsidR="002E1657" w:rsidRPr="002E1657" w:rsidRDefault="002E1657" w:rsidP="002E1657">
            <w:pPr>
              <w:spacing w:after="0"/>
              <w:jc w:val="center"/>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Delivery</w:t>
            </w:r>
          </w:p>
        </w:tc>
        <w:tc>
          <w:tcPr>
            <w:tcW w:w="1629" w:type="dxa"/>
            <w:tcBorders>
              <w:top w:val="nil"/>
              <w:left w:val="single" w:sz="4" w:space="0" w:color="auto"/>
              <w:bottom w:val="single" w:sz="4" w:space="0" w:color="auto"/>
              <w:right w:val="single" w:sz="4" w:space="0" w:color="auto"/>
            </w:tcBorders>
            <w:shd w:val="clear" w:color="auto" w:fill="auto"/>
            <w:hideMark/>
          </w:tcPr>
          <w:p w14:paraId="5B2B44C4"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xml:space="preserve">Verified asynchronously by meter data. </w:t>
            </w:r>
          </w:p>
        </w:tc>
        <w:tc>
          <w:tcPr>
            <w:tcW w:w="2061" w:type="dxa"/>
            <w:tcBorders>
              <w:top w:val="nil"/>
              <w:left w:val="nil"/>
              <w:bottom w:val="single" w:sz="4" w:space="0" w:color="auto"/>
              <w:right w:val="single" w:sz="4" w:space="0" w:color="auto"/>
            </w:tcBorders>
            <w:shd w:val="clear" w:color="auto" w:fill="auto"/>
            <w:hideMark/>
          </w:tcPr>
          <w:p w14:paraId="25FA09D1"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Verified asynchronously by meter data.</w:t>
            </w:r>
          </w:p>
        </w:tc>
        <w:tc>
          <w:tcPr>
            <w:tcW w:w="3780" w:type="dxa"/>
            <w:tcBorders>
              <w:top w:val="nil"/>
              <w:left w:val="nil"/>
              <w:bottom w:val="single" w:sz="4" w:space="0" w:color="auto"/>
              <w:right w:val="single" w:sz="4" w:space="0" w:color="auto"/>
            </w:tcBorders>
            <w:shd w:val="clear" w:color="auto" w:fill="auto"/>
            <w:hideMark/>
          </w:tcPr>
          <w:p w14:paraId="04575F03" w14:textId="77777777" w:rsidR="002E1657" w:rsidRPr="002E1657" w:rsidRDefault="002E1657" w:rsidP="002E1657">
            <w:pPr>
              <w:spacing w:after="0"/>
              <w:rPr>
                <w:rFonts w:ascii="Times New Roman" w:eastAsia="Times New Roman" w:hAnsi="Times New Roman" w:cs="Times New Roman"/>
                <w:color w:val="FF0000"/>
                <w:sz w:val="18"/>
                <w:szCs w:val="32"/>
              </w:rPr>
            </w:pPr>
            <w:r w:rsidRPr="002E1657">
              <w:rPr>
                <w:rFonts w:ascii="Times New Roman" w:eastAsia="Times New Roman" w:hAnsi="Times New Roman" w:cs="Times New Roman"/>
                <w:color w:val="000000"/>
                <w:sz w:val="18"/>
                <w:szCs w:val="32"/>
              </w:rPr>
              <w:t xml:space="preserve"> It is perhaps implicit that the final negotiated schedules are delivered. The framework allows </w:t>
            </w:r>
            <w:proofErr w:type="gramStart"/>
            <w:r w:rsidRPr="002E1657">
              <w:rPr>
                <w:rFonts w:ascii="Times New Roman" w:eastAsia="Times New Roman" w:hAnsi="Times New Roman" w:cs="Times New Roman"/>
                <w:color w:val="000000"/>
                <w:sz w:val="18"/>
                <w:szCs w:val="32"/>
              </w:rPr>
              <w:t>for  delivery</w:t>
            </w:r>
            <w:proofErr w:type="gramEnd"/>
            <w:r w:rsidRPr="002E1657">
              <w:rPr>
                <w:rFonts w:ascii="Times New Roman" w:eastAsia="Times New Roman" w:hAnsi="Times New Roman" w:cs="Times New Roman"/>
                <w:color w:val="000000"/>
                <w:sz w:val="18"/>
                <w:szCs w:val="32"/>
              </w:rPr>
              <w:t xml:space="preserve"> through constrained conduction pathways to become </w:t>
            </w:r>
            <w:proofErr w:type="spellStart"/>
            <w:r w:rsidRPr="002E1657">
              <w:rPr>
                <w:rFonts w:ascii="Times New Roman" w:eastAsia="Times New Roman" w:hAnsi="Times New Roman" w:cs="Times New Roman"/>
                <w:color w:val="000000"/>
                <w:sz w:val="18"/>
                <w:szCs w:val="32"/>
              </w:rPr>
              <w:t>disincentivized</w:t>
            </w:r>
            <w:proofErr w:type="spellEnd"/>
            <w:r w:rsidRPr="002E1657">
              <w:rPr>
                <w:rFonts w:ascii="Times New Roman" w:eastAsia="Times New Roman" w:hAnsi="Times New Roman" w:cs="Times New Roman"/>
                <w:color w:val="000000"/>
                <w:sz w:val="18"/>
                <w:szCs w:val="32"/>
              </w:rPr>
              <w:t>.</w:t>
            </w:r>
          </w:p>
        </w:tc>
        <w:tc>
          <w:tcPr>
            <w:tcW w:w="1710" w:type="dxa"/>
            <w:tcBorders>
              <w:top w:val="nil"/>
              <w:left w:val="nil"/>
              <w:bottom w:val="single" w:sz="4" w:space="0" w:color="auto"/>
              <w:right w:val="single" w:sz="4" w:space="0" w:color="auto"/>
            </w:tcBorders>
            <w:shd w:val="clear" w:color="auto" w:fill="auto"/>
            <w:hideMark/>
          </w:tcPr>
          <w:p w14:paraId="26E49F87"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Implicit</w:t>
            </w:r>
          </w:p>
        </w:tc>
        <w:tc>
          <w:tcPr>
            <w:tcW w:w="2520" w:type="dxa"/>
            <w:tcBorders>
              <w:top w:val="nil"/>
              <w:left w:val="nil"/>
              <w:bottom w:val="single" w:sz="4" w:space="0" w:color="auto"/>
              <w:right w:val="single" w:sz="4" w:space="0" w:color="auto"/>
            </w:tcBorders>
            <w:shd w:val="clear" w:color="auto" w:fill="auto"/>
            <w:hideMark/>
          </w:tcPr>
          <w:p w14:paraId="2BC8C2AE"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For each metered delivery interval for the ESI the meter reading is compared to the net position from all forward transactions for the interval and any difference resolved ex-post by a transaction formed by acceptance of a tender from a balancing party.</w:t>
            </w:r>
          </w:p>
        </w:tc>
      </w:tr>
      <w:tr w:rsidR="002E1657" w:rsidRPr="002E1657" w14:paraId="58AA7A88" w14:textId="77777777" w:rsidTr="00D843C0">
        <w:trPr>
          <w:cantSplit/>
        </w:trPr>
        <w:tc>
          <w:tcPr>
            <w:tcW w:w="1260" w:type="dxa"/>
            <w:tcBorders>
              <w:top w:val="nil"/>
              <w:left w:val="nil"/>
              <w:bottom w:val="nil"/>
              <w:right w:val="nil"/>
            </w:tcBorders>
            <w:shd w:val="clear" w:color="auto" w:fill="auto"/>
            <w:vAlign w:val="center"/>
            <w:hideMark/>
          </w:tcPr>
          <w:p w14:paraId="11AED844" w14:textId="77777777" w:rsidR="002E1657" w:rsidRPr="002E1657" w:rsidRDefault="002E1657" w:rsidP="002E1657">
            <w:pPr>
              <w:spacing w:after="0"/>
              <w:rPr>
                <w:rFonts w:ascii="Times New Roman" w:eastAsia="Times New Roman" w:hAnsi="Times New Roman" w:cs="Times New Roman"/>
                <w:sz w:val="18"/>
                <w:szCs w:val="32"/>
              </w:rPr>
            </w:pPr>
          </w:p>
        </w:tc>
        <w:tc>
          <w:tcPr>
            <w:tcW w:w="1629" w:type="dxa"/>
            <w:tcBorders>
              <w:top w:val="nil"/>
              <w:left w:val="nil"/>
              <w:bottom w:val="nil"/>
              <w:right w:val="nil"/>
            </w:tcBorders>
            <w:shd w:val="clear" w:color="auto" w:fill="auto"/>
            <w:hideMark/>
          </w:tcPr>
          <w:p w14:paraId="7BAB59A1" w14:textId="77777777" w:rsidR="002E1657" w:rsidRPr="002E1657" w:rsidRDefault="002E1657" w:rsidP="002E1657">
            <w:pPr>
              <w:spacing w:after="0"/>
              <w:jc w:val="center"/>
              <w:rPr>
                <w:rFonts w:ascii="Times New Roman" w:eastAsia="Times New Roman" w:hAnsi="Times New Roman" w:cs="Times New Roman"/>
                <w:sz w:val="18"/>
                <w:szCs w:val="20"/>
              </w:rPr>
            </w:pPr>
          </w:p>
        </w:tc>
        <w:tc>
          <w:tcPr>
            <w:tcW w:w="2061" w:type="dxa"/>
            <w:tcBorders>
              <w:top w:val="nil"/>
              <w:left w:val="nil"/>
              <w:bottom w:val="nil"/>
              <w:right w:val="nil"/>
            </w:tcBorders>
            <w:shd w:val="clear" w:color="auto" w:fill="auto"/>
            <w:hideMark/>
          </w:tcPr>
          <w:p w14:paraId="779A66C7" w14:textId="77777777" w:rsidR="002E1657" w:rsidRPr="002E1657" w:rsidRDefault="002E1657" w:rsidP="002E1657">
            <w:pPr>
              <w:spacing w:after="0"/>
              <w:rPr>
                <w:rFonts w:ascii="Times New Roman" w:eastAsia="Times New Roman" w:hAnsi="Times New Roman" w:cs="Times New Roman"/>
                <w:sz w:val="18"/>
                <w:szCs w:val="20"/>
              </w:rPr>
            </w:pPr>
          </w:p>
        </w:tc>
        <w:tc>
          <w:tcPr>
            <w:tcW w:w="3780" w:type="dxa"/>
            <w:tcBorders>
              <w:top w:val="nil"/>
              <w:left w:val="nil"/>
              <w:bottom w:val="nil"/>
              <w:right w:val="nil"/>
            </w:tcBorders>
            <w:shd w:val="clear" w:color="auto" w:fill="auto"/>
            <w:hideMark/>
          </w:tcPr>
          <w:p w14:paraId="7965D2B5" w14:textId="77777777" w:rsidR="002E1657" w:rsidRPr="002E1657" w:rsidRDefault="002E1657" w:rsidP="002E1657">
            <w:pPr>
              <w:spacing w:after="0"/>
              <w:rPr>
                <w:rFonts w:ascii="Times New Roman" w:eastAsia="Times New Roman" w:hAnsi="Times New Roman" w:cs="Times New Roman"/>
                <w:sz w:val="18"/>
                <w:szCs w:val="20"/>
              </w:rPr>
            </w:pPr>
          </w:p>
        </w:tc>
        <w:tc>
          <w:tcPr>
            <w:tcW w:w="1710" w:type="dxa"/>
            <w:tcBorders>
              <w:top w:val="nil"/>
              <w:left w:val="nil"/>
              <w:bottom w:val="nil"/>
              <w:right w:val="nil"/>
            </w:tcBorders>
            <w:shd w:val="clear" w:color="auto" w:fill="auto"/>
            <w:hideMark/>
          </w:tcPr>
          <w:p w14:paraId="525151AE" w14:textId="77777777" w:rsidR="002E1657" w:rsidRPr="002E1657" w:rsidRDefault="002E1657" w:rsidP="002E1657">
            <w:pPr>
              <w:spacing w:after="0"/>
              <w:rPr>
                <w:rFonts w:ascii="Times New Roman" w:eastAsia="Times New Roman" w:hAnsi="Times New Roman" w:cs="Times New Roman"/>
                <w:sz w:val="18"/>
                <w:szCs w:val="20"/>
              </w:rPr>
            </w:pPr>
          </w:p>
        </w:tc>
        <w:tc>
          <w:tcPr>
            <w:tcW w:w="2520" w:type="dxa"/>
            <w:tcBorders>
              <w:top w:val="nil"/>
              <w:left w:val="nil"/>
              <w:bottom w:val="nil"/>
              <w:right w:val="nil"/>
            </w:tcBorders>
            <w:shd w:val="clear" w:color="auto" w:fill="auto"/>
            <w:hideMark/>
          </w:tcPr>
          <w:p w14:paraId="14B757A8" w14:textId="77777777" w:rsidR="002E1657" w:rsidRPr="002E1657" w:rsidRDefault="002E1657" w:rsidP="002E1657">
            <w:pPr>
              <w:spacing w:after="0"/>
              <w:rPr>
                <w:rFonts w:ascii="Times New Roman" w:eastAsia="Times New Roman" w:hAnsi="Times New Roman" w:cs="Times New Roman"/>
                <w:sz w:val="18"/>
                <w:szCs w:val="20"/>
              </w:rPr>
            </w:pPr>
          </w:p>
        </w:tc>
      </w:tr>
      <w:tr w:rsidR="002E1657" w:rsidRPr="002E1657" w14:paraId="5BCA7900" w14:textId="77777777" w:rsidTr="00D843C0">
        <w:trPr>
          <w:cantSplit/>
        </w:trPr>
        <w:tc>
          <w:tcPr>
            <w:tcW w:w="1260" w:type="dxa"/>
            <w:tcBorders>
              <w:top w:val="nil"/>
              <w:left w:val="nil"/>
              <w:bottom w:val="nil"/>
              <w:right w:val="nil"/>
            </w:tcBorders>
            <w:shd w:val="clear" w:color="auto" w:fill="auto"/>
            <w:vAlign w:val="center"/>
            <w:hideMark/>
          </w:tcPr>
          <w:p w14:paraId="1F2B9D95" w14:textId="77777777" w:rsidR="002E1657" w:rsidRPr="002E1657" w:rsidRDefault="002E1657" w:rsidP="002E1657">
            <w:pPr>
              <w:spacing w:after="0"/>
              <w:jc w:val="center"/>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lastRenderedPageBreak/>
              <w:t>Product Definitions</w:t>
            </w:r>
          </w:p>
        </w:tc>
        <w:tc>
          <w:tcPr>
            <w:tcW w:w="1629" w:type="dxa"/>
            <w:tcBorders>
              <w:top w:val="single" w:sz="4" w:space="0" w:color="auto"/>
              <w:left w:val="single" w:sz="4" w:space="0" w:color="auto"/>
              <w:bottom w:val="single" w:sz="4" w:space="0" w:color="auto"/>
              <w:right w:val="single" w:sz="4" w:space="0" w:color="auto"/>
            </w:tcBorders>
            <w:shd w:val="clear" w:color="auto" w:fill="auto"/>
            <w:hideMark/>
          </w:tcPr>
          <w:p w14:paraId="67491F5D"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Real, Reactive, Apparent Power and/or Energy; transport for those products.</w:t>
            </w:r>
            <w:r w:rsidRPr="002E1657">
              <w:rPr>
                <w:rFonts w:ascii="Times New Roman" w:eastAsia="Times New Roman" w:hAnsi="Times New Roman" w:cs="Times New Roman"/>
                <w:sz w:val="18"/>
                <w:szCs w:val="32"/>
              </w:rPr>
              <w:br/>
            </w:r>
            <w:r w:rsidRPr="002E1657">
              <w:rPr>
                <w:rFonts w:ascii="Times New Roman" w:eastAsia="Times New Roman" w:hAnsi="Times New Roman" w:cs="Times New Roman"/>
                <w:sz w:val="18"/>
                <w:szCs w:val="32"/>
              </w:rPr>
              <w:br/>
              <w:t>Work under way in The Energy Mashup Lab and published expressing products including thermal energy/power and non-energy products such as bandwidth</w:t>
            </w:r>
          </w:p>
        </w:tc>
        <w:tc>
          <w:tcPr>
            <w:tcW w:w="2061" w:type="dxa"/>
            <w:tcBorders>
              <w:top w:val="single" w:sz="4" w:space="0" w:color="auto"/>
              <w:left w:val="nil"/>
              <w:bottom w:val="single" w:sz="4" w:space="0" w:color="auto"/>
              <w:right w:val="single" w:sz="4" w:space="0" w:color="auto"/>
            </w:tcBorders>
            <w:shd w:val="clear" w:color="auto" w:fill="auto"/>
            <w:hideMark/>
          </w:tcPr>
          <w:p w14:paraId="7B452280" w14:textId="77777777" w:rsidR="002E1657" w:rsidRPr="002E1657" w:rsidRDefault="002E1657" w:rsidP="002E1657">
            <w:pPr>
              <w:spacing w:after="0"/>
              <w:rPr>
                <w:rFonts w:ascii="Times New Roman" w:eastAsia="Times New Roman" w:hAnsi="Times New Roman" w:cs="Times New Roman"/>
                <w:sz w:val="18"/>
                <w:szCs w:val="32"/>
              </w:rPr>
            </w:pPr>
            <w:proofErr w:type="spellStart"/>
            <w:r w:rsidRPr="002E1657">
              <w:rPr>
                <w:rFonts w:ascii="Times New Roman" w:eastAsia="Times New Roman" w:hAnsi="Times New Roman" w:cs="Times New Roman"/>
                <w:sz w:val="18"/>
                <w:szCs w:val="32"/>
              </w:rPr>
              <w:t>MarketProduct</w:t>
            </w:r>
            <w:proofErr w:type="spellEnd"/>
            <w:r w:rsidRPr="002E1657">
              <w:rPr>
                <w:rFonts w:ascii="Times New Roman" w:eastAsia="Times New Roman" w:hAnsi="Times New Roman" w:cs="Times New Roman"/>
                <w:sz w:val="18"/>
                <w:szCs w:val="32"/>
              </w:rPr>
              <w:t xml:space="preserve"> and related classes. Broad classes of products with many market-based variations (part of market description or common understandings) including power, energy, cross-tie, transport, congestion</w:t>
            </w:r>
          </w:p>
        </w:tc>
        <w:tc>
          <w:tcPr>
            <w:tcW w:w="3780" w:type="dxa"/>
            <w:tcBorders>
              <w:top w:val="single" w:sz="4" w:space="0" w:color="auto"/>
              <w:left w:val="nil"/>
              <w:bottom w:val="single" w:sz="4" w:space="0" w:color="auto"/>
              <w:right w:val="single" w:sz="4" w:space="0" w:color="auto"/>
            </w:tcBorders>
            <w:shd w:val="clear" w:color="auto" w:fill="auto"/>
            <w:hideMark/>
          </w:tcPr>
          <w:p w14:paraId="26498209"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Demonstrated products include power, incentivized consumption of renewable energy, outage contingency response, and the incorporation of existing time-of-use and demand charges.                                             </w:t>
            </w:r>
            <w:r w:rsidRPr="002E1657">
              <w:rPr>
                <w:rFonts w:ascii="Times New Roman" w:eastAsia="Times New Roman" w:hAnsi="Times New Roman" w:cs="Times New Roman"/>
                <w:color w:val="000000"/>
                <w:sz w:val="18"/>
                <w:szCs w:val="32"/>
              </w:rPr>
              <w:br/>
              <w:t xml:space="preserve">                                                                                         Products are further extensible for each node owner to represent the impacts of not only marginal resource costs, but also the impacts of utility programs (e.g., demand charges, time-based and tiered charges), transport constraints, infrastructure costs (that represent about 2/3 the delivered costs of energy), regulations, and other things that affect the delivered cost of energy.</w:t>
            </w:r>
          </w:p>
        </w:tc>
        <w:tc>
          <w:tcPr>
            <w:tcW w:w="1710" w:type="dxa"/>
            <w:tcBorders>
              <w:top w:val="single" w:sz="4" w:space="0" w:color="auto"/>
              <w:left w:val="nil"/>
              <w:bottom w:val="single" w:sz="4" w:space="0" w:color="auto"/>
              <w:right w:val="single" w:sz="4" w:space="0" w:color="auto"/>
            </w:tcBorders>
            <w:shd w:val="clear" w:color="auto" w:fill="auto"/>
            <w:hideMark/>
          </w:tcPr>
          <w:p w14:paraId="6D0E5EB8" w14:textId="77777777"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In practice power only, product and currency can be configured on cluster level</w:t>
            </w:r>
          </w:p>
        </w:tc>
        <w:tc>
          <w:tcPr>
            <w:tcW w:w="2520" w:type="dxa"/>
            <w:tcBorders>
              <w:top w:val="single" w:sz="4" w:space="0" w:color="auto"/>
              <w:left w:val="nil"/>
              <w:bottom w:val="single" w:sz="4" w:space="0" w:color="auto"/>
              <w:right w:val="single" w:sz="4" w:space="0" w:color="auto"/>
            </w:tcBorders>
            <w:shd w:val="clear" w:color="auto" w:fill="auto"/>
            <w:hideMark/>
          </w:tcPr>
          <w:p w14:paraId="5B54B5AC" w14:textId="7FD3AD2E" w:rsidR="002E1657" w:rsidRPr="002E1657" w:rsidRDefault="002E1657" w:rsidP="002E1657">
            <w:pPr>
              <w:spacing w:after="0"/>
              <w:rPr>
                <w:rFonts w:ascii="Times New Roman" w:eastAsia="Times New Roman" w:hAnsi="Times New Roman" w:cs="Times New Roman"/>
                <w:sz w:val="18"/>
                <w:szCs w:val="32"/>
              </w:rPr>
            </w:pPr>
            <w:r w:rsidRPr="002E1657">
              <w:rPr>
                <w:rFonts w:ascii="Times New Roman" w:eastAsia="Times New Roman" w:hAnsi="Times New Roman" w:cs="Times New Roman"/>
                <w:sz w:val="18"/>
                <w:szCs w:val="32"/>
              </w:rPr>
              <w:t xml:space="preserve">Real energy only or real and reactive Energy and energy Transport.  Energy and Transport products are typically intended for physical delivery </w:t>
            </w:r>
            <w:r w:rsidR="00AA094C" w:rsidRPr="002E1657">
              <w:rPr>
                <w:rFonts w:ascii="Times New Roman" w:eastAsia="Times New Roman" w:hAnsi="Times New Roman" w:cs="Times New Roman"/>
                <w:sz w:val="18"/>
                <w:szCs w:val="32"/>
              </w:rPr>
              <w:t>Financial</w:t>
            </w:r>
            <w:r w:rsidRPr="002E1657">
              <w:rPr>
                <w:rFonts w:ascii="Times New Roman" w:eastAsia="Times New Roman" w:hAnsi="Times New Roman" w:cs="Times New Roman"/>
                <w:sz w:val="18"/>
                <w:szCs w:val="32"/>
              </w:rPr>
              <w:t xml:space="preserve"> Energy and Transport products settled against a market index price are also supported.</w:t>
            </w:r>
          </w:p>
        </w:tc>
      </w:tr>
      <w:tr w:rsidR="002E1657" w:rsidRPr="002E1657" w14:paraId="5117EFE0" w14:textId="77777777" w:rsidTr="00D843C0">
        <w:trPr>
          <w:cantSplit/>
        </w:trPr>
        <w:tc>
          <w:tcPr>
            <w:tcW w:w="1260" w:type="dxa"/>
            <w:tcBorders>
              <w:top w:val="nil"/>
              <w:left w:val="nil"/>
              <w:bottom w:val="nil"/>
              <w:right w:val="nil"/>
            </w:tcBorders>
            <w:shd w:val="clear" w:color="auto" w:fill="auto"/>
            <w:vAlign w:val="center"/>
            <w:hideMark/>
          </w:tcPr>
          <w:p w14:paraId="0190D5F6" w14:textId="77777777" w:rsidR="002E1657" w:rsidRPr="002E1657" w:rsidRDefault="002E1657" w:rsidP="002E1657">
            <w:pPr>
              <w:spacing w:after="0"/>
              <w:rPr>
                <w:rFonts w:ascii="Times New Roman" w:eastAsia="Times New Roman" w:hAnsi="Times New Roman" w:cs="Times New Roman"/>
                <w:sz w:val="18"/>
                <w:szCs w:val="32"/>
              </w:rPr>
            </w:pPr>
          </w:p>
        </w:tc>
        <w:tc>
          <w:tcPr>
            <w:tcW w:w="1629" w:type="dxa"/>
            <w:tcBorders>
              <w:top w:val="nil"/>
              <w:left w:val="nil"/>
              <w:bottom w:val="nil"/>
              <w:right w:val="nil"/>
            </w:tcBorders>
            <w:shd w:val="clear" w:color="auto" w:fill="auto"/>
            <w:hideMark/>
          </w:tcPr>
          <w:p w14:paraId="2C6CF37E" w14:textId="77777777" w:rsidR="002E1657" w:rsidRPr="002E1657" w:rsidRDefault="002E1657" w:rsidP="002E1657">
            <w:pPr>
              <w:spacing w:after="0"/>
              <w:jc w:val="center"/>
              <w:rPr>
                <w:rFonts w:ascii="Times New Roman" w:eastAsia="Times New Roman" w:hAnsi="Times New Roman" w:cs="Times New Roman"/>
                <w:sz w:val="18"/>
                <w:szCs w:val="20"/>
              </w:rPr>
            </w:pPr>
          </w:p>
        </w:tc>
        <w:tc>
          <w:tcPr>
            <w:tcW w:w="2061" w:type="dxa"/>
            <w:tcBorders>
              <w:top w:val="nil"/>
              <w:left w:val="nil"/>
              <w:bottom w:val="nil"/>
              <w:right w:val="nil"/>
            </w:tcBorders>
            <w:shd w:val="clear" w:color="auto" w:fill="auto"/>
            <w:hideMark/>
          </w:tcPr>
          <w:p w14:paraId="6AC5FA4B" w14:textId="77777777" w:rsidR="002E1657" w:rsidRPr="002E1657" w:rsidRDefault="002E1657" w:rsidP="002E1657">
            <w:pPr>
              <w:spacing w:after="0"/>
              <w:rPr>
                <w:rFonts w:ascii="Times New Roman" w:eastAsia="Times New Roman" w:hAnsi="Times New Roman" w:cs="Times New Roman"/>
                <w:sz w:val="18"/>
                <w:szCs w:val="20"/>
              </w:rPr>
            </w:pPr>
          </w:p>
        </w:tc>
        <w:tc>
          <w:tcPr>
            <w:tcW w:w="3780" w:type="dxa"/>
            <w:tcBorders>
              <w:top w:val="nil"/>
              <w:left w:val="nil"/>
              <w:bottom w:val="nil"/>
              <w:right w:val="nil"/>
            </w:tcBorders>
            <w:shd w:val="clear" w:color="auto" w:fill="auto"/>
            <w:hideMark/>
          </w:tcPr>
          <w:p w14:paraId="48200C90" w14:textId="77777777" w:rsidR="002E1657" w:rsidRPr="002E1657" w:rsidRDefault="002E1657" w:rsidP="002E1657">
            <w:pPr>
              <w:spacing w:after="0"/>
              <w:rPr>
                <w:rFonts w:ascii="Times New Roman" w:eastAsia="Times New Roman" w:hAnsi="Times New Roman" w:cs="Times New Roman"/>
                <w:sz w:val="18"/>
                <w:szCs w:val="20"/>
              </w:rPr>
            </w:pPr>
          </w:p>
        </w:tc>
        <w:tc>
          <w:tcPr>
            <w:tcW w:w="1710" w:type="dxa"/>
            <w:tcBorders>
              <w:top w:val="nil"/>
              <w:left w:val="nil"/>
              <w:bottom w:val="nil"/>
              <w:right w:val="nil"/>
            </w:tcBorders>
            <w:shd w:val="clear" w:color="auto" w:fill="auto"/>
            <w:hideMark/>
          </w:tcPr>
          <w:p w14:paraId="108ED58B" w14:textId="77777777" w:rsidR="002E1657" w:rsidRPr="002E1657" w:rsidRDefault="002E1657" w:rsidP="002E1657">
            <w:pPr>
              <w:spacing w:after="0"/>
              <w:rPr>
                <w:rFonts w:ascii="Times New Roman" w:eastAsia="Times New Roman" w:hAnsi="Times New Roman" w:cs="Times New Roman"/>
                <w:sz w:val="18"/>
                <w:szCs w:val="20"/>
              </w:rPr>
            </w:pPr>
          </w:p>
        </w:tc>
        <w:tc>
          <w:tcPr>
            <w:tcW w:w="2520" w:type="dxa"/>
            <w:tcBorders>
              <w:top w:val="nil"/>
              <w:left w:val="nil"/>
              <w:bottom w:val="nil"/>
              <w:right w:val="nil"/>
            </w:tcBorders>
            <w:shd w:val="clear" w:color="auto" w:fill="auto"/>
            <w:hideMark/>
          </w:tcPr>
          <w:p w14:paraId="52A2F82E" w14:textId="77777777" w:rsidR="002E1657" w:rsidRPr="002E1657" w:rsidRDefault="002E1657" w:rsidP="002E1657">
            <w:pPr>
              <w:spacing w:after="0"/>
              <w:rPr>
                <w:rFonts w:ascii="Times New Roman" w:eastAsia="Times New Roman" w:hAnsi="Times New Roman" w:cs="Times New Roman"/>
                <w:sz w:val="18"/>
                <w:szCs w:val="20"/>
              </w:rPr>
            </w:pPr>
          </w:p>
        </w:tc>
      </w:tr>
      <w:tr w:rsidR="002E1657" w:rsidRPr="002E1657" w14:paraId="524C99FB" w14:textId="77777777" w:rsidTr="00D843C0">
        <w:trPr>
          <w:cantSplit/>
        </w:trPr>
        <w:tc>
          <w:tcPr>
            <w:tcW w:w="1260" w:type="dxa"/>
            <w:tcBorders>
              <w:top w:val="nil"/>
              <w:left w:val="nil"/>
              <w:bottom w:val="nil"/>
              <w:right w:val="nil"/>
            </w:tcBorders>
            <w:shd w:val="clear" w:color="auto" w:fill="auto"/>
            <w:vAlign w:val="center"/>
            <w:hideMark/>
          </w:tcPr>
          <w:p w14:paraId="1E5A452F" w14:textId="77777777" w:rsidR="002E1657" w:rsidRPr="002E1657" w:rsidRDefault="002E1657" w:rsidP="002E1657">
            <w:pPr>
              <w:spacing w:after="0"/>
              <w:jc w:val="center"/>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Setup for Transactive Environment</w:t>
            </w:r>
          </w:p>
        </w:tc>
        <w:tc>
          <w:tcPr>
            <w:tcW w:w="1629" w:type="dxa"/>
            <w:tcBorders>
              <w:top w:val="single" w:sz="4" w:space="0" w:color="auto"/>
              <w:left w:val="single" w:sz="4" w:space="0" w:color="auto"/>
              <w:bottom w:val="single" w:sz="4" w:space="0" w:color="auto"/>
              <w:right w:val="single" w:sz="4" w:space="0" w:color="auto"/>
            </w:tcBorders>
            <w:shd w:val="clear" w:color="auto" w:fill="auto"/>
            <w:hideMark/>
          </w:tcPr>
          <w:p w14:paraId="081CE9A1"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Parties register an ESI and an enabling agreement with potential transaction counter parties. Initial budgeting is a pre-requisite; currency and product definitions are part of the enabling agreements and should be reflected in market rules.</w:t>
            </w:r>
          </w:p>
        </w:tc>
        <w:tc>
          <w:tcPr>
            <w:tcW w:w="2061" w:type="dxa"/>
            <w:tcBorders>
              <w:top w:val="single" w:sz="4" w:space="0" w:color="auto"/>
              <w:left w:val="nil"/>
              <w:bottom w:val="single" w:sz="4" w:space="0" w:color="auto"/>
              <w:right w:val="single" w:sz="4" w:space="0" w:color="auto"/>
            </w:tcBorders>
            <w:shd w:val="clear" w:color="auto" w:fill="auto"/>
            <w:hideMark/>
          </w:tcPr>
          <w:p w14:paraId="583B78E3"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MarketParticipant must </w:t>
            </w:r>
            <w:proofErr w:type="gramStart"/>
            <w:r w:rsidRPr="002E1657">
              <w:rPr>
                <w:rFonts w:ascii="Times New Roman" w:eastAsia="Times New Roman" w:hAnsi="Times New Roman" w:cs="Times New Roman"/>
                <w:color w:val="000000"/>
                <w:sz w:val="18"/>
                <w:szCs w:val="32"/>
              </w:rPr>
              <w:t>register</w:t>
            </w:r>
            <w:proofErr w:type="gramEnd"/>
            <w:r w:rsidRPr="002E1657">
              <w:rPr>
                <w:rFonts w:ascii="Times New Roman" w:eastAsia="Times New Roman" w:hAnsi="Times New Roman" w:cs="Times New Roman"/>
                <w:color w:val="000000"/>
                <w:sz w:val="18"/>
                <w:szCs w:val="32"/>
              </w:rPr>
              <w:t xml:space="preserve">, </w:t>
            </w:r>
            <w:proofErr w:type="gramStart"/>
            <w:r w:rsidRPr="002E1657">
              <w:rPr>
                <w:rFonts w:ascii="Times New Roman" w:eastAsia="Times New Roman" w:hAnsi="Times New Roman" w:cs="Times New Roman"/>
                <w:color w:val="000000"/>
                <w:sz w:val="18"/>
                <w:szCs w:val="32"/>
              </w:rPr>
              <w:t>show financial solvency and stability</w:t>
            </w:r>
            <w:proofErr w:type="gramEnd"/>
            <w:r w:rsidRPr="002E1657">
              <w:rPr>
                <w:rFonts w:ascii="Times New Roman" w:eastAsia="Times New Roman" w:hAnsi="Times New Roman" w:cs="Times New Roman"/>
                <w:color w:val="000000"/>
                <w:sz w:val="18"/>
                <w:szCs w:val="32"/>
              </w:rPr>
              <w:t>. Once registered as a participant submits demand or supply tenders (bids)</w:t>
            </w:r>
          </w:p>
        </w:tc>
        <w:tc>
          <w:tcPr>
            <w:tcW w:w="3780" w:type="dxa"/>
            <w:tcBorders>
              <w:top w:val="single" w:sz="4" w:space="0" w:color="auto"/>
              <w:left w:val="nil"/>
              <w:bottom w:val="single" w:sz="4" w:space="0" w:color="auto"/>
              <w:right w:val="single" w:sz="4" w:space="0" w:color="auto"/>
            </w:tcBorders>
            <w:shd w:val="clear" w:color="auto" w:fill="auto"/>
            <w:hideMark/>
          </w:tcPr>
          <w:p w14:paraId="7C998D87"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Services require nodal participation in a regional network.  Nodes are standardized for communication with other nodes.</w:t>
            </w:r>
          </w:p>
        </w:tc>
        <w:tc>
          <w:tcPr>
            <w:tcW w:w="1710" w:type="dxa"/>
            <w:tcBorders>
              <w:top w:val="single" w:sz="4" w:space="0" w:color="auto"/>
              <w:left w:val="nil"/>
              <w:bottom w:val="single" w:sz="4" w:space="0" w:color="auto"/>
              <w:right w:val="single" w:sz="4" w:space="0" w:color="auto"/>
            </w:tcBorders>
            <w:shd w:val="clear" w:color="auto" w:fill="auto"/>
            <w:hideMark/>
          </w:tcPr>
          <w:p w14:paraId="29D777EB"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Services implemented in prospective participants; participant discovers and binds to a Power Matcher or Aggregator node</w:t>
            </w:r>
          </w:p>
        </w:tc>
        <w:tc>
          <w:tcPr>
            <w:tcW w:w="2520" w:type="dxa"/>
            <w:tcBorders>
              <w:top w:val="single" w:sz="4" w:space="0" w:color="auto"/>
              <w:left w:val="nil"/>
              <w:bottom w:val="single" w:sz="4" w:space="0" w:color="auto"/>
              <w:right w:val="single" w:sz="4" w:space="0" w:color="auto"/>
            </w:tcBorders>
            <w:shd w:val="clear" w:color="auto" w:fill="auto"/>
            <w:hideMark/>
          </w:tcPr>
          <w:p w14:paraId="4A204039"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Parties register an ESI and an enabling agreement with potential transaction counter parties.</w:t>
            </w:r>
          </w:p>
        </w:tc>
      </w:tr>
      <w:tr w:rsidR="002E1657" w:rsidRPr="002E1657" w14:paraId="1B61829B" w14:textId="77777777" w:rsidTr="00D843C0">
        <w:trPr>
          <w:cantSplit/>
        </w:trPr>
        <w:tc>
          <w:tcPr>
            <w:tcW w:w="1260" w:type="dxa"/>
            <w:tcBorders>
              <w:top w:val="nil"/>
              <w:left w:val="nil"/>
              <w:bottom w:val="nil"/>
              <w:right w:val="nil"/>
            </w:tcBorders>
            <w:shd w:val="clear" w:color="auto" w:fill="auto"/>
            <w:vAlign w:val="center"/>
            <w:hideMark/>
          </w:tcPr>
          <w:p w14:paraId="5FBC12C4" w14:textId="77777777" w:rsidR="002E1657" w:rsidRPr="002E1657" w:rsidRDefault="002E1657" w:rsidP="002E1657">
            <w:pPr>
              <w:spacing w:after="0"/>
              <w:rPr>
                <w:rFonts w:ascii="Times New Roman" w:eastAsia="Times New Roman" w:hAnsi="Times New Roman" w:cs="Times New Roman"/>
                <w:color w:val="000000"/>
                <w:sz w:val="18"/>
                <w:szCs w:val="32"/>
              </w:rPr>
            </w:pPr>
          </w:p>
        </w:tc>
        <w:tc>
          <w:tcPr>
            <w:tcW w:w="1629" w:type="dxa"/>
            <w:tcBorders>
              <w:top w:val="nil"/>
              <w:left w:val="nil"/>
              <w:bottom w:val="nil"/>
              <w:right w:val="nil"/>
            </w:tcBorders>
            <w:shd w:val="clear" w:color="auto" w:fill="auto"/>
            <w:hideMark/>
          </w:tcPr>
          <w:p w14:paraId="4D28C836" w14:textId="77777777" w:rsidR="002E1657" w:rsidRPr="002E1657" w:rsidRDefault="002E1657" w:rsidP="002E1657">
            <w:pPr>
              <w:spacing w:after="0"/>
              <w:jc w:val="center"/>
              <w:rPr>
                <w:rFonts w:ascii="Times New Roman" w:eastAsia="Times New Roman" w:hAnsi="Times New Roman" w:cs="Times New Roman"/>
                <w:sz w:val="18"/>
                <w:szCs w:val="20"/>
              </w:rPr>
            </w:pPr>
          </w:p>
        </w:tc>
        <w:tc>
          <w:tcPr>
            <w:tcW w:w="2061" w:type="dxa"/>
            <w:tcBorders>
              <w:top w:val="nil"/>
              <w:left w:val="nil"/>
              <w:bottom w:val="nil"/>
              <w:right w:val="nil"/>
            </w:tcBorders>
            <w:shd w:val="clear" w:color="auto" w:fill="auto"/>
            <w:hideMark/>
          </w:tcPr>
          <w:p w14:paraId="3095A5BF" w14:textId="77777777" w:rsidR="002E1657" w:rsidRPr="002E1657" w:rsidRDefault="002E1657" w:rsidP="002E1657">
            <w:pPr>
              <w:spacing w:after="0"/>
              <w:rPr>
                <w:rFonts w:ascii="Times New Roman" w:eastAsia="Times New Roman" w:hAnsi="Times New Roman" w:cs="Times New Roman"/>
                <w:sz w:val="18"/>
                <w:szCs w:val="20"/>
              </w:rPr>
            </w:pPr>
          </w:p>
        </w:tc>
        <w:tc>
          <w:tcPr>
            <w:tcW w:w="3780" w:type="dxa"/>
            <w:tcBorders>
              <w:top w:val="nil"/>
              <w:left w:val="nil"/>
              <w:bottom w:val="nil"/>
              <w:right w:val="nil"/>
            </w:tcBorders>
            <w:shd w:val="clear" w:color="auto" w:fill="auto"/>
            <w:hideMark/>
          </w:tcPr>
          <w:p w14:paraId="780459F7" w14:textId="77777777" w:rsidR="002E1657" w:rsidRPr="002E1657" w:rsidRDefault="002E1657" w:rsidP="002E1657">
            <w:pPr>
              <w:spacing w:after="0"/>
              <w:rPr>
                <w:rFonts w:ascii="Times New Roman" w:eastAsia="Times New Roman" w:hAnsi="Times New Roman" w:cs="Times New Roman"/>
                <w:sz w:val="18"/>
                <w:szCs w:val="20"/>
              </w:rPr>
            </w:pPr>
          </w:p>
        </w:tc>
        <w:tc>
          <w:tcPr>
            <w:tcW w:w="1710" w:type="dxa"/>
            <w:tcBorders>
              <w:top w:val="nil"/>
              <w:left w:val="nil"/>
              <w:bottom w:val="nil"/>
              <w:right w:val="nil"/>
            </w:tcBorders>
            <w:shd w:val="clear" w:color="auto" w:fill="auto"/>
            <w:hideMark/>
          </w:tcPr>
          <w:p w14:paraId="59FC40CE" w14:textId="77777777" w:rsidR="002E1657" w:rsidRPr="002E1657" w:rsidRDefault="002E1657" w:rsidP="002E1657">
            <w:pPr>
              <w:spacing w:after="0"/>
              <w:rPr>
                <w:rFonts w:ascii="Times New Roman" w:eastAsia="Times New Roman" w:hAnsi="Times New Roman" w:cs="Times New Roman"/>
                <w:sz w:val="18"/>
                <w:szCs w:val="20"/>
              </w:rPr>
            </w:pPr>
          </w:p>
        </w:tc>
        <w:tc>
          <w:tcPr>
            <w:tcW w:w="2520" w:type="dxa"/>
            <w:tcBorders>
              <w:top w:val="nil"/>
              <w:left w:val="nil"/>
              <w:bottom w:val="nil"/>
              <w:right w:val="nil"/>
            </w:tcBorders>
            <w:shd w:val="clear" w:color="auto" w:fill="auto"/>
            <w:hideMark/>
          </w:tcPr>
          <w:p w14:paraId="3D4F0437" w14:textId="77777777" w:rsidR="002E1657" w:rsidRPr="002E1657" w:rsidRDefault="002E1657" w:rsidP="002E1657">
            <w:pPr>
              <w:spacing w:after="0"/>
              <w:rPr>
                <w:rFonts w:ascii="Times New Roman" w:eastAsia="Times New Roman" w:hAnsi="Times New Roman" w:cs="Times New Roman"/>
                <w:sz w:val="18"/>
                <w:szCs w:val="20"/>
              </w:rPr>
            </w:pPr>
          </w:p>
        </w:tc>
      </w:tr>
      <w:tr w:rsidR="002E1657" w:rsidRPr="002E1657" w14:paraId="210999D6" w14:textId="77777777" w:rsidTr="00D843C0">
        <w:trPr>
          <w:cantSplit/>
        </w:trPr>
        <w:tc>
          <w:tcPr>
            <w:tcW w:w="1260" w:type="dxa"/>
            <w:tcBorders>
              <w:top w:val="nil"/>
              <w:left w:val="nil"/>
              <w:bottom w:val="nil"/>
              <w:right w:val="nil"/>
            </w:tcBorders>
            <w:shd w:val="clear" w:color="auto" w:fill="auto"/>
            <w:vAlign w:val="center"/>
            <w:hideMark/>
          </w:tcPr>
          <w:p w14:paraId="49C23A2D" w14:textId="77777777" w:rsidR="002E1657" w:rsidRPr="002E1657" w:rsidRDefault="002E1657" w:rsidP="002E1657">
            <w:pPr>
              <w:spacing w:after="0"/>
              <w:jc w:val="center"/>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lastRenderedPageBreak/>
              <w:t>Timing</w:t>
            </w:r>
          </w:p>
        </w:tc>
        <w:tc>
          <w:tcPr>
            <w:tcW w:w="1629" w:type="dxa"/>
            <w:tcBorders>
              <w:top w:val="single" w:sz="4" w:space="0" w:color="auto"/>
              <w:left w:val="single" w:sz="4" w:space="0" w:color="auto"/>
              <w:bottom w:val="single" w:sz="4" w:space="0" w:color="auto"/>
              <w:right w:val="single" w:sz="4" w:space="0" w:color="auto"/>
            </w:tcBorders>
            <w:shd w:val="clear" w:color="auto" w:fill="auto"/>
            <w:hideMark/>
          </w:tcPr>
          <w:p w14:paraId="3B3EBF64"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Asynchronous tender creation and acceptance</w:t>
            </w:r>
          </w:p>
        </w:tc>
        <w:tc>
          <w:tcPr>
            <w:tcW w:w="2061" w:type="dxa"/>
            <w:tcBorders>
              <w:top w:val="single" w:sz="4" w:space="0" w:color="auto"/>
              <w:left w:val="nil"/>
              <w:bottom w:val="single" w:sz="4" w:space="0" w:color="auto"/>
              <w:right w:val="single" w:sz="4" w:space="0" w:color="auto"/>
            </w:tcBorders>
            <w:shd w:val="clear" w:color="auto" w:fill="auto"/>
            <w:hideMark/>
          </w:tcPr>
          <w:p w14:paraId="71414082"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Various. The majority of instances fall under forward (usually next day), </w:t>
            </w:r>
            <w:proofErr w:type="spellStart"/>
            <w:r w:rsidRPr="002E1657">
              <w:rPr>
                <w:rFonts w:ascii="Times New Roman" w:eastAsia="Times New Roman" w:hAnsi="Times New Roman" w:cs="Times New Roman"/>
                <w:color w:val="000000"/>
                <w:sz w:val="18"/>
                <w:szCs w:val="32"/>
              </w:rPr>
              <w:t>realt</w:t>
            </w:r>
            <w:proofErr w:type="spellEnd"/>
            <w:r w:rsidRPr="002E1657">
              <w:rPr>
                <w:rFonts w:ascii="Times New Roman" w:eastAsia="Times New Roman" w:hAnsi="Times New Roman" w:cs="Times New Roman"/>
                <w:color w:val="000000"/>
                <w:sz w:val="18"/>
                <w:szCs w:val="32"/>
              </w:rPr>
              <w:t xml:space="preserve"> time with 5 minute to 1 hour periods</w:t>
            </w:r>
          </w:p>
        </w:tc>
        <w:tc>
          <w:tcPr>
            <w:tcW w:w="3780" w:type="dxa"/>
            <w:tcBorders>
              <w:top w:val="single" w:sz="4" w:space="0" w:color="auto"/>
              <w:left w:val="nil"/>
              <w:bottom w:val="single" w:sz="4" w:space="0" w:color="auto"/>
              <w:right w:val="single" w:sz="4" w:space="0" w:color="auto"/>
            </w:tcBorders>
            <w:shd w:val="clear" w:color="auto" w:fill="auto"/>
            <w:hideMark/>
          </w:tcPr>
          <w:p w14:paraId="6F54AB9E"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As demonstrated, signal exchange occurs every interval (e.g., 5 minutes), but the designers intend to eventually make systems event-driven, and rapid signal exchange for arriving at </w:t>
            </w:r>
            <w:proofErr w:type="gramStart"/>
            <w:r w:rsidRPr="002E1657">
              <w:rPr>
                <w:rFonts w:ascii="Times New Roman" w:eastAsia="Times New Roman" w:hAnsi="Times New Roman" w:cs="Times New Roman"/>
                <w:color w:val="000000"/>
                <w:sz w:val="18"/>
                <w:szCs w:val="32"/>
              </w:rPr>
              <w:t>an equilibrium</w:t>
            </w:r>
            <w:proofErr w:type="gramEnd"/>
            <w:r w:rsidRPr="002E1657">
              <w:rPr>
                <w:rFonts w:ascii="Times New Roman" w:eastAsia="Times New Roman" w:hAnsi="Times New Roman" w:cs="Times New Roman"/>
                <w:color w:val="000000"/>
                <w:sz w:val="18"/>
                <w:szCs w:val="32"/>
              </w:rPr>
              <w:t xml:space="preserve"> may require iteration.</w:t>
            </w:r>
          </w:p>
        </w:tc>
        <w:tc>
          <w:tcPr>
            <w:tcW w:w="1710" w:type="dxa"/>
            <w:tcBorders>
              <w:top w:val="single" w:sz="4" w:space="0" w:color="auto"/>
              <w:left w:val="nil"/>
              <w:bottom w:val="single" w:sz="4" w:space="0" w:color="auto"/>
              <w:right w:val="single" w:sz="4" w:space="0" w:color="auto"/>
            </w:tcBorders>
            <w:shd w:val="clear" w:color="auto" w:fill="auto"/>
            <w:hideMark/>
          </w:tcPr>
          <w:p w14:paraId="1E48B7EC"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Event-driven: When something changes at the device level, the PowerMatcher market re-clears. PowerMatcher can be connected to external markets with different timings.</w:t>
            </w:r>
          </w:p>
        </w:tc>
        <w:tc>
          <w:tcPr>
            <w:tcW w:w="2520" w:type="dxa"/>
            <w:tcBorders>
              <w:top w:val="single" w:sz="4" w:space="0" w:color="auto"/>
              <w:left w:val="nil"/>
              <w:bottom w:val="single" w:sz="4" w:space="0" w:color="auto"/>
              <w:right w:val="single" w:sz="4" w:space="0" w:color="auto"/>
            </w:tcBorders>
            <w:shd w:val="clear" w:color="auto" w:fill="auto"/>
            <w:hideMark/>
          </w:tcPr>
          <w:p w14:paraId="66C4A562"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Asynchronous tender creation and acceptance on forward intervals of years, months, days and hours, 5 minutes and 4 seconds, for example. After the fact tenders might be used to correct for </w:t>
            </w:r>
            <w:proofErr w:type="spellStart"/>
            <w:r w:rsidRPr="002E1657">
              <w:rPr>
                <w:rFonts w:ascii="Times New Roman" w:eastAsia="Times New Roman" w:hAnsi="Times New Roman" w:cs="Times New Roman"/>
                <w:color w:val="000000"/>
                <w:sz w:val="18"/>
                <w:szCs w:val="32"/>
              </w:rPr>
              <w:t>overdelivery</w:t>
            </w:r>
            <w:proofErr w:type="spellEnd"/>
            <w:r w:rsidRPr="002E1657">
              <w:rPr>
                <w:rFonts w:ascii="Times New Roman" w:eastAsia="Times New Roman" w:hAnsi="Times New Roman" w:cs="Times New Roman"/>
                <w:color w:val="000000"/>
                <w:sz w:val="18"/>
                <w:szCs w:val="32"/>
              </w:rPr>
              <w:t xml:space="preserve"> and </w:t>
            </w:r>
            <w:proofErr w:type="spellStart"/>
            <w:r w:rsidRPr="002E1657">
              <w:rPr>
                <w:rFonts w:ascii="Times New Roman" w:eastAsia="Times New Roman" w:hAnsi="Times New Roman" w:cs="Times New Roman"/>
                <w:color w:val="000000"/>
                <w:sz w:val="18"/>
                <w:szCs w:val="32"/>
              </w:rPr>
              <w:t>underdelivery</w:t>
            </w:r>
            <w:proofErr w:type="spellEnd"/>
            <w:r w:rsidRPr="002E1657">
              <w:rPr>
                <w:rFonts w:ascii="Times New Roman" w:eastAsia="Times New Roman" w:hAnsi="Times New Roman" w:cs="Times New Roman"/>
                <w:color w:val="000000"/>
                <w:sz w:val="18"/>
                <w:szCs w:val="32"/>
              </w:rPr>
              <w:t>.</w:t>
            </w:r>
          </w:p>
        </w:tc>
      </w:tr>
      <w:tr w:rsidR="002E1657" w:rsidRPr="002E1657" w14:paraId="2AB346EC" w14:textId="77777777" w:rsidTr="00D843C0">
        <w:trPr>
          <w:cantSplit/>
        </w:trPr>
        <w:tc>
          <w:tcPr>
            <w:tcW w:w="1260" w:type="dxa"/>
            <w:tcBorders>
              <w:top w:val="nil"/>
              <w:left w:val="nil"/>
              <w:bottom w:val="nil"/>
              <w:right w:val="nil"/>
            </w:tcBorders>
            <w:shd w:val="clear" w:color="auto" w:fill="auto"/>
            <w:vAlign w:val="center"/>
            <w:hideMark/>
          </w:tcPr>
          <w:p w14:paraId="085F7C8A" w14:textId="77777777" w:rsidR="002E1657" w:rsidRPr="002E1657" w:rsidRDefault="002E1657" w:rsidP="002E1657">
            <w:pPr>
              <w:spacing w:after="0"/>
              <w:rPr>
                <w:rFonts w:ascii="Times New Roman" w:eastAsia="Times New Roman" w:hAnsi="Times New Roman" w:cs="Times New Roman"/>
                <w:color w:val="000000"/>
                <w:sz w:val="18"/>
                <w:szCs w:val="32"/>
              </w:rPr>
            </w:pPr>
          </w:p>
        </w:tc>
        <w:tc>
          <w:tcPr>
            <w:tcW w:w="1629" w:type="dxa"/>
            <w:tcBorders>
              <w:top w:val="nil"/>
              <w:left w:val="nil"/>
              <w:bottom w:val="nil"/>
              <w:right w:val="nil"/>
            </w:tcBorders>
            <w:shd w:val="clear" w:color="auto" w:fill="auto"/>
            <w:hideMark/>
          </w:tcPr>
          <w:p w14:paraId="52396CC9" w14:textId="77777777" w:rsidR="002E1657" w:rsidRPr="002E1657" w:rsidRDefault="002E1657" w:rsidP="002E1657">
            <w:pPr>
              <w:spacing w:after="0"/>
              <w:jc w:val="center"/>
              <w:rPr>
                <w:rFonts w:ascii="Times New Roman" w:eastAsia="Times New Roman" w:hAnsi="Times New Roman" w:cs="Times New Roman"/>
                <w:sz w:val="18"/>
                <w:szCs w:val="20"/>
              </w:rPr>
            </w:pPr>
          </w:p>
        </w:tc>
        <w:tc>
          <w:tcPr>
            <w:tcW w:w="2061" w:type="dxa"/>
            <w:tcBorders>
              <w:top w:val="nil"/>
              <w:left w:val="nil"/>
              <w:bottom w:val="nil"/>
              <w:right w:val="nil"/>
            </w:tcBorders>
            <w:shd w:val="clear" w:color="auto" w:fill="auto"/>
            <w:hideMark/>
          </w:tcPr>
          <w:p w14:paraId="000F2CC5" w14:textId="77777777" w:rsidR="002E1657" w:rsidRPr="002E1657" w:rsidRDefault="002E1657" w:rsidP="002E1657">
            <w:pPr>
              <w:spacing w:after="0"/>
              <w:rPr>
                <w:rFonts w:ascii="Times New Roman" w:eastAsia="Times New Roman" w:hAnsi="Times New Roman" w:cs="Times New Roman"/>
                <w:sz w:val="18"/>
                <w:szCs w:val="20"/>
              </w:rPr>
            </w:pPr>
          </w:p>
        </w:tc>
        <w:tc>
          <w:tcPr>
            <w:tcW w:w="3780" w:type="dxa"/>
            <w:tcBorders>
              <w:top w:val="nil"/>
              <w:left w:val="nil"/>
              <w:bottom w:val="nil"/>
              <w:right w:val="nil"/>
            </w:tcBorders>
            <w:shd w:val="clear" w:color="auto" w:fill="auto"/>
            <w:hideMark/>
          </w:tcPr>
          <w:p w14:paraId="61353B8F" w14:textId="77777777" w:rsidR="002E1657" w:rsidRPr="002E1657" w:rsidRDefault="002E1657" w:rsidP="002E1657">
            <w:pPr>
              <w:spacing w:after="0"/>
              <w:rPr>
                <w:rFonts w:ascii="Times New Roman" w:eastAsia="Times New Roman" w:hAnsi="Times New Roman" w:cs="Times New Roman"/>
                <w:sz w:val="18"/>
                <w:szCs w:val="20"/>
              </w:rPr>
            </w:pPr>
          </w:p>
        </w:tc>
        <w:tc>
          <w:tcPr>
            <w:tcW w:w="1710" w:type="dxa"/>
            <w:tcBorders>
              <w:top w:val="nil"/>
              <w:left w:val="nil"/>
              <w:bottom w:val="nil"/>
              <w:right w:val="nil"/>
            </w:tcBorders>
            <w:shd w:val="clear" w:color="auto" w:fill="auto"/>
            <w:hideMark/>
          </w:tcPr>
          <w:p w14:paraId="523ACD6B" w14:textId="77777777" w:rsidR="002E1657" w:rsidRPr="002E1657" w:rsidRDefault="002E1657" w:rsidP="002E1657">
            <w:pPr>
              <w:spacing w:after="0"/>
              <w:rPr>
                <w:rFonts w:ascii="Times New Roman" w:eastAsia="Times New Roman" w:hAnsi="Times New Roman" w:cs="Times New Roman"/>
                <w:sz w:val="18"/>
                <w:szCs w:val="20"/>
              </w:rPr>
            </w:pPr>
          </w:p>
        </w:tc>
        <w:tc>
          <w:tcPr>
            <w:tcW w:w="2520" w:type="dxa"/>
            <w:tcBorders>
              <w:top w:val="nil"/>
              <w:left w:val="nil"/>
              <w:bottom w:val="nil"/>
              <w:right w:val="nil"/>
            </w:tcBorders>
            <w:shd w:val="clear" w:color="auto" w:fill="auto"/>
            <w:hideMark/>
          </w:tcPr>
          <w:p w14:paraId="34E75BA3" w14:textId="77777777" w:rsidR="002E1657" w:rsidRPr="002E1657" w:rsidRDefault="002E1657" w:rsidP="002E1657">
            <w:pPr>
              <w:spacing w:after="0"/>
              <w:rPr>
                <w:rFonts w:ascii="Times New Roman" w:eastAsia="Times New Roman" w:hAnsi="Times New Roman" w:cs="Times New Roman"/>
                <w:sz w:val="18"/>
                <w:szCs w:val="20"/>
              </w:rPr>
            </w:pPr>
          </w:p>
        </w:tc>
      </w:tr>
      <w:tr w:rsidR="002E1657" w:rsidRPr="002E1657" w14:paraId="3CD63315" w14:textId="77777777" w:rsidTr="00D843C0">
        <w:trPr>
          <w:cantSplit/>
        </w:trPr>
        <w:tc>
          <w:tcPr>
            <w:tcW w:w="1260" w:type="dxa"/>
            <w:tcBorders>
              <w:top w:val="nil"/>
              <w:left w:val="nil"/>
              <w:bottom w:val="nil"/>
              <w:right w:val="nil"/>
            </w:tcBorders>
            <w:shd w:val="clear" w:color="auto" w:fill="auto"/>
            <w:vAlign w:val="center"/>
            <w:hideMark/>
          </w:tcPr>
          <w:p w14:paraId="3AB482E2" w14:textId="77777777" w:rsidR="002E1657" w:rsidRPr="002E1657" w:rsidRDefault="002E1657" w:rsidP="002E1657">
            <w:pPr>
              <w:spacing w:after="0"/>
              <w:jc w:val="center"/>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Market</w:t>
            </w:r>
          </w:p>
        </w:tc>
        <w:tc>
          <w:tcPr>
            <w:tcW w:w="1629" w:type="dxa"/>
            <w:tcBorders>
              <w:top w:val="single" w:sz="4" w:space="0" w:color="auto"/>
              <w:left w:val="single" w:sz="4" w:space="0" w:color="auto"/>
              <w:bottom w:val="single" w:sz="4" w:space="0" w:color="auto"/>
              <w:right w:val="single" w:sz="4" w:space="0" w:color="auto"/>
            </w:tcBorders>
            <w:shd w:val="clear" w:color="auto" w:fill="auto"/>
            <w:hideMark/>
          </w:tcPr>
          <w:p w14:paraId="3A0DE5F4"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Each party decides how much of each tender to accept as a transaction.  Continuous creation and acceptance of typically small forward tenders</w:t>
            </w:r>
          </w:p>
        </w:tc>
        <w:tc>
          <w:tcPr>
            <w:tcW w:w="2061" w:type="dxa"/>
            <w:tcBorders>
              <w:top w:val="single" w:sz="4" w:space="0" w:color="auto"/>
              <w:left w:val="nil"/>
              <w:bottom w:val="single" w:sz="4" w:space="0" w:color="auto"/>
              <w:right w:val="single" w:sz="4" w:space="0" w:color="auto"/>
            </w:tcBorders>
            <w:shd w:val="clear" w:color="auto" w:fill="auto"/>
            <w:hideMark/>
          </w:tcPr>
          <w:p w14:paraId="423B90EA"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Many diverse markets, products, and rules.</w:t>
            </w:r>
          </w:p>
        </w:tc>
        <w:tc>
          <w:tcPr>
            <w:tcW w:w="3780" w:type="dxa"/>
            <w:tcBorders>
              <w:top w:val="single" w:sz="4" w:space="0" w:color="auto"/>
              <w:left w:val="nil"/>
              <w:bottom w:val="single" w:sz="4" w:space="0" w:color="auto"/>
              <w:right w:val="single" w:sz="4" w:space="0" w:color="auto"/>
            </w:tcBorders>
            <w:shd w:val="clear" w:color="auto" w:fill="auto"/>
            <w:hideMark/>
          </w:tcPr>
          <w:p w14:paraId="02334198"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A specific market design. System may accommodate price impacts from existing markets if such pricing is transparent and available. </w:t>
            </w:r>
          </w:p>
        </w:tc>
        <w:tc>
          <w:tcPr>
            <w:tcW w:w="1710" w:type="dxa"/>
            <w:tcBorders>
              <w:top w:val="single" w:sz="4" w:space="0" w:color="auto"/>
              <w:left w:val="nil"/>
              <w:bottom w:val="single" w:sz="4" w:space="0" w:color="auto"/>
              <w:right w:val="single" w:sz="4" w:space="0" w:color="auto"/>
            </w:tcBorders>
            <w:shd w:val="clear" w:color="auto" w:fill="auto"/>
            <w:hideMark/>
          </w:tcPr>
          <w:p w14:paraId="03681CDE"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A specific market design. Straightforward curve/clearing. </w:t>
            </w:r>
          </w:p>
        </w:tc>
        <w:tc>
          <w:tcPr>
            <w:tcW w:w="2520" w:type="dxa"/>
            <w:tcBorders>
              <w:top w:val="single" w:sz="4" w:space="0" w:color="auto"/>
              <w:left w:val="nil"/>
              <w:bottom w:val="single" w:sz="4" w:space="0" w:color="auto"/>
              <w:right w:val="single" w:sz="4" w:space="0" w:color="auto"/>
            </w:tcBorders>
            <w:shd w:val="clear" w:color="auto" w:fill="auto"/>
            <w:hideMark/>
          </w:tcPr>
          <w:p w14:paraId="4C28306A"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Each party decides how much of each tender to accept as a transaction.  Continuous creation and acceptance of typically small forward tenders. TEMIX markets can be interfaced with existing markets.</w:t>
            </w:r>
          </w:p>
        </w:tc>
      </w:tr>
      <w:tr w:rsidR="002E1657" w:rsidRPr="002E1657" w14:paraId="51464423" w14:textId="77777777" w:rsidTr="00D843C0">
        <w:trPr>
          <w:cantSplit/>
        </w:trPr>
        <w:tc>
          <w:tcPr>
            <w:tcW w:w="1260" w:type="dxa"/>
            <w:tcBorders>
              <w:top w:val="nil"/>
              <w:left w:val="nil"/>
              <w:bottom w:val="nil"/>
              <w:right w:val="nil"/>
            </w:tcBorders>
            <w:shd w:val="clear" w:color="auto" w:fill="auto"/>
            <w:vAlign w:val="center"/>
            <w:hideMark/>
          </w:tcPr>
          <w:p w14:paraId="00727C5B" w14:textId="77777777" w:rsidR="002E1657" w:rsidRPr="002E1657" w:rsidRDefault="002E1657" w:rsidP="002E1657">
            <w:pPr>
              <w:spacing w:after="0"/>
              <w:rPr>
                <w:rFonts w:ascii="Times New Roman" w:eastAsia="Times New Roman" w:hAnsi="Times New Roman" w:cs="Times New Roman"/>
                <w:color w:val="000000"/>
                <w:sz w:val="18"/>
                <w:szCs w:val="32"/>
              </w:rPr>
            </w:pPr>
          </w:p>
        </w:tc>
        <w:tc>
          <w:tcPr>
            <w:tcW w:w="1629" w:type="dxa"/>
            <w:tcBorders>
              <w:top w:val="nil"/>
              <w:left w:val="nil"/>
              <w:bottom w:val="nil"/>
              <w:right w:val="nil"/>
            </w:tcBorders>
            <w:shd w:val="clear" w:color="auto" w:fill="auto"/>
            <w:hideMark/>
          </w:tcPr>
          <w:p w14:paraId="43196CBA" w14:textId="77777777" w:rsidR="002E1657" w:rsidRPr="002E1657" w:rsidRDefault="002E1657" w:rsidP="002E1657">
            <w:pPr>
              <w:spacing w:after="0"/>
              <w:jc w:val="center"/>
              <w:rPr>
                <w:rFonts w:ascii="Times New Roman" w:eastAsia="Times New Roman" w:hAnsi="Times New Roman" w:cs="Times New Roman"/>
                <w:sz w:val="18"/>
                <w:szCs w:val="20"/>
              </w:rPr>
            </w:pPr>
          </w:p>
        </w:tc>
        <w:tc>
          <w:tcPr>
            <w:tcW w:w="2061" w:type="dxa"/>
            <w:tcBorders>
              <w:top w:val="nil"/>
              <w:left w:val="nil"/>
              <w:bottom w:val="nil"/>
              <w:right w:val="nil"/>
            </w:tcBorders>
            <w:shd w:val="clear" w:color="auto" w:fill="auto"/>
            <w:hideMark/>
          </w:tcPr>
          <w:p w14:paraId="416CE1DB" w14:textId="77777777" w:rsidR="002E1657" w:rsidRPr="002E1657" w:rsidRDefault="002E1657" w:rsidP="002E1657">
            <w:pPr>
              <w:spacing w:after="0"/>
              <w:rPr>
                <w:rFonts w:ascii="Times New Roman" w:eastAsia="Times New Roman" w:hAnsi="Times New Roman" w:cs="Times New Roman"/>
                <w:sz w:val="18"/>
                <w:szCs w:val="20"/>
              </w:rPr>
            </w:pPr>
          </w:p>
        </w:tc>
        <w:tc>
          <w:tcPr>
            <w:tcW w:w="3780" w:type="dxa"/>
            <w:tcBorders>
              <w:top w:val="nil"/>
              <w:left w:val="nil"/>
              <w:bottom w:val="nil"/>
              <w:right w:val="nil"/>
            </w:tcBorders>
            <w:shd w:val="clear" w:color="auto" w:fill="auto"/>
            <w:hideMark/>
          </w:tcPr>
          <w:p w14:paraId="09215C0A" w14:textId="77777777" w:rsidR="002E1657" w:rsidRPr="002E1657" w:rsidRDefault="002E1657" w:rsidP="002E1657">
            <w:pPr>
              <w:spacing w:after="0"/>
              <w:rPr>
                <w:rFonts w:ascii="Times New Roman" w:eastAsia="Times New Roman" w:hAnsi="Times New Roman" w:cs="Times New Roman"/>
                <w:sz w:val="18"/>
                <w:szCs w:val="20"/>
              </w:rPr>
            </w:pPr>
          </w:p>
        </w:tc>
        <w:tc>
          <w:tcPr>
            <w:tcW w:w="1710" w:type="dxa"/>
            <w:tcBorders>
              <w:top w:val="nil"/>
              <w:left w:val="nil"/>
              <w:bottom w:val="nil"/>
              <w:right w:val="nil"/>
            </w:tcBorders>
            <w:shd w:val="clear" w:color="auto" w:fill="auto"/>
            <w:hideMark/>
          </w:tcPr>
          <w:p w14:paraId="5FD49810" w14:textId="77777777" w:rsidR="002E1657" w:rsidRPr="002E1657" w:rsidRDefault="002E1657" w:rsidP="002E1657">
            <w:pPr>
              <w:spacing w:after="0"/>
              <w:rPr>
                <w:rFonts w:ascii="Times New Roman" w:eastAsia="Times New Roman" w:hAnsi="Times New Roman" w:cs="Times New Roman"/>
                <w:sz w:val="18"/>
                <w:szCs w:val="20"/>
              </w:rPr>
            </w:pPr>
          </w:p>
        </w:tc>
        <w:tc>
          <w:tcPr>
            <w:tcW w:w="2520" w:type="dxa"/>
            <w:tcBorders>
              <w:top w:val="nil"/>
              <w:left w:val="nil"/>
              <w:bottom w:val="nil"/>
              <w:right w:val="nil"/>
            </w:tcBorders>
            <w:shd w:val="clear" w:color="auto" w:fill="auto"/>
            <w:hideMark/>
          </w:tcPr>
          <w:p w14:paraId="79DA92FF" w14:textId="77777777" w:rsidR="002E1657" w:rsidRPr="002E1657" w:rsidRDefault="002E1657" w:rsidP="002E1657">
            <w:pPr>
              <w:spacing w:after="0"/>
              <w:rPr>
                <w:rFonts w:ascii="Times New Roman" w:eastAsia="Times New Roman" w:hAnsi="Times New Roman" w:cs="Times New Roman"/>
                <w:sz w:val="18"/>
                <w:szCs w:val="20"/>
              </w:rPr>
            </w:pPr>
          </w:p>
        </w:tc>
      </w:tr>
      <w:tr w:rsidR="002E1657" w:rsidRPr="002E1657" w14:paraId="6EFC50D0" w14:textId="77777777" w:rsidTr="00D843C0">
        <w:trPr>
          <w:cantSplit/>
        </w:trPr>
        <w:tc>
          <w:tcPr>
            <w:tcW w:w="1260" w:type="dxa"/>
            <w:tcBorders>
              <w:top w:val="nil"/>
              <w:left w:val="nil"/>
              <w:bottom w:val="nil"/>
              <w:right w:val="nil"/>
            </w:tcBorders>
            <w:shd w:val="clear" w:color="auto" w:fill="auto"/>
            <w:vAlign w:val="center"/>
            <w:hideMark/>
          </w:tcPr>
          <w:p w14:paraId="0FB0C42A" w14:textId="77777777" w:rsidR="002E1657" w:rsidRPr="002E1657" w:rsidRDefault="002E1657" w:rsidP="002E1657">
            <w:pPr>
              <w:spacing w:after="0"/>
              <w:jc w:val="center"/>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Other</w:t>
            </w:r>
          </w:p>
        </w:tc>
        <w:tc>
          <w:tcPr>
            <w:tcW w:w="1629" w:type="dxa"/>
            <w:tcBorders>
              <w:top w:val="single" w:sz="4" w:space="0" w:color="auto"/>
              <w:left w:val="single" w:sz="4" w:space="0" w:color="auto"/>
              <w:bottom w:val="single" w:sz="4" w:space="0" w:color="auto"/>
              <w:right w:val="single" w:sz="4" w:space="0" w:color="auto"/>
            </w:tcBorders>
            <w:shd w:val="clear" w:color="auto" w:fill="auto"/>
            <w:hideMark/>
          </w:tcPr>
          <w:p w14:paraId="0B6243BF"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Can use CIM curves and select specific tenders. Tenders may be partially accepted.</w:t>
            </w:r>
          </w:p>
        </w:tc>
        <w:tc>
          <w:tcPr>
            <w:tcW w:w="2061" w:type="dxa"/>
            <w:tcBorders>
              <w:top w:val="single" w:sz="4" w:space="0" w:color="auto"/>
              <w:left w:val="nil"/>
              <w:bottom w:val="single" w:sz="4" w:space="0" w:color="auto"/>
              <w:right w:val="single" w:sz="4" w:space="0" w:color="auto"/>
            </w:tcBorders>
            <w:shd w:val="clear" w:color="auto" w:fill="auto"/>
            <w:hideMark/>
          </w:tcPr>
          <w:p w14:paraId="53CDAA9C"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Typically market participants must know their supply/demand curves</w:t>
            </w:r>
          </w:p>
        </w:tc>
        <w:tc>
          <w:tcPr>
            <w:tcW w:w="3780" w:type="dxa"/>
            <w:tcBorders>
              <w:top w:val="single" w:sz="4" w:space="0" w:color="auto"/>
              <w:left w:val="nil"/>
              <w:bottom w:val="single" w:sz="4" w:space="0" w:color="auto"/>
              <w:right w:val="single" w:sz="4" w:space="0" w:color="auto"/>
            </w:tcBorders>
            <w:shd w:val="clear" w:color="auto" w:fill="auto"/>
            <w:hideMark/>
          </w:tcPr>
          <w:p w14:paraId="141713AB"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The system framework is potentially very distributed. The framework allows for an extensible set of functional behaviors through the formulation of "toolkit functions" that model system responses as functions of the transaction signals.</w:t>
            </w:r>
          </w:p>
        </w:tc>
        <w:tc>
          <w:tcPr>
            <w:tcW w:w="1710" w:type="dxa"/>
            <w:tcBorders>
              <w:top w:val="single" w:sz="4" w:space="0" w:color="auto"/>
              <w:left w:val="nil"/>
              <w:bottom w:val="single" w:sz="4" w:space="0" w:color="auto"/>
              <w:right w:val="single" w:sz="4" w:space="0" w:color="auto"/>
            </w:tcBorders>
            <w:shd w:val="clear" w:color="auto" w:fill="auto"/>
            <w:hideMark/>
          </w:tcPr>
          <w:p w14:paraId="545A374D"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Knowing your own supply and demand curves may be difficult a priori.</w:t>
            </w:r>
          </w:p>
        </w:tc>
        <w:tc>
          <w:tcPr>
            <w:tcW w:w="2520" w:type="dxa"/>
            <w:tcBorders>
              <w:top w:val="single" w:sz="4" w:space="0" w:color="auto"/>
              <w:left w:val="nil"/>
              <w:bottom w:val="single" w:sz="4" w:space="0" w:color="auto"/>
              <w:right w:val="single" w:sz="4" w:space="0" w:color="auto"/>
            </w:tcBorders>
            <w:shd w:val="clear" w:color="auto" w:fill="auto"/>
            <w:hideMark/>
          </w:tcPr>
          <w:p w14:paraId="240856F2"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No communication of supply/demand curves.  All parties can self-dispatch based on forward tender prices.</w:t>
            </w:r>
          </w:p>
        </w:tc>
      </w:tr>
      <w:tr w:rsidR="002E1657" w:rsidRPr="002E1657" w14:paraId="3DCCEE3A" w14:textId="77777777" w:rsidTr="00D843C0">
        <w:trPr>
          <w:cantSplit/>
        </w:trPr>
        <w:tc>
          <w:tcPr>
            <w:tcW w:w="1260" w:type="dxa"/>
            <w:tcBorders>
              <w:top w:val="nil"/>
              <w:left w:val="nil"/>
              <w:bottom w:val="nil"/>
              <w:right w:val="nil"/>
            </w:tcBorders>
            <w:shd w:val="clear" w:color="auto" w:fill="auto"/>
            <w:noWrap/>
            <w:vAlign w:val="center"/>
            <w:hideMark/>
          </w:tcPr>
          <w:p w14:paraId="60B51FAA" w14:textId="77777777" w:rsidR="002E1657" w:rsidRPr="002E1657" w:rsidRDefault="002E1657" w:rsidP="002E1657">
            <w:pPr>
              <w:spacing w:after="0"/>
              <w:rPr>
                <w:rFonts w:ascii="Times New Roman" w:eastAsia="Times New Roman" w:hAnsi="Times New Roman" w:cs="Times New Roman"/>
                <w:color w:val="000000"/>
                <w:sz w:val="18"/>
                <w:szCs w:val="32"/>
              </w:rPr>
            </w:pPr>
          </w:p>
        </w:tc>
        <w:tc>
          <w:tcPr>
            <w:tcW w:w="1629" w:type="dxa"/>
            <w:tcBorders>
              <w:top w:val="nil"/>
              <w:left w:val="nil"/>
              <w:bottom w:val="nil"/>
              <w:right w:val="nil"/>
            </w:tcBorders>
            <w:shd w:val="clear" w:color="auto" w:fill="auto"/>
            <w:noWrap/>
            <w:vAlign w:val="bottom"/>
            <w:hideMark/>
          </w:tcPr>
          <w:p w14:paraId="1F8CB060" w14:textId="77777777" w:rsidR="002E1657" w:rsidRPr="002E1657" w:rsidRDefault="002E1657" w:rsidP="002E1657">
            <w:pPr>
              <w:spacing w:after="0"/>
              <w:rPr>
                <w:rFonts w:ascii="Times New Roman" w:eastAsia="Times New Roman" w:hAnsi="Times New Roman" w:cs="Times New Roman"/>
                <w:sz w:val="18"/>
                <w:szCs w:val="20"/>
              </w:rPr>
            </w:pPr>
          </w:p>
        </w:tc>
        <w:tc>
          <w:tcPr>
            <w:tcW w:w="2061" w:type="dxa"/>
            <w:tcBorders>
              <w:top w:val="nil"/>
              <w:left w:val="nil"/>
              <w:bottom w:val="nil"/>
              <w:right w:val="nil"/>
            </w:tcBorders>
            <w:shd w:val="clear" w:color="auto" w:fill="auto"/>
            <w:noWrap/>
            <w:vAlign w:val="bottom"/>
            <w:hideMark/>
          </w:tcPr>
          <w:p w14:paraId="735710C3" w14:textId="77777777" w:rsidR="002E1657" w:rsidRPr="002E1657" w:rsidRDefault="002E1657" w:rsidP="002E1657">
            <w:pPr>
              <w:spacing w:after="0"/>
              <w:rPr>
                <w:rFonts w:ascii="Times New Roman" w:eastAsia="Times New Roman" w:hAnsi="Times New Roman" w:cs="Times New Roman"/>
                <w:sz w:val="18"/>
                <w:szCs w:val="20"/>
              </w:rPr>
            </w:pPr>
          </w:p>
        </w:tc>
        <w:tc>
          <w:tcPr>
            <w:tcW w:w="3780" w:type="dxa"/>
            <w:tcBorders>
              <w:top w:val="nil"/>
              <w:left w:val="nil"/>
              <w:bottom w:val="nil"/>
              <w:right w:val="nil"/>
            </w:tcBorders>
            <w:shd w:val="clear" w:color="auto" w:fill="auto"/>
            <w:noWrap/>
            <w:vAlign w:val="bottom"/>
            <w:hideMark/>
          </w:tcPr>
          <w:p w14:paraId="6E2B0A63" w14:textId="77777777" w:rsidR="002E1657" w:rsidRPr="002E1657" w:rsidRDefault="002E1657" w:rsidP="002E1657">
            <w:pPr>
              <w:spacing w:after="0"/>
              <w:rPr>
                <w:rFonts w:ascii="Times New Roman" w:eastAsia="Times New Roman" w:hAnsi="Times New Roman" w:cs="Times New Roman"/>
                <w:sz w:val="18"/>
                <w:szCs w:val="20"/>
              </w:rPr>
            </w:pPr>
          </w:p>
        </w:tc>
        <w:tc>
          <w:tcPr>
            <w:tcW w:w="1710" w:type="dxa"/>
            <w:tcBorders>
              <w:top w:val="nil"/>
              <w:left w:val="nil"/>
              <w:bottom w:val="nil"/>
              <w:right w:val="nil"/>
            </w:tcBorders>
            <w:shd w:val="clear" w:color="auto" w:fill="auto"/>
            <w:noWrap/>
            <w:vAlign w:val="bottom"/>
            <w:hideMark/>
          </w:tcPr>
          <w:p w14:paraId="043A7A6B" w14:textId="77777777" w:rsidR="002E1657" w:rsidRPr="002E1657" w:rsidRDefault="002E1657" w:rsidP="002E1657">
            <w:pPr>
              <w:spacing w:after="0"/>
              <w:rPr>
                <w:rFonts w:ascii="Times New Roman" w:eastAsia="Times New Roman" w:hAnsi="Times New Roman" w:cs="Times New Roman"/>
                <w:sz w:val="18"/>
                <w:szCs w:val="20"/>
              </w:rPr>
            </w:pPr>
          </w:p>
        </w:tc>
        <w:tc>
          <w:tcPr>
            <w:tcW w:w="2520" w:type="dxa"/>
            <w:tcBorders>
              <w:top w:val="nil"/>
              <w:left w:val="nil"/>
              <w:bottom w:val="nil"/>
              <w:right w:val="nil"/>
            </w:tcBorders>
            <w:shd w:val="clear" w:color="auto" w:fill="auto"/>
            <w:noWrap/>
            <w:vAlign w:val="bottom"/>
            <w:hideMark/>
          </w:tcPr>
          <w:p w14:paraId="5277177D" w14:textId="77777777" w:rsidR="002E1657" w:rsidRPr="002E1657" w:rsidRDefault="002E1657" w:rsidP="002E1657">
            <w:pPr>
              <w:spacing w:after="0"/>
              <w:rPr>
                <w:rFonts w:ascii="Times New Roman" w:eastAsia="Times New Roman" w:hAnsi="Times New Roman" w:cs="Times New Roman"/>
                <w:sz w:val="18"/>
                <w:szCs w:val="20"/>
              </w:rPr>
            </w:pPr>
          </w:p>
        </w:tc>
      </w:tr>
      <w:tr w:rsidR="002E1657" w:rsidRPr="002E1657" w14:paraId="2C80F458" w14:textId="77777777" w:rsidTr="00D843C0">
        <w:trPr>
          <w:cantSplit/>
        </w:trPr>
        <w:tc>
          <w:tcPr>
            <w:tcW w:w="1260" w:type="dxa"/>
            <w:tcBorders>
              <w:top w:val="nil"/>
              <w:left w:val="nil"/>
              <w:bottom w:val="nil"/>
              <w:right w:val="nil"/>
            </w:tcBorders>
            <w:shd w:val="clear" w:color="auto" w:fill="auto"/>
            <w:vAlign w:val="center"/>
            <w:hideMark/>
          </w:tcPr>
          <w:p w14:paraId="79DBFC69" w14:textId="77777777" w:rsidR="002E1657" w:rsidRPr="002E1657" w:rsidRDefault="002E1657" w:rsidP="002E1657">
            <w:pPr>
              <w:spacing w:after="0"/>
              <w:jc w:val="center"/>
              <w:rPr>
                <w:rFonts w:ascii="Times New Roman" w:eastAsia="Times New Roman" w:hAnsi="Times New Roman" w:cs="Times New Roman"/>
                <w:b/>
                <w:bCs/>
                <w:i/>
                <w:iCs/>
                <w:color w:val="000000"/>
                <w:sz w:val="18"/>
                <w:szCs w:val="32"/>
              </w:rPr>
            </w:pPr>
            <w:r w:rsidRPr="002E1657">
              <w:rPr>
                <w:rFonts w:ascii="Times New Roman" w:eastAsia="Times New Roman" w:hAnsi="Times New Roman" w:cs="Times New Roman"/>
                <w:b/>
                <w:bCs/>
                <w:i/>
                <w:iCs/>
                <w:color w:val="000000"/>
                <w:sz w:val="18"/>
                <w:szCs w:val="32"/>
              </w:rPr>
              <w:lastRenderedPageBreak/>
              <w:t>Notes</w:t>
            </w:r>
          </w:p>
        </w:tc>
        <w:tc>
          <w:tcPr>
            <w:tcW w:w="1629" w:type="dxa"/>
            <w:tcBorders>
              <w:top w:val="single" w:sz="4" w:space="0" w:color="auto"/>
              <w:left w:val="single" w:sz="4" w:space="0" w:color="auto"/>
              <w:bottom w:val="single" w:sz="4" w:space="0" w:color="auto"/>
              <w:right w:val="single" w:sz="4" w:space="0" w:color="auto"/>
            </w:tcBorders>
            <w:shd w:val="clear" w:color="auto" w:fill="auto"/>
            <w:hideMark/>
          </w:tcPr>
          <w:p w14:paraId="076F4414"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Components of a tender should be based on market agreements. Distributed Agreement Protocol (Transaction Processing) ramifications must be considered--the simplicity of single period tenders must be offset against the complexity of not acquiring a time series of required energy/power.</w:t>
            </w:r>
          </w:p>
        </w:tc>
        <w:tc>
          <w:tcPr>
            <w:tcW w:w="2061" w:type="dxa"/>
            <w:tcBorders>
              <w:top w:val="single" w:sz="4" w:space="0" w:color="auto"/>
              <w:left w:val="nil"/>
              <w:bottom w:val="single" w:sz="4" w:space="0" w:color="auto"/>
              <w:right w:val="single" w:sz="4" w:space="0" w:color="auto"/>
            </w:tcBorders>
            <w:shd w:val="clear" w:color="auto" w:fill="auto"/>
            <w:hideMark/>
          </w:tcPr>
          <w:p w14:paraId="52937786" w14:textId="77777777" w:rsidR="002E1657" w:rsidRPr="002E1657" w:rsidRDefault="002E1657" w:rsidP="002E1657">
            <w:pPr>
              <w:spacing w:after="0"/>
              <w:rPr>
                <w:rFonts w:ascii="Times New Roman" w:eastAsia="Times New Roman" w:hAnsi="Times New Roman" w:cs="Times New Roman"/>
                <w:color w:val="000000"/>
                <w:sz w:val="18"/>
                <w:szCs w:val="32"/>
              </w:rPr>
            </w:pPr>
            <w:proofErr w:type="gramStart"/>
            <w:r w:rsidRPr="002E1657">
              <w:rPr>
                <w:rFonts w:ascii="Times New Roman" w:eastAsia="Times New Roman" w:hAnsi="Times New Roman" w:cs="Times New Roman"/>
                <w:color w:val="000000"/>
                <w:sz w:val="18"/>
                <w:szCs w:val="32"/>
              </w:rPr>
              <w:t>An economic demand curve are</w:t>
            </w:r>
            <w:proofErr w:type="gramEnd"/>
            <w:r w:rsidRPr="002E1657">
              <w:rPr>
                <w:rFonts w:ascii="Times New Roman" w:eastAsia="Times New Roman" w:hAnsi="Times New Roman" w:cs="Times New Roman"/>
                <w:color w:val="000000"/>
                <w:sz w:val="18"/>
                <w:szCs w:val="32"/>
              </w:rPr>
              <w:t xml:space="preserve"> a typical attribute of a bid in many markets.</w:t>
            </w:r>
          </w:p>
        </w:tc>
        <w:tc>
          <w:tcPr>
            <w:tcW w:w="3780" w:type="dxa"/>
            <w:tcBorders>
              <w:top w:val="single" w:sz="4" w:space="0" w:color="auto"/>
              <w:left w:val="nil"/>
              <w:bottom w:val="single" w:sz="4" w:space="0" w:color="auto"/>
              <w:right w:val="single" w:sz="4" w:space="0" w:color="auto"/>
            </w:tcBorders>
            <w:shd w:val="clear" w:color="auto" w:fill="auto"/>
            <w:hideMark/>
          </w:tcPr>
          <w:p w14:paraId="7E5D3BB9"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An offer to sell is very short lived, as the next computational iteration of the price/incentive signal is executed (nearly immediately) as nodes </w:t>
            </w:r>
            <w:proofErr w:type="spellStart"/>
            <w:r w:rsidRPr="002E1657">
              <w:rPr>
                <w:rFonts w:ascii="Times New Roman" w:eastAsia="Times New Roman" w:hAnsi="Times New Roman" w:cs="Times New Roman"/>
                <w:color w:val="000000"/>
                <w:sz w:val="18"/>
                <w:szCs w:val="32"/>
              </w:rPr>
              <w:t>exhange</w:t>
            </w:r>
            <w:proofErr w:type="spellEnd"/>
            <w:r w:rsidRPr="002E1657">
              <w:rPr>
                <w:rFonts w:ascii="Times New Roman" w:eastAsia="Times New Roman" w:hAnsi="Times New Roman" w:cs="Times New Roman"/>
                <w:color w:val="000000"/>
                <w:sz w:val="18"/>
                <w:szCs w:val="32"/>
              </w:rPr>
              <w:t xml:space="preserve"> signals.  In theory, the signal is relaxing into </w:t>
            </w:r>
            <w:proofErr w:type="gramStart"/>
            <w:r w:rsidRPr="002E1657">
              <w:rPr>
                <w:rFonts w:ascii="Times New Roman" w:eastAsia="Times New Roman" w:hAnsi="Times New Roman" w:cs="Times New Roman"/>
                <w:color w:val="000000"/>
                <w:sz w:val="18"/>
                <w:szCs w:val="32"/>
              </w:rPr>
              <w:t>an equilibrium</w:t>
            </w:r>
            <w:proofErr w:type="gramEnd"/>
            <w:r w:rsidRPr="002E1657">
              <w:rPr>
                <w:rFonts w:ascii="Times New Roman" w:eastAsia="Times New Roman" w:hAnsi="Times New Roman" w:cs="Times New Roman"/>
                <w:color w:val="000000"/>
                <w:sz w:val="18"/>
                <w:szCs w:val="32"/>
              </w:rPr>
              <w:t xml:space="preserve"> where each node in the system is served the lowest potential price for the load they have indicated for every period.  The price input for </w:t>
            </w:r>
            <w:proofErr w:type="gramStart"/>
            <w:r w:rsidRPr="002E1657">
              <w:rPr>
                <w:rFonts w:ascii="Times New Roman" w:eastAsia="Times New Roman" w:hAnsi="Times New Roman" w:cs="Times New Roman"/>
                <w:color w:val="000000"/>
                <w:sz w:val="18"/>
                <w:szCs w:val="32"/>
              </w:rPr>
              <w:t>the  price</w:t>
            </w:r>
            <w:proofErr w:type="gramEnd"/>
            <w:r w:rsidRPr="002E1657">
              <w:rPr>
                <w:rFonts w:ascii="Times New Roman" w:eastAsia="Times New Roman" w:hAnsi="Times New Roman" w:cs="Times New Roman"/>
                <w:color w:val="000000"/>
                <w:sz w:val="18"/>
                <w:szCs w:val="32"/>
              </w:rPr>
              <w:t xml:space="preserve"> signal is based on the number of deliverable resources available in the grid to supply load, at their market cost of service for each period.  The prices bid need not be static in time.</w:t>
            </w:r>
            <w:r w:rsidRPr="002E1657">
              <w:rPr>
                <w:rFonts w:ascii="Times New Roman" w:eastAsia="Times New Roman" w:hAnsi="Times New Roman" w:cs="Times New Roman"/>
                <w:color w:val="000000"/>
                <w:sz w:val="18"/>
                <w:szCs w:val="32"/>
              </w:rPr>
              <w:br/>
            </w:r>
            <w:r w:rsidRPr="002E1657">
              <w:rPr>
                <w:rFonts w:ascii="Times New Roman" w:eastAsia="Times New Roman" w:hAnsi="Times New Roman" w:cs="Times New Roman"/>
                <w:color w:val="000000"/>
                <w:sz w:val="18"/>
                <w:szCs w:val="32"/>
              </w:rPr>
              <w:br/>
              <w:t xml:space="preserve">Each distributed generation resource impacts the price since, if the price for transmission-supplied power is "higher" than the marginal cost of a DER, then it could be scheduled, decreasing the load exposed in the balancing control area, and theoretically decreasing the price (supply is known, demand decreases, thus supply price drops). </w:t>
            </w:r>
          </w:p>
        </w:tc>
        <w:tc>
          <w:tcPr>
            <w:tcW w:w="1710" w:type="dxa"/>
            <w:tcBorders>
              <w:top w:val="single" w:sz="4" w:space="0" w:color="auto"/>
              <w:left w:val="nil"/>
              <w:bottom w:val="single" w:sz="4" w:space="0" w:color="auto"/>
              <w:right w:val="single" w:sz="4" w:space="0" w:color="auto"/>
            </w:tcBorders>
            <w:shd w:val="clear" w:color="auto" w:fill="auto"/>
            <w:hideMark/>
          </w:tcPr>
          <w:p w14:paraId="59C92590"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Participants provide their complete economic supply and demand curves.                                            .                                                      Consider relating to TEMIX/Energy Interoperation asynchrony and continuous clearing</w:t>
            </w:r>
          </w:p>
        </w:tc>
        <w:tc>
          <w:tcPr>
            <w:tcW w:w="2520" w:type="dxa"/>
            <w:tcBorders>
              <w:top w:val="single" w:sz="4" w:space="0" w:color="auto"/>
              <w:left w:val="nil"/>
              <w:bottom w:val="single" w:sz="4" w:space="0" w:color="auto"/>
              <w:right w:val="single" w:sz="4" w:space="0" w:color="auto"/>
            </w:tcBorders>
            <w:shd w:val="clear" w:color="auto" w:fill="auto"/>
            <w:hideMark/>
          </w:tcPr>
          <w:p w14:paraId="14B2DACF"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 xml:space="preserve">A TEMIX tender is for a single time period and typically expires after a short time (depending on market design).  </w:t>
            </w:r>
            <w:r w:rsidRPr="002E1657">
              <w:rPr>
                <w:rFonts w:ascii="Times New Roman" w:eastAsia="Times New Roman" w:hAnsi="Times New Roman" w:cs="Times New Roman"/>
                <w:color w:val="000000"/>
                <w:sz w:val="18"/>
                <w:szCs w:val="32"/>
              </w:rPr>
              <w:br/>
            </w:r>
            <w:r w:rsidRPr="002E1657">
              <w:rPr>
                <w:rFonts w:ascii="Times New Roman" w:eastAsia="Times New Roman" w:hAnsi="Times New Roman" w:cs="Times New Roman"/>
                <w:color w:val="000000"/>
                <w:sz w:val="18"/>
                <w:szCs w:val="32"/>
              </w:rPr>
              <w:br/>
              <w:t xml:space="preserve">To facilitate transaction liquidity, compound forward transactions among multiple parties and across multiple intervals are automatically built up from smaller single period transactions for energy and for transport. </w:t>
            </w:r>
            <w:r w:rsidRPr="002E1657">
              <w:rPr>
                <w:rFonts w:ascii="Times New Roman" w:eastAsia="Times New Roman" w:hAnsi="Times New Roman" w:cs="Times New Roman"/>
                <w:color w:val="000000"/>
                <w:sz w:val="18"/>
                <w:szCs w:val="32"/>
              </w:rPr>
              <w:br/>
            </w:r>
            <w:r w:rsidRPr="002E1657">
              <w:rPr>
                <w:rFonts w:ascii="Times New Roman" w:eastAsia="Times New Roman" w:hAnsi="Times New Roman" w:cs="Times New Roman"/>
                <w:color w:val="000000"/>
                <w:sz w:val="18"/>
                <w:szCs w:val="32"/>
              </w:rPr>
              <w:br/>
              <w:t>This results in a dynamic equilibrium across the market.   Forward transactions by each party serve as a contracted baseline for subsequent transactions without loss in transaction flexibility.</w:t>
            </w:r>
          </w:p>
        </w:tc>
      </w:tr>
      <w:tr w:rsidR="002E1657" w:rsidRPr="002E1657" w14:paraId="2AA143E2" w14:textId="77777777" w:rsidTr="00D843C0">
        <w:trPr>
          <w:cantSplit/>
        </w:trPr>
        <w:tc>
          <w:tcPr>
            <w:tcW w:w="1260" w:type="dxa"/>
            <w:tcBorders>
              <w:top w:val="nil"/>
              <w:left w:val="nil"/>
              <w:bottom w:val="nil"/>
              <w:right w:val="nil"/>
            </w:tcBorders>
            <w:shd w:val="clear" w:color="auto" w:fill="auto"/>
            <w:vAlign w:val="center"/>
            <w:hideMark/>
          </w:tcPr>
          <w:p w14:paraId="6A2A8FD6" w14:textId="77777777" w:rsidR="002E1657" w:rsidRPr="002E1657" w:rsidRDefault="002E1657" w:rsidP="002E1657">
            <w:pPr>
              <w:spacing w:after="0"/>
              <w:rPr>
                <w:rFonts w:ascii="Times New Roman" w:eastAsia="Times New Roman" w:hAnsi="Times New Roman" w:cs="Times New Roman"/>
                <w:color w:val="000000"/>
                <w:sz w:val="18"/>
                <w:szCs w:val="32"/>
              </w:rPr>
            </w:pPr>
          </w:p>
        </w:tc>
        <w:tc>
          <w:tcPr>
            <w:tcW w:w="1629" w:type="dxa"/>
            <w:tcBorders>
              <w:top w:val="nil"/>
              <w:left w:val="nil"/>
              <w:bottom w:val="nil"/>
              <w:right w:val="nil"/>
            </w:tcBorders>
            <w:shd w:val="clear" w:color="auto" w:fill="auto"/>
            <w:hideMark/>
          </w:tcPr>
          <w:p w14:paraId="7DDCE399" w14:textId="77777777" w:rsidR="002E1657" w:rsidRPr="002E1657" w:rsidRDefault="002E1657" w:rsidP="002E1657">
            <w:pPr>
              <w:spacing w:after="0"/>
              <w:jc w:val="center"/>
              <w:rPr>
                <w:rFonts w:ascii="Times New Roman" w:eastAsia="Times New Roman" w:hAnsi="Times New Roman" w:cs="Times New Roman"/>
                <w:sz w:val="18"/>
                <w:szCs w:val="20"/>
              </w:rPr>
            </w:pPr>
          </w:p>
        </w:tc>
        <w:tc>
          <w:tcPr>
            <w:tcW w:w="2061" w:type="dxa"/>
            <w:tcBorders>
              <w:top w:val="nil"/>
              <w:left w:val="nil"/>
              <w:bottom w:val="nil"/>
              <w:right w:val="nil"/>
            </w:tcBorders>
            <w:shd w:val="clear" w:color="auto" w:fill="auto"/>
            <w:hideMark/>
          </w:tcPr>
          <w:p w14:paraId="1E146323" w14:textId="77777777" w:rsidR="002E1657" w:rsidRPr="002E1657" w:rsidRDefault="002E1657" w:rsidP="002E1657">
            <w:pPr>
              <w:spacing w:after="0"/>
              <w:rPr>
                <w:rFonts w:ascii="Times New Roman" w:eastAsia="Times New Roman" w:hAnsi="Times New Roman" w:cs="Times New Roman"/>
                <w:sz w:val="18"/>
                <w:szCs w:val="20"/>
              </w:rPr>
            </w:pPr>
          </w:p>
        </w:tc>
        <w:tc>
          <w:tcPr>
            <w:tcW w:w="3780" w:type="dxa"/>
            <w:tcBorders>
              <w:top w:val="nil"/>
              <w:left w:val="nil"/>
              <w:bottom w:val="nil"/>
              <w:right w:val="nil"/>
            </w:tcBorders>
            <w:shd w:val="clear" w:color="auto" w:fill="auto"/>
            <w:hideMark/>
          </w:tcPr>
          <w:p w14:paraId="0F2C079D" w14:textId="77777777" w:rsidR="002E1657" w:rsidRPr="002E1657" w:rsidRDefault="002E1657" w:rsidP="002E1657">
            <w:pPr>
              <w:spacing w:after="0"/>
              <w:rPr>
                <w:rFonts w:ascii="Times New Roman" w:eastAsia="Times New Roman" w:hAnsi="Times New Roman" w:cs="Times New Roman"/>
                <w:sz w:val="18"/>
                <w:szCs w:val="20"/>
              </w:rPr>
            </w:pPr>
          </w:p>
        </w:tc>
        <w:tc>
          <w:tcPr>
            <w:tcW w:w="1710" w:type="dxa"/>
            <w:tcBorders>
              <w:top w:val="nil"/>
              <w:left w:val="nil"/>
              <w:bottom w:val="nil"/>
              <w:right w:val="nil"/>
            </w:tcBorders>
            <w:shd w:val="clear" w:color="auto" w:fill="auto"/>
            <w:hideMark/>
          </w:tcPr>
          <w:p w14:paraId="272CD9F8" w14:textId="77777777" w:rsidR="002E1657" w:rsidRPr="002E1657" w:rsidRDefault="002E1657" w:rsidP="002E1657">
            <w:pPr>
              <w:spacing w:after="0"/>
              <w:rPr>
                <w:rFonts w:ascii="Times New Roman" w:eastAsia="Times New Roman" w:hAnsi="Times New Roman" w:cs="Times New Roman"/>
                <w:sz w:val="18"/>
                <w:szCs w:val="20"/>
              </w:rPr>
            </w:pPr>
          </w:p>
        </w:tc>
        <w:tc>
          <w:tcPr>
            <w:tcW w:w="2520" w:type="dxa"/>
            <w:tcBorders>
              <w:top w:val="nil"/>
              <w:left w:val="nil"/>
              <w:bottom w:val="nil"/>
              <w:right w:val="nil"/>
            </w:tcBorders>
            <w:shd w:val="clear" w:color="auto" w:fill="auto"/>
            <w:hideMark/>
          </w:tcPr>
          <w:p w14:paraId="7EB2C0F4" w14:textId="77777777" w:rsidR="002E1657" w:rsidRPr="002E1657" w:rsidRDefault="002E1657" w:rsidP="002E1657">
            <w:pPr>
              <w:spacing w:after="0"/>
              <w:rPr>
                <w:rFonts w:ascii="Times New Roman" w:eastAsia="Times New Roman" w:hAnsi="Times New Roman" w:cs="Times New Roman"/>
                <w:sz w:val="18"/>
                <w:szCs w:val="20"/>
              </w:rPr>
            </w:pPr>
          </w:p>
        </w:tc>
      </w:tr>
      <w:tr w:rsidR="002E1657" w:rsidRPr="002E1657" w14:paraId="64FC6BF0" w14:textId="77777777" w:rsidTr="00D843C0">
        <w:trPr>
          <w:cantSplit/>
        </w:trPr>
        <w:tc>
          <w:tcPr>
            <w:tcW w:w="1260" w:type="dxa"/>
            <w:tcBorders>
              <w:top w:val="nil"/>
              <w:left w:val="nil"/>
              <w:bottom w:val="nil"/>
              <w:right w:val="nil"/>
            </w:tcBorders>
            <w:shd w:val="clear" w:color="auto" w:fill="auto"/>
            <w:vAlign w:val="center"/>
            <w:hideMark/>
          </w:tcPr>
          <w:p w14:paraId="07B5F6AB" w14:textId="77777777" w:rsidR="002E1657" w:rsidRPr="002E1657" w:rsidRDefault="002E1657" w:rsidP="002E1657">
            <w:pPr>
              <w:spacing w:after="0"/>
              <w:jc w:val="center"/>
              <w:rPr>
                <w:rFonts w:ascii="Times New Roman" w:eastAsia="Times New Roman" w:hAnsi="Times New Roman" w:cs="Times New Roman"/>
                <w:b/>
                <w:bCs/>
                <w:i/>
                <w:iCs/>
                <w:color w:val="000000"/>
                <w:sz w:val="18"/>
                <w:szCs w:val="32"/>
              </w:rPr>
            </w:pPr>
            <w:r w:rsidRPr="002E1657">
              <w:rPr>
                <w:rFonts w:ascii="Times New Roman" w:eastAsia="Times New Roman" w:hAnsi="Times New Roman" w:cs="Times New Roman"/>
                <w:b/>
                <w:bCs/>
                <w:i/>
                <w:iCs/>
                <w:color w:val="000000"/>
                <w:sz w:val="18"/>
                <w:szCs w:val="32"/>
              </w:rPr>
              <w:t>References</w:t>
            </w:r>
          </w:p>
        </w:tc>
        <w:tc>
          <w:tcPr>
            <w:tcW w:w="1629" w:type="dxa"/>
            <w:tcBorders>
              <w:top w:val="single" w:sz="4" w:space="0" w:color="auto"/>
              <w:left w:val="single" w:sz="4" w:space="0" w:color="auto"/>
              <w:bottom w:val="single" w:sz="4" w:space="0" w:color="auto"/>
              <w:right w:val="single" w:sz="4" w:space="0" w:color="auto"/>
            </w:tcBorders>
            <w:shd w:val="clear" w:color="auto" w:fill="auto"/>
            <w:hideMark/>
          </w:tcPr>
          <w:p w14:paraId="6AC4AF1F"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OASIS Energy Interoperation, 11 June 2014, http://docs.oasis-open.org/energyinterop/ei/v1.0/os/energyinterop-v1.0-os.html</w:t>
            </w:r>
          </w:p>
        </w:tc>
        <w:tc>
          <w:tcPr>
            <w:tcW w:w="2061" w:type="dxa"/>
            <w:tcBorders>
              <w:top w:val="single" w:sz="4" w:space="0" w:color="auto"/>
              <w:left w:val="nil"/>
              <w:bottom w:val="single" w:sz="4" w:space="0" w:color="auto"/>
              <w:right w:val="single" w:sz="4" w:space="0" w:color="auto"/>
            </w:tcBorders>
            <w:shd w:val="clear" w:color="auto" w:fill="auto"/>
            <w:hideMark/>
          </w:tcPr>
          <w:p w14:paraId="167F3086"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IEC 62325 series including 62325-301 and information/message exchange profiles.</w:t>
            </w:r>
            <w:r w:rsidRPr="002E1657">
              <w:rPr>
                <w:rFonts w:ascii="Times New Roman" w:eastAsia="Times New Roman" w:hAnsi="Times New Roman" w:cs="Times New Roman"/>
                <w:color w:val="000000"/>
                <w:sz w:val="18"/>
                <w:szCs w:val="32"/>
              </w:rPr>
              <w:br/>
            </w:r>
            <w:r w:rsidRPr="002E1657">
              <w:rPr>
                <w:rFonts w:ascii="Times New Roman" w:eastAsia="Times New Roman" w:hAnsi="Times New Roman" w:cs="Times New Roman"/>
                <w:color w:val="000000"/>
                <w:sz w:val="18"/>
                <w:szCs w:val="32"/>
              </w:rPr>
              <w:br/>
              <w:t>https://webstore.iec.ch/searchform&amp;q=62325</w:t>
            </w:r>
          </w:p>
        </w:tc>
        <w:tc>
          <w:tcPr>
            <w:tcW w:w="3780" w:type="dxa"/>
            <w:tcBorders>
              <w:top w:val="single" w:sz="4" w:space="0" w:color="auto"/>
              <w:left w:val="nil"/>
              <w:bottom w:val="single" w:sz="4" w:space="0" w:color="auto"/>
              <w:right w:val="single" w:sz="4" w:space="0" w:color="auto"/>
            </w:tcBorders>
            <w:shd w:val="clear" w:color="auto" w:fill="auto"/>
            <w:hideMark/>
          </w:tcPr>
          <w:p w14:paraId="28754CB0"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u w:val="single"/>
              </w:rPr>
              <w:t>Demonstration Report:</w:t>
            </w:r>
            <w:r w:rsidRPr="002E1657">
              <w:rPr>
                <w:rFonts w:ascii="Times New Roman" w:eastAsia="Times New Roman" w:hAnsi="Times New Roman" w:cs="Times New Roman"/>
                <w:color w:val="000000"/>
                <w:sz w:val="18"/>
                <w:szCs w:val="32"/>
              </w:rPr>
              <w:br/>
              <w:t>Pacific Northwest Smart Grid Demonstration Project Technology Performance Report Volume 1: Technology Performance, June 2015, Battelle Memorial Institute https://www.smartgrid.gov/document/Pacific_Northwest_Smart_Grid_Technology_Performance.html</w:t>
            </w:r>
            <w:r w:rsidRPr="002E1657">
              <w:rPr>
                <w:rFonts w:ascii="Times New Roman" w:eastAsia="Times New Roman" w:hAnsi="Times New Roman" w:cs="Times New Roman"/>
                <w:color w:val="000000"/>
                <w:sz w:val="18"/>
                <w:szCs w:val="32"/>
              </w:rPr>
              <w:br/>
            </w:r>
            <w:r w:rsidRPr="002E1657">
              <w:rPr>
                <w:rFonts w:ascii="Times New Roman" w:eastAsia="Times New Roman" w:hAnsi="Times New Roman" w:cs="Times New Roman"/>
                <w:color w:val="000000"/>
                <w:sz w:val="18"/>
                <w:szCs w:val="32"/>
              </w:rPr>
              <w:br/>
              <w:t>Additional References in Report.</w:t>
            </w:r>
          </w:p>
        </w:tc>
        <w:tc>
          <w:tcPr>
            <w:tcW w:w="1710" w:type="dxa"/>
            <w:tcBorders>
              <w:top w:val="single" w:sz="4" w:space="0" w:color="auto"/>
              <w:left w:val="nil"/>
              <w:bottom w:val="single" w:sz="4" w:space="0" w:color="auto"/>
              <w:right w:val="single" w:sz="4" w:space="0" w:color="auto"/>
            </w:tcBorders>
            <w:shd w:val="clear" w:color="auto" w:fill="auto"/>
            <w:hideMark/>
          </w:tcPr>
          <w:p w14:paraId="370BC4C5"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Documentation at http://fpai-ci.sensorlab.tno.nl/builds/powermatcher-documentation/master/html/</w:t>
            </w:r>
          </w:p>
        </w:tc>
        <w:tc>
          <w:tcPr>
            <w:tcW w:w="2520" w:type="dxa"/>
            <w:tcBorders>
              <w:top w:val="single" w:sz="4" w:space="0" w:color="auto"/>
              <w:left w:val="nil"/>
              <w:bottom w:val="single" w:sz="4" w:space="0" w:color="auto"/>
              <w:right w:val="single" w:sz="4" w:space="0" w:color="auto"/>
            </w:tcBorders>
            <w:shd w:val="clear" w:color="auto" w:fill="auto"/>
            <w:hideMark/>
          </w:tcPr>
          <w:p w14:paraId="59888252" w14:textId="77777777" w:rsidR="002E1657" w:rsidRPr="002E1657" w:rsidRDefault="002E1657" w:rsidP="002E1657">
            <w:pPr>
              <w:spacing w:after="0"/>
              <w:rPr>
                <w:rFonts w:ascii="Times New Roman" w:eastAsia="Times New Roman" w:hAnsi="Times New Roman" w:cs="Times New Roman"/>
                <w:color w:val="000000"/>
                <w:sz w:val="18"/>
                <w:szCs w:val="32"/>
              </w:rPr>
            </w:pPr>
            <w:r w:rsidRPr="002E1657">
              <w:rPr>
                <w:rFonts w:ascii="Times New Roman" w:eastAsia="Times New Roman" w:hAnsi="Times New Roman" w:cs="Times New Roman"/>
                <w:color w:val="000000"/>
                <w:sz w:val="18"/>
                <w:szCs w:val="32"/>
              </w:rPr>
              <w:t>OASIS Energy Interoperation, 11 June 2014, http://docs.oasis-open.org/energyinterop/ei/v1.0/os/energyinterop-v1.0-os.html</w:t>
            </w:r>
            <w:r w:rsidRPr="002E1657">
              <w:rPr>
                <w:rFonts w:ascii="Times New Roman" w:eastAsia="Times New Roman" w:hAnsi="Times New Roman" w:cs="Times New Roman"/>
                <w:color w:val="000000"/>
                <w:sz w:val="18"/>
                <w:szCs w:val="32"/>
              </w:rPr>
              <w:br/>
            </w:r>
            <w:r w:rsidRPr="002E1657">
              <w:rPr>
                <w:rFonts w:ascii="Times New Roman" w:eastAsia="Times New Roman" w:hAnsi="Times New Roman" w:cs="Times New Roman"/>
                <w:color w:val="000000"/>
                <w:sz w:val="18"/>
                <w:szCs w:val="32"/>
              </w:rPr>
              <w:br/>
              <w:t>Transactive Device Architecture and Opportunities, Grid-Interop 2012, http://www.temix.net/images/GI12-Paper-12032012-Final_Cazalet_Sastry.pdf</w:t>
            </w:r>
          </w:p>
        </w:tc>
      </w:tr>
    </w:tbl>
    <w:p w14:paraId="6F907CAD" w14:textId="77777777" w:rsidR="002E1657" w:rsidRPr="002E1657" w:rsidRDefault="002E1657" w:rsidP="002E1657">
      <w:pPr>
        <w:sectPr w:rsidR="002E1657" w:rsidRPr="002E1657" w:rsidSect="002E1657">
          <w:pgSz w:w="15840" w:h="12240" w:orient="landscape"/>
          <w:pgMar w:top="1440" w:right="1440" w:bottom="1530" w:left="1440" w:header="720" w:footer="720" w:gutter="0"/>
          <w:lnNumType w:countBy="1" w:restart="continuous"/>
          <w:cols w:space="720"/>
          <w:docGrid w:linePitch="360"/>
        </w:sectPr>
      </w:pPr>
    </w:p>
    <w:p w14:paraId="4E5053A8" w14:textId="0805DF84" w:rsidR="00B93EE8" w:rsidRPr="005C06EB" w:rsidRDefault="00B93EE8" w:rsidP="00AD355F">
      <w:pPr>
        <w:pStyle w:val="Heading1"/>
        <w:spacing w:before="0" w:after="120"/>
      </w:pPr>
      <w:bookmarkStart w:id="13" w:name="_Ref323541229"/>
      <w:r>
        <w:lastRenderedPageBreak/>
        <w:t>Annex 2</w:t>
      </w:r>
      <w:bookmarkEnd w:id="12"/>
      <w:bookmarkEnd w:id="13"/>
    </w:p>
    <w:p w14:paraId="47C400A6" w14:textId="442C8158" w:rsidR="0007177A" w:rsidRPr="00AD08A0" w:rsidRDefault="00B93EE8" w:rsidP="00AD355F">
      <w:pPr>
        <w:spacing w:after="120"/>
      </w:pPr>
      <w:r>
        <w:t xml:space="preserve">Three pages extracted from OASIS Energy Interoperation Standard, </w:t>
      </w:r>
      <w:hyperlink r:id="rId40" w:history="1">
        <w:r w:rsidRPr="005C384D">
          <w:rPr>
            <w:rStyle w:val="Hyperlink"/>
          </w:rPr>
          <w:t>http://docs.oasis-open.org/energyinterop/ei/v1.0/os/energyinterop-v1.0-os.html</w:t>
        </w:r>
      </w:hyperlink>
      <w:r>
        <w:t>. The PDF is authoritative along with the associated schemas and WSDL files.</w:t>
      </w:r>
    </w:p>
    <w:sectPr w:rsidR="0007177A" w:rsidRPr="00AD08A0" w:rsidSect="00181A51">
      <w:pgSz w:w="12240" w:h="15840"/>
      <w:pgMar w:top="1440" w:right="153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A99C5C" w15:done="0"/>
  <w15:commentEx w15:paraId="415579E3" w15:done="0"/>
  <w15:commentEx w15:paraId="1F2F008C" w15:done="0"/>
  <w15:commentEx w15:paraId="46AE6FF1" w15:done="0"/>
  <w15:commentEx w15:paraId="110D7906" w15:done="0"/>
  <w15:commentEx w15:paraId="235CD984" w15:done="0"/>
  <w15:commentEx w15:paraId="5520C5FF" w15:done="0"/>
  <w15:commentEx w15:paraId="66DE3723" w15:done="0"/>
  <w15:commentEx w15:paraId="2AEF6BE3" w15:done="0"/>
  <w15:commentEx w15:paraId="2C414462" w15:done="0"/>
  <w15:commentEx w15:paraId="463D650C" w15:done="0"/>
  <w15:commentEx w15:paraId="2F20EB4F" w15:done="0"/>
  <w15:commentEx w15:paraId="4002050F" w15:done="0"/>
  <w15:commentEx w15:paraId="743198EB" w15:done="0"/>
  <w15:commentEx w15:paraId="6B34DA63" w15:done="0"/>
  <w15:commentEx w15:paraId="5A4926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E4BE4" w14:textId="77777777" w:rsidR="007D5DC0" w:rsidRDefault="007D5DC0" w:rsidP="00407550">
      <w:pPr>
        <w:spacing w:after="0"/>
      </w:pPr>
      <w:r>
        <w:separator/>
      </w:r>
    </w:p>
  </w:endnote>
  <w:endnote w:type="continuationSeparator" w:id="0">
    <w:p w14:paraId="5277EB01" w14:textId="77777777" w:rsidR="007D5DC0" w:rsidRDefault="007D5DC0" w:rsidP="004075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19ACE" w14:textId="570B80C1" w:rsidR="007D5DC0" w:rsidRDefault="007D5DC0">
    <w:pPr>
      <w:pStyle w:val="Footer"/>
    </w:pPr>
    <w:r>
      <w:t>Common Transactive Services Report</w:t>
    </w:r>
    <w:r>
      <w:tab/>
      <w:t xml:space="preserve">Page </w:t>
    </w:r>
    <w:r>
      <w:rPr>
        <w:rStyle w:val="PageNumber"/>
      </w:rPr>
      <w:fldChar w:fldCharType="begin"/>
    </w:r>
    <w:r>
      <w:rPr>
        <w:rStyle w:val="PageNumber"/>
      </w:rPr>
      <w:instrText xml:space="preserve"> PAGE </w:instrText>
    </w:r>
    <w:r>
      <w:rPr>
        <w:rStyle w:val="PageNumber"/>
      </w:rPr>
      <w:fldChar w:fldCharType="separate"/>
    </w:r>
    <w:r w:rsidR="005F6E6B">
      <w:rPr>
        <w:rStyle w:val="PageNumber"/>
        <w:noProof/>
      </w:rPr>
      <w:t>16</w:t>
    </w:r>
    <w:r>
      <w:rPr>
        <w:rStyle w:val="PageNumber"/>
      </w:rPr>
      <w:fldChar w:fldCharType="end"/>
    </w:r>
    <w:r>
      <w:rPr>
        <w:rStyle w:val="PageNumber"/>
      </w:rPr>
      <w:tab/>
      <w:t>20160502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0FB1E" w14:textId="77777777" w:rsidR="007D5DC0" w:rsidRDefault="007D5DC0" w:rsidP="00407550">
      <w:pPr>
        <w:spacing w:after="0"/>
      </w:pPr>
      <w:r>
        <w:separator/>
      </w:r>
    </w:p>
  </w:footnote>
  <w:footnote w:type="continuationSeparator" w:id="0">
    <w:p w14:paraId="628E1883" w14:textId="77777777" w:rsidR="007D5DC0" w:rsidRDefault="007D5DC0" w:rsidP="00407550">
      <w:pPr>
        <w:spacing w:after="0"/>
      </w:pPr>
      <w:r>
        <w:continuationSeparator/>
      </w:r>
    </w:p>
  </w:footnote>
  <w:footnote w:id="1">
    <w:p w14:paraId="6811F4F3" w14:textId="5C8B489E" w:rsidR="007D5DC0" w:rsidRDefault="007D5DC0">
      <w:pPr>
        <w:pStyle w:val="FootnoteText"/>
      </w:pPr>
      <w:r>
        <w:rPr>
          <w:rStyle w:val="FootnoteReference"/>
        </w:rPr>
        <w:footnoteRef/>
      </w:r>
      <w:r>
        <w:t xml:space="preserve"> A similar result applies with respect to schedules (WS-Calendar Platform Independent Model </w:t>
      </w:r>
      <w:sdt>
        <w:sdtPr>
          <w:id w:val="-1778790703"/>
          <w:citation/>
        </w:sdtPr>
        <w:sdtContent>
          <w:r>
            <w:fldChar w:fldCharType="begin"/>
          </w:r>
          <w:r>
            <w:instrText xml:space="preserve"> CITATION OAS15 \l 1033 </w:instrText>
          </w:r>
          <w:r>
            <w:fldChar w:fldCharType="separate"/>
          </w:r>
          <w:r>
            <w:rPr>
              <w:noProof/>
            </w:rPr>
            <w:t>[</w:t>
          </w:r>
          <w:hyperlink w:anchor="OAS15" w:history="1">
            <w:r w:rsidRPr="00AA1494">
              <w:rPr>
                <w:rStyle w:val="Heading2Char"/>
                <w:rFonts w:eastAsiaTheme="minorHAnsi" w:cstheme="minorBidi"/>
                <w:noProof/>
                <w:color w:val="auto"/>
                <w:sz w:val="20"/>
                <w:szCs w:val="20"/>
              </w:rPr>
              <w:t>25</w:t>
            </w:r>
          </w:hyperlink>
          <w:r>
            <w:rPr>
              <w:noProof/>
            </w:rPr>
            <w:t>]</w:t>
          </w:r>
          <w:r>
            <w:fldChar w:fldCharType="end"/>
          </w:r>
        </w:sdtContent>
      </w:sdt>
      <w:r>
        <w:t>) and Demand Response (Energy Interoperation and its profiles). In fact, Energy Interoperation was designed as a bridge between diverse system models.</w:t>
      </w:r>
    </w:p>
  </w:footnote>
  <w:footnote w:id="2">
    <w:p w14:paraId="275C7572" w14:textId="381126BB" w:rsidR="007D5DC0" w:rsidRDefault="007D5DC0">
      <w:pPr>
        <w:pStyle w:val="FootnoteText"/>
      </w:pPr>
      <w:r>
        <w:rPr>
          <w:rStyle w:val="FootnoteReference"/>
        </w:rPr>
        <w:footnoteRef/>
      </w:r>
      <w:r>
        <w:t xml:space="preserve"> This is called a </w:t>
      </w:r>
      <w:r w:rsidRPr="004E0C44">
        <w:t>Joint Action Model</w:t>
      </w:r>
      <w:sdt>
        <w:sdtPr>
          <w:id w:val="510421049"/>
          <w:citation/>
        </w:sdtPr>
        <w:sdtContent>
          <w:r w:rsidRPr="004E0C44">
            <w:fldChar w:fldCharType="begin"/>
          </w:r>
          <w:r w:rsidRPr="004E0C44">
            <w:instrText xml:space="preserve"> CITATION Lib04 \l 1033 </w:instrText>
          </w:r>
          <w:r w:rsidRPr="004E0C44">
            <w:fldChar w:fldCharType="separate"/>
          </w:r>
          <w:r>
            <w:rPr>
              <w:noProof/>
            </w:rPr>
            <w:t xml:space="preserve"> [</w:t>
          </w:r>
          <w:hyperlink w:anchor="Lib04" w:history="1">
            <w:r w:rsidRPr="00AA1494">
              <w:rPr>
                <w:rStyle w:val="Heading2Char"/>
                <w:rFonts w:eastAsiaTheme="minorHAnsi" w:cstheme="minorBidi"/>
                <w:noProof/>
                <w:color w:val="auto"/>
                <w:sz w:val="20"/>
                <w:szCs w:val="20"/>
              </w:rPr>
              <w:t>33</w:t>
            </w:r>
          </w:hyperlink>
          <w:r>
            <w:rPr>
              <w:noProof/>
            </w:rPr>
            <w:t>]</w:t>
          </w:r>
          <w:r w:rsidRPr="004E0C44">
            <w:fldChar w:fldCharType="end"/>
          </w:r>
        </w:sdtContent>
      </w:sdt>
      <w:r w:rsidRPr="004E0C44">
        <w:t xml:space="preserve"> between participants</w:t>
      </w:r>
      <w:r>
        <w:t>.</w:t>
      </w:r>
    </w:p>
  </w:footnote>
  <w:footnote w:id="3">
    <w:p w14:paraId="2FC3A9B9" w14:textId="77777777" w:rsidR="007D5DC0" w:rsidRDefault="007D5DC0" w:rsidP="007D3CFC">
      <w:pPr>
        <w:pStyle w:val="FootnoteText"/>
      </w:pPr>
      <w:r>
        <w:rPr>
          <w:rStyle w:val="FootnoteReference"/>
        </w:rPr>
        <w:footnoteRef/>
      </w:r>
      <w:r>
        <w:t xml:space="preserve"> F</w:t>
      </w:r>
      <w:r w:rsidRPr="004D3C06">
        <w:t xml:space="preserve">or example, </w:t>
      </w:r>
      <w:r>
        <w:t>a</w:t>
      </w:r>
      <w:r w:rsidRPr="004D3C06">
        <w:t xml:space="preserve"> grid operator must maintain grid stability; </w:t>
      </w:r>
      <w:r>
        <w:t>a</w:t>
      </w:r>
      <w:r w:rsidRPr="004D3C06">
        <w:t xml:space="preserve"> building owner must meet requirements of</w:t>
      </w:r>
      <w:r>
        <w:t xml:space="preserve"> their buildings’ </w:t>
      </w:r>
      <w:r w:rsidRPr="004D3C06">
        <w:t>business functions; cost of energy is one input to both management objectives</w:t>
      </w:r>
      <w:r>
        <w:t>.</w:t>
      </w:r>
    </w:p>
  </w:footnote>
  <w:footnote w:id="4">
    <w:p w14:paraId="5890B6FA" w14:textId="594827DD" w:rsidR="007D5DC0" w:rsidRDefault="007D5DC0">
      <w:pPr>
        <w:pStyle w:val="FootnoteText"/>
      </w:pPr>
      <w:r>
        <w:rPr>
          <w:rStyle w:val="FootnoteReference"/>
        </w:rPr>
        <w:footnoteRef/>
      </w:r>
      <w:r>
        <w:t xml:space="preserve"> While the purposes of the actors vary, one purpose from the grid side is to engage participants that might not otherwise participate in grid-related actions.</w:t>
      </w:r>
    </w:p>
  </w:footnote>
  <w:footnote w:id="5">
    <w:p w14:paraId="7173F201" w14:textId="72E6B6B1" w:rsidR="007D5DC0" w:rsidRDefault="007D5DC0">
      <w:pPr>
        <w:pStyle w:val="FootnoteText"/>
      </w:pPr>
      <w:r>
        <w:rPr>
          <w:rStyle w:val="FootnoteReference"/>
        </w:rPr>
        <w:footnoteRef/>
      </w:r>
      <w:r>
        <w:t xml:space="preserve"> A project in the AllSeen Alliance (Linux Foundation Internet of Things) uses the Common Transactive Services for managing resources; appliance manufacturers are involved.</w:t>
      </w:r>
    </w:p>
  </w:footnote>
  <w:footnote w:id="6">
    <w:p w14:paraId="395ADC94" w14:textId="0EE7879A" w:rsidR="007D5DC0" w:rsidRDefault="007D5DC0">
      <w:pPr>
        <w:pStyle w:val="FootnoteText"/>
      </w:pPr>
      <w:r>
        <w:rPr>
          <w:rStyle w:val="FootnoteReference"/>
        </w:rPr>
        <w:footnoteRef/>
      </w:r>
      <w:r>
        <w:t xml:space="preserve"> Power and energy are two sides of the same coin; the choice of products in the various transactive systems depends on what is being balanced. See Section </w:t>
      </w:r>
      <w:r>
        <w:fldChar w:fldCharType="begin"/>
      </w:r>
      <w:r>
        <w:instrText xml:space="preserve"> REF _Ref317957661 \r \h </w:instrText>
      </w:r>
      <w:r>
        <w:fldChar w:fldCharType="separate"/>
      </w:r>
      <w:r>
        <w:t>8.5</w:t>
      </w:r>
      <w:r>
        <w:fldChar w:fldCharType="end"/>
      </w:r>
      <w:r>
        <w:t>.</w:t>
      </w:r>
    </w:p>
  </w:footnote>
  <w:footnote w:id="7">
    <w:p w14:paraId="574A6DA9" w14:textId="77777777" w:rsidR="007D5DC0" w:rsidRDefault="007D5DC0" w:rsidP="0043002E">
      <w:pPr>
        <w:pStyle w:val="FootnoteText"/>
      </w:pPr>
      <w:r>
        <w:rPr>
          <w:rStyle w:val="FootnoteReference"/>
        </w:rPr>
        <w:footnoteRef/>
      </w:r>
      <w:r>
        <w:t xml:space="preserve"> Including but not limited to between and within participants </w:t>
      </w:r>
      <w:r w:rsidRPr="002C58B5">
        <w:t>at the retail level</w:t>
      </w:r>
    </w:p>
  </w:footnote>
  <w:footnote w:id="8">
    <w:p w14:paraId="56ABBD50" w14:textId="170F9A1E" w:rsidR="007D5DC0" w:rsidRDefault="007D5DC0">
      <w:pPr>
        <w:pStyle w:val="FootnoteText"/>
      </w:pPr>
      <w:r>
        <w:rPr>
          <w:rStyle w:val="FootnoteReference"/>
        </w:rPr>
        <w:footnoteRef/>
      </w:r>
      <w:r>
        <w:t xml:space="preserve"> In the Service-Oriented Architecture context </w:t>
      </w:r>
      <w:sdt>
        <w:sdtPr>
          <w:id w:val="2111934299"/>
          <w:citation/>
        </w:sdtPr>
        <w:sdtContent>
          <w:r>
            <w:fldChar w:fldCharType="begin"/>
          </w:r>
          <w:r>
            <w:instrText xml:space="preserve">CITATION Org06 \l 1033 </w:instrText>
          </w:r>
          <w:r>
            <w:fldChar w:fldCharType="separate"/>
          </w:r>
          <w:r>
            <w:rPr>
              <w:noProof/>
            </w:rPr>
            <w:t>[</w:t>
          </w:r>
          <w:hyperlink w:anchor="Org06" w:history="1">
            <w:r w:rsidRPr="00AA1494">
              <w:rPr>
                <w:rStyle w:val="Heading2Char"/>
                <w:rFonts w:eastAsiaTheme="minorHAnsi" w:cstheme="minorBidi"/>
                <w:noProof/>
                <w:color w:val="auto"/>
                <w:sz w:val="20"/>
                <w:szCs w:val="20"/>
              </w:rPr>
              <w:t>30</w:t>
            </w:r>
          </w:hyperlink>
          <w:r>
            <w:rPr>
              <w:noProof/>
            </w:rPr>
            <w:t>]</w:t>
          </w:r>
          <w:r>
            <w:fldChar w:fldCharType="end"/>
          </w:r>
        </w:sdtContent>
      </w:sdt>
    </w:p>
  </w:footnote>
  <w:footnote w:id="9">
    <w:p w14:paraId="5B2AF194" w14:textId="392BD9D7" w:rsidR="007D5DC0" w:rsidRDefault="007D5DC0">
      <w:pPr>
        <w:pStyle w:val="FootnoteText"/>
      </w:pPr>
      <w:r>
        <w:rPr>
          <w:rStyle w:val="FootnoteReference"/>
        </w:rPr>
        <w:footnoteRef/>
      </w:r>
      <w:r>
        <w:t xml:space="preserve"> </w:t>
      </w:r>
      <w:r w:rsidRPr="001E3DE3">
        <w:t xml:space="preserve">Some authors </w:t>
      </w:r>
      <w:sdt>
        <w:sdtPr>
          <w:id w:val="-1208796903"/>
          <w:citation/>
        </w:sdtPr>
        <w:sdtContent>
          <w:r w:rsidRPr="001E3DE3">
            <w:fldChar w:fldCharType="begin"/>
          </w:r>
          <w:r w:rsidRPr="001E3DE3">
            <w:instrText xml:space="preserve"> CITATION Alb \l 1033 </w:instrText>
          </w:r>
          <w:r w:rsidRPr="001E3DE3">
            <w:fldChar w:fldCharType="separate"/>
          </w:r>
          <w:r>
            <w:rPr>
              <w:noProof/>
            </w:rPr>
            <w:t>[</w:t>
          </w:r>
          <w:hyperlink w:anchor="Alb" w:history="1">
            <w:r w:rsidRPr="00AA1494">
              <w:rPr>
                <w:rStyle w:val="Heading2Char"/>
                <w:rFonts w:eastAsiaTheme="minorHAnsi" w:cstheme="minorBidi"/>
                <w:noProof/>
                <w:color w:val="auto"/>
                <w:sz w:val="20"/>
                <w:szCs w:val="20"/>
              </w:rPr>
              <w:t>17</w:t>
            </w:r>
          </w:hyperlink>
          <w:r>
            <w:rPr>
              <w:noProof/>
            </w:rPr>
            <w:t>]</w:t>
          </w:r>
          <w:r w:rsidRPr="001E3DE3">
            <w:fldChar w:fldCharType="end"/>
          </w:r>
        </w:sdtContent>
      </w:sdt>
      <w:r w:rsidRPr="001E3DE3">
        <w:t xml:space="preserve"> frame these Common Transactive Services with respect to systems already in use in the wholesale markets; other paradigms are in use (e.g., NIST Transactive Energy Challenge Microgrid Team</w:t>
      </w:r>
      <w:r>
        <w:t xml:space="preserve"> </w:t>
      </w:r>
      <w:sdt>
        <w:sdtPr>
          <w:id w:val="-1695994923"/>
          <w:citation/>
        </w:sdtPr>
        <w:sdtContent>
          <w:r>
            <w:fldChar w:fldCharType="begin"/>
          </w:r>
          <w:r>
            <w:instrText xml:space="preserve"> CITATION Tra1 \l 1033 </w:instrText>
          </w:r>
          <w:r>
            <w:fldChar w:fldCharType="separate"/>
          </w:r>
          <w:r>
            <w:rPr>
              <w:noProof/>
            </w:rPr>
            <w:t>[</w:t>
          </w:r>
          <w:hyperlink w:anchor="Tra1" w:history="1">
            <w:r w:rsidRPr="00AA1494">
              <w:rPr>
                <w:rStyle w:val="Heading2Char"/>
                <w:rFonts w:eastAsiaTheme="minorHAnsi" w:cstheme="minorBidi"/>
                <w:noProof/>
                <w:color w:val="auto"/>
                <w:sz w:val="20"/>
                <w:szCs w:val="20"/>
              </w:rPr>
              <w:t>24</w:t>
            </w:r>
          </w:hyperlink>
          <w:r>
            <w:rPr>
              <w:noProof/>
            </w:rPr>
            <w:t>]</w:t>
          </w:r>
          <w:r>
            <w:fldChar w:fldCharType="end"/>
          </w:r>
        </w:sdtContent>
      </w:sdt>
      <w:r w:rsidRPr="001E3DE3">
        <w:t xml:space="preserve">) </w:t>
      </w:r>
    </w:p>
  </w:footnote>
  <w:footnote w:id="10">
    <w:p w14:paraId="031AE906" w14:textId="77FE222A" w:rsidR="007D5DC0" w:rsidRDefault="007D5DC0">
      <w:pPr>
        <w:pStyle w:val="FootnoteText"/>
      </w:pPr>
      <w:r>
        <w:rPr>
          <w:rStyle w:val="FootnoteReference"/>
        </w:rPr>
        <w:footnoteRef/>
      </w:r>
      <w:r>
        <w:t xml:space="preserve"> An option is technically not a product, rather an agreement for delivery or acceptance of a product.</w:t>
      </w:r>
    </w:p>
  </w:footnote>
  <w:footnote w:id="11">
    <w:p w14:paraId="533B1CED" w14:textId="304DECF6" w:rsidR="007D5DC0" w:rsidRDefault="007D5DC0">
      <w:pPr>
        <w:pStyle w:val="FootnoteText"/>
      </w:pPr>
      <w:r>
        <w:rPr>
          <w:rStyle w:val="FootnoteReference"/>
        </w:rPr>
        <w:footnoteRef/>
      </w:r>
      <w:r>
        <w:t xml:space="preserve"> A non-binding T</w:t>
      </w:r>
      <w:r w:rsidRPr="00CE42E8">
        <w:t xml:space="preserve">ender </w:t>
      </w:r>
      <w:r>
        <w:t>provides equivalent function.</w:t>
      </w:r>
    </w:p>
  </w:footnote>
  <w:footnote w:id="12">
    <w:p w14:paraId="2C785DB0" w14:textId="3A03CBA4" w:rsidR="007D5DC0" w:rsidRDefault="007D5DC0">
      <w:pPr>
        <w:pStyle w:val="FootnoteText"/>
      </w:pPr>
      <w:r>
        <w:rPr>
          <w:rStyle w:val="FootnoteReference"/>
        </w:rPr>
        <w:footnoteRef/>
      </w:r>
      <w:r>
        <w:t xml:space="preserve"> Value is to the respective participants, not shared across participants.</w:t>
      </w:r>
    </w:p>
  </w:footnote>
  <w:footnote w:id="13">
    <w:p w14:paraId="267B446C" w14:textId="51C0D703" w:rsidR="007D5DC0" w:rsidRDefault="007D5DC0">
      <w:pPr>
        <w:pStyle w:val="FootnoteText"/>
      </w:pPr>
      <w:r>
        <w:rPr>
          <w:rStyle w:val="FootnoteReference"/>
        </w:rPr>
        <w:footnoteRef/>
      </w:r>
      <w:r>
        <w:t xml:space="preserve"> The notion that chained or related transactions can be a single product limits automation. Standard techniques for addressing these problems have been in wide use for decades, including Transaction Processing (in the consistency aspect) </w:t>
      </w:r>
      <w:sdt>
        <w:sdtPr>
          <w:id w:val="-689530667"/>
          <w:citation/>
        </w:sdtPr>
        <w:sdtContent>
          <w:r>
            <w:fldChar w:fldCharType="begin"/>
          </w:r>
          <w:r>
            <w:instrText xml:space="preserve"> CITATION Gra93 \l 1033 </w:instrText>
          </w:r>
          <w:r>
            <w:fldChar w:fldCharType="separate"/>
          </w:r>
          <w:r>
            <w:rPr>
              <w:noProof/>
            </w:rPr>
            <w:t>[</w:t>
          </w:r>
          <w:hyperlink w:anchor="Gra93" w:history="1">
            <w:r w:rsidRPr="00AA1494">
              <w:rPr>
                <w:rStyle w:val="Heading2Char"/>
                <w:rFonts w:eastAsiaTheme="minorHAnsi" w:cstheme="minorBidi"/>
                <w:noProof/>
                <w:color w:val="auto"/>
                <w:sz w:val="20"/>
                <w:szCs w:val="20"/>
              </w:rPr>
              <w:t>29</w:t>
            </w:r>
          </w:hyperlink>
          <w:r>
            <w:rPr>
              <w:noProof/>
            </w:rPr>
            <w:t>]</w:t>
          </w:r>
          <w:r>
            <w:fldChar w:fldCharType="end"/>
          </w:r>
        </w:sdtContent>
      </w:sdt>
      <w:r>
        <w:t xml:space="preserve"> and Distributed Agreement Protocols such as WS-Transaction </w:t>
      </w:r>
      <w:proofErr w:type="spellStart"/>
      <w:r>
        <w:t>BusinessActivity</w:t>
      </w:r>
      <w:proofErr w:type="spellEnd"/>
      <w:r>
        <w:t xml:space="preserve"> </w:t>
      </w:r>
      <w:sdt>
        <w:sdtPr>
          <w:id w:val="340136680"/>
          <w:citation/>
        </w:sdtPr>
        <w:sdtContent>
          <w:r>
            <w:fldChar w:fldCharType="begin"/>
          </w:r>
          <w:r>
            <w:instrText xml:space="preserve"> CITATION OAS09 \l 1033 </w:instrText>
          </w:r>
          <w:r>
            <w:fldChar w:fldCharType="separate"/>
          </w:r>
          <w:r>
            <w:rPr>
              <w:noProof/>
            </w:rPr>
            <w:t>[</w:t>
          </w:r>
          <w:hyperlink w:anchor="OAS09" w:history="1">
            <w:r w:rsidRPr="00AA1494">
              <w:rPr>
                <w:rStyle w:val="Heading2Char"/>
                <w:rFonts w:eastAsiaTheme="minorHAnsi" w:cstheme="minorBidi"/>
                <w:noProof/>
                <w:color w:val="auto"/>
                <w:sz w:val="20"/>
                <w:szCs w:val="20"/>
              </w:rPr>
              <w:t>28</w:t>
            </w:r>
          </w:hyperlink>
          <w:r>
            <w:rPr>
              <w:noProof/>
            </w:rPr>
            <w:t>]</w:t>
          </w:r>
          <w:r>
            <w:fldChar w:fldCharType="end"/>
          </w:r>
        </w:sdtContent>
      </w:sdt>
      <w:r>
        <w:t>. Path-based transmission rights present the same problem.</w:t>
      </w:r>
    </w:p>
  </w:footnote>
  <w:footnote w:id="14">
    <w:p w14:paraId="6D9D651B" w14:textId="70B23D70" w:rsidR="007D5DC0" w:rsidRDefault="007D5DC0">
      <w:pPr>
        <w:pStyle w:val="FootnoteText"/>
      </w:pPr>
      <w:r>
        <w:rPr>
          <w:rStyle w:val="FootnoteReference"/>
        </w:rPr>
        <w:footnoteRef/>
      </w:r>
      <w:r>
        <w:t xml:space="preserve"> One could construct barter systems; the reason for non-currency prices in EMIX is that exchanging energy for currency may incur onerous regulation.</w:t>
      </w:r>
    </w:p>
  </w:footnote>
  <w:footnote w:id="15">
    <w:p w14:paraId="4028FF55" w14:textId="71547F8F" w:rsidR="007D5DC0" w:rsidRDefault="007D5DC0" w:rsidP="00B93EE8">
      <w:pPr>
        <w:pStyle w:val="FootnoteText"/>
      </w:pPr>
      <w:r>
        <w:rPr>
          <w:rStyle w:val="FootnoteReference"/>
        </w:rPr>
        <w:footnoteRef/>
      </w:r>
      <w:r>
        <w:t xml:space="preserve"> Adapted from </w:t>
      </w:r>
      <w:r>
        <w:rPr>
          <w:i/>
        </w:rPr>
        <w:t xml:space="preserve">A Taxonomy of Transactive </w:t>
      </w:r>
      <w:r w:rsidRPr="00665B19">
        <w:rPr>
          <w:i/>
        </w:rPr>
        <w:t>Energy</w:t>
      </w:r>
      <w:r>
        <w:rPr>
          <w:i/>
        </w:rPr>
        <w:t xml:space="preserve"> </w:t>
      </w:r>
      <w:sdt>
        <w:sdtPr>
          <w:rPr>
            <w:i/>
          </w:rPr>
          <w:id w:val="-921946385"/>
          <w:citation/>
        </w:sdtPr>
        <w:sdtContent>
          <w:r>
            <w:rPr>
              <w:i/>
            </w:rPr>
            <w:fldChar w:fldCharType="begin"/>
          </w:r>
          <w:r>
            <w:rPr>
              <w:i/>
            </w:rPr>
            <w:instrText xml:space="preserve">CITATION Cox132 \l 1033 </w:instrText>
          </w:r>
          <w:r>
            <w:rPr>
              <w:i/>
            </w:rPr>
            <w:fldChar w:fldCharType="separate"/>
          </w:r>
          <w:r>
            <w:rPr>
              <w:noProof/>
            </w:rPr>
            <w:t>[</w:t>
          </w:r>
          <w:hyperlink w:anchor="Cox132" w:history="1">
            <w:r w:rsidRPr="00AA1494">
              <w:rPr>
                <w:rStyle w:val="Heading2Char"/>
                <w:rFonts w:eastAsiaTheme="minorHAnsi" w:cstheme="minorBidi"/>
                <w:noProof/>
                <w:color w:val="auto"/>
                <w:sz w:val="20"/>
                <w:szCs w:val="20"/>
              </w:rPr>
              <w:t>34</w:t>
            </w:r>
          </w:hyperlink>
          <w:r>
            <w:rPr>
              <w:noProof/>
            </w:rPr>
            <w:t>]</w:t>
          </w:r>
          <w:r>
            <w:rPr>
              <w:i/>
            </w:rPr>
            <w:fldChar w:fldCharType="end"/>
          </w:r>
        </w:sdtContent>
      </w:sdt>
      <w:r>
        <w:t xml:space="preserve">, slide 6, presented at </w:t>
      </w:r>
      <w:sdt>
        <w:sdtPr>
          <w:id w:val="-1274556937"/>
          <w:citation/>
        </w:sdtPr>
        <w:sdtContent>
          <w:r>
            <w:fldChar w:fldCharType="begin"/>
          </w:r>
          <w:r>
            <w:instrText xml:space="preserve">CITATION Gri13 \l 1033 </w:instrText>
          </w:r>
          <w:r>
            <w:fldChar w:fldCharType="separate"/>
          </w:r>
          <w:r>
            <w:rPr>
              <w:noProof/>
            </w:rPr>
            <w:t>[</w:t>
          </w:r>
          <w:hyperlink w:anchor="Gri13" w:history="1">
            <w:r w:rsidRPr="00AA1494">
              <w:rPr>
                <w:rStyle w:val="Heading2Char"/>
                <w:rFonts w:eastAsiaTheme="minorHAnsi" w:cstheme="minorBidi"/>
                <w:noProof/>
                <w:color w:val="auto"/>
                <w:sz w:val="20"/>
                <w:szCs w:val="20"/>
              </w:rPr>
              <w:t>32</w:t>
            </w:r>
          </w:hyperlink>
          <w:r>
            <w:rPr>
              <w:noProof/>
            </w:rPr>
            <w:t>]</w:t>
          </w:r>
          <w:r>
            <w:fldChar w:fldCharType="end"/>
          </w:r>
        </w:sdtContent>
      </w:sdt>
    </w:p>
  </w:footnote>
  <w:footnote w:id="16">
    <w:p w14:paraId="7FD8469A" w14:textId="77777777" w:rsidR="007D5DC0" w:rsidRDefault="007D5DC0" w:rsidP="00B93EE8">
      <w:pPr>
        <w:pStyle w:val="FootnoteText"/>
      </w:pPr>
      <w:r>
        <w:rPr>
          <w:rStyle w:val="FootnoteReference"/>
        </w:rPr>
        <w:footnoteRef/>
      </w:r>
      <w:r>
        <w:t xml:space="preserve"> </w:t>
      </w:r>
      <w:r w:rsidRPr="00FC3D7E">
        <w:t xml:space="preserve">If the measured delivery does not match the contracted (transacted) total </w:t>
      </w:r>
      <w:r>
        <w:t>quantity</w:t>
      </w:r>
      <w:r w:rsidRPr="00FC3D7E">
        <w:t xml:space="preserve"> then a balancing transaction will be necessary.</w:t>
      </w:r>
    </w:p>
  </w:footnote>
  <w:footnote w:id="17">
    <w:p w14:paraId="63BDD8A0" w14:textId="1F546C11" w:rsidR="007D5DC0" w:rsidRDefault="007D5DC0">
      <w:pPr>
        <w:pStyle w:val="FootnoteText"/>
      </w:pPr>
      <w:r>
        <w:rPr>
          <w:rStyle w:val="FootnoteReference"/>
        </w:rPr>
        <w:footnoteRef/>
      </w:r>
      <w:r>
        <w:t xml:space="preserve"> I</w:t>
      </w:r>
      <w:r w:rsidRPr="0026234F">
        <w:t>ncluding consideration of offsetting and parallel flows</w:t>
      </w:r>
    </w:p>
  </w:footnote>
  <w:footnote w:id="18">
    <w:p w14:paraId="2DF42B01" w14:textId="4448DBE8" w:rsidR="007D5DC0" w:rsidRDefault="007D5DC0">
      <w:pPr>
        <w:pStyle w:val="FootnoteText"/>
      </w:pPr>
      <w:r>
        <w:rPr>
          <w:rStyle w:val="FootnoteReference"/>
        </w:rPr>
        <w:footnoteRef/>
      </w:r>
      <w:r>
        <w:t xml:space="preserve"> Note that this function could violate architectural layering.</w:t>
      </w:r>
    </w:p>
  </w:footnote>
  <w:footnote w:id="19">
    <w:p w14:paraId="1F8CF8FC" w14:textId="2B2E5F3D" w:rsidR="007D5DC0" w:rsidRDefault="007D5DC0">
      <w:pPr>
        <w:pStyle w:val="FootnoteText"/>
      </w:pPr>
      <w:r>
        <w:rPr>
          <w:rStyle w:val="FootnoteReference"/>
        </w:rPr>
        <w:footnoteRef/>
      </w:r>
      <w:r>
        <w:t xml:space="preserve"> A full analysis is beyond the scope of this report.</w:t>
      </w:r>
    </w:p>
  </w:footnote>
  <w:footnote w:id="20">
    <w:p w14:paraId="27198346" w14:textId="27AF62EE" w:rsidR="007D5DC0" w:rsidRDefault="007D5DC0" w:rsidP="00B93EE8">
      <w:pPr>
        <w:pStyle w:val="FootnoteText"/>
      </w:pPr>
      <w:r>
        <w:rPr>
          <w:rStyle w:val="FootnoteReference"/>
        </w:rPr>
        <w:footnoteRef/>
      </w:r>
      <w:r>
        <w:t xml:space="preserve"> EMIX </w:t>
      </w:r>
      <w:sdt>
        <w:sdtPr>
          <w:id w:val="-1007517086"/>
          <w:citation/>
        </w:sdtPr>
        <w:sdtContent>
          <w:r>
            <w:fldChar w:fldCharType="begin"/>
          </w:r>
          <w:r>
            <w:instrText xml:space="preserve">CITATION OAS12 \l 1033 </w:instrText>
          </w:r>
          <w:r>
            <w:fldChar w:fldCharType="separate"/>
          </w:r>
          <w:r>
            <w:rPr>
              <w:noProof/>
            </w:rPr>
            <w:t>[</w:t>
          </w:r>
          <w:hyperlink w:anchor="OAS12" w:history="1">
            <w:r w:rsidRPr="00AA1494">
              <w:rPr>
                <w:rStyle w:val="Heading2Char"/>
                <w:rFonts w:eastAsiaTheme="minorHAnsi" w:cstheme="minorBidi"/>
                <w:noProof/>
                <w:color w:val="auto"/>
                <w:sz w:val="20"/>
                <w:szCs w:val="20"/>
              </w:rPr>
              <w:t>9</w:t>
            </w:r>
          </w:hyperlink>
          <w:r>
            <w:rPr>
              <w:noProof/>
            </w:rPr>
            <w:t>]</w:t>
          </w:r>
          <w:r>
            <w:fldChar w:fldCharType="end"/>
          </w:r>
        </w:sdtContent>
      </w:sdt>
      <w:r>
        <w:t>, page 57</w:t>
      </w:r>
    </w:p>
  </w:footnote>
  <w:footnote w:id="21">
    <w:p w14:paraId="58018996" w14:textId="77777777" w:rsidR="007D5DC0" w:rsidRDefault="007D5DC0">
      <w:pPr>
        <w:pStyle w:val="FootnoteText"/>
      </w:pPr>
      <w:r>
        <w:rPr>
          <w:rStyle w:val="FootnoteReference"/>
        </w:rPr>
        <w:footnoteRef/>
      </w:r>
      <w:r>
        <w:t xml:space="preserve"> The TEMIX implementation and design is most useful for highly automated retail transactions.</w:t>
      </w:r>
    </w:p>
  </w:footnote>
  <w:footnote w:id="22">
    <w:p w14:paraId="38AB7EA0" w14:textId="3671B033" w:rsidR="007D5DC0" w:rsidRDefault="007D5DC0">
      <w:pPr>
        <w:pStyle w:val="FootnoteText"/>
      </w:pPr>
      <w:r>
        <w:rPr>
          <w:rStyle w:val="FootnoteReference"/>
        </w:rPr>
        <w:footnoteRef/>
      </w:r>
      <w:r>
        <w:t xml:space="preserve"> Since the EI services were defined as a bridge, in fact they abstracted from a broad range of markets; the Technical Committee has received no market system examples that cannot be implemented using these services.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6E39"/>
    <w:multiLevelType w:val="hybridMultilevel"/>
    <w:tmpl w:val="B3EA89F0"/>
    <w:lvl w:ilvl="0" w:tplc="0380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61CB7"/>
    <w:multiLevelType w:val="hybridMultilevel"/>
    <w:tmpl w:val="7FB8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35EB7"/>
    <w:multiLevelType w:val="hybridMultilevel"/>
    <w:tmpl w:val="CD92FC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D0ECF"/>
    <w:multiLevelType w:val="hybridMultilevel"/>
    <w:tmpl w:val="959A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F0635A"/>
    <w:multiLevelType w:val="hybridMultilevel"/>
    <w:tmpl w:val="85D0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A2ABD"/>
    <w:multiLevelType w:val="hybridMultilevel"/>
    <w:tmpl w:val="ABA0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D3D2D"/>
    <w:multiLevelType w:val="hybridMultilevel"/>
    <w:tmpl w:val="73D2A264"/>
    <w:lvl w:ilvl="0" w:tplc="0380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87560"/>
    <w:multiLevelType w:val="hybridMultilevel"/>
    <w:tmpl w:val="1BFC0314"/>
    <w:lvl w:ilvl="0" w:tplc="0380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26047"/>
    <w:multiLevelType w:val="hybridMultilevel"/>
    <w:tmpl w:val="BEA2E2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A591D19"/>
    <w:multiLevelType w:val="hybridMultilevel"/>
    <w:tmpl w:val="1F903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D31F3"/>
    <w:multiLevelType w:val="hybridMultilevel"/>
    <w:tmpl w:val="CBD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DB35A9"/>
    <w:multiLevelType w:val="hybridMultilevel"/>
    <w:tmpl w:val="BD40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2D512B"/>
    <w:multiLevelType w:val="hybridMultilevel"/>
    <w:tmpl w:val="5D7CF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963D61"/>
    <w:multiLevelType w:val="hybridMultilevel"/>
    <w:tmpl w:val="0A12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D628A5"/>
    <w:multiLevelType w:val="multilevel"/>
    <w:tmpl w:val="983A5116"/>
    <w:lvl w:ilvl="0">
      <w:start w:val="1"/>
      <w:numFmt w:val="decimal"/>
      <w:lvlText w:val="%1."/>
      <w:lvlJc w:val="left"/>
      <w:pPr>
        <w:ind w:left="720" w:hanging="360"/>
      </w:pPr>
    </w:lvl>
    <w:lvl w:ilvl="1">
      <w:start w:val="1"/>
      <w:numFmt w:val="decimal"/>
      <w:pStyle w:val="Heading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5A9B2B64"/>
    <w:multiLevelType w:val="hybridMultilevel"/>
    <w:tmpl w:val="C77A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CC53EC"/>
    <w:multiLevelType w:val="hybridMultilevel"/>
    <w:tmpl w:val="E51854F6"/>
    <w:lvl w:ilvl="0" w:tplc="AE86D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506245"/>
    <w:multiLevelType w:val="hybridMultilevel"/>
    <w:tmpl w:val="7EDA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9C5189"/>
    <w:multiLevelType w:val="hybridMultilevel"/>
    <w:tmpl w:val="8622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A3719C"/>
    <w:multiLevelType w:val="hybridMultilevel"/>
    <w:tmpl w:val="1C6A97CE"/>
    <w:lvl w:ilvl="0" w:tplc="0380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709C4"/>
    <w:multiLevelType w:val="hybridMultilevel"/>
    <w:tmpl w:val="CEA2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E5659E"/>
    <w:multiLevelType w:val="multilevel"/>
    <w:tmpl w:val="FD2C265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4D6154"/>
    <w:multiLevelType w:val="hybridMultilevel"/>
    <w:tmpl w:val="208E5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901818"/>
    <w:multiLevelType w:val="hybridMultilevel"/>
    <w:tmpl w:val="22464304"/>
    <w:lvl w:ilvl="0" w:tplc="0380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20"/>
  </w:num>
  <w:num w:numId="4">
    <w:abstractNumId w:val="21"/>
  </w:num>
  <w:num w:numId="5">
    <w:abstractNumId w:val="10"/>
  </w:num>
  <w:num w:numId="6">
    <w:abstractNumId w:val="2"/>
  </w:num>
  <w:num w:numId="7">
    <w:abstractNumId w:val="14"/>
  </w:num>
  <w:num w:numId="8">
    <w:abstractNumId w:val="17"/>
  </w:num>
  <w:num w:numId="9">
    <w:abstractNumId w:val="16"/>
  </w:num>
  <w:num w:numId="10">
    <w:abstractNumId w:val="1"/>
  </w:num>
  <w:num w:numId="11">
    <w:abstractNumId w:val="4"/>
  </w:num>
  <w:num w:numId="12">
    <w:abstractNumId w:val="11"/>
  </w:num>
  <w:num w:numId="13">
    <w:abstractNumId w:val="18"/>
  </w:num>
  <w:num w:numId="14">
    <w:abstractNumId w:val="3"/>
  </w:num>
  <w:num w:numId="15">
    <w:abstractNumId w:val="13"/>
  </w:num>
  <w:num w:numId="16">
    <w:abstractNumId w:val="9"/>
  </w:num>
  <w:num w:numId="17">
    <w:abstractNumId w:val="5"/>
  </w:num>
  <w:num w:numId="18">
    <w:abstractNumId w:val="22"/>
  </w:num>
  <w:num w:numId="19">
    <w:abstractNumId w:val="15"/>
  </w:num>
  <w:num w:numId="20">
    <w:abstractNumId w:val="21"/>
  </w:num>
  <w:num w:numId="21">
    <w:abstractNumId w:val="21"/>
  </w:num>
  <w:num w:numId="22">
    <w:abstractNumId w:val="19"/>
  </w:num>
  <w:num w:numId="23">
    <w:abstractNumId w:val="0"/>
  </w:num>
  <w:num w:numId="24">
    <w:abstractNumId w:val="6"/>
  </w:num>
  <w:num w:numId="25">
    <w:abstractNumId w:val="23"/>
  </w:num>
  <w:num w:numId="26">
    <w:abstractNumId w:val="7"/>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mberg, David (Fed)">
    <w15:presenceInfo w15:providerId="AD" w15:userId="S-1-5-21-1908027396-2059629336-315576832-15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5C0"/>
    <w:rsid w:val="000003CD"/>
    <w:rsid w:val="00002FCA"/>
    <w:rsid w:val="00004B47"/>
    <w:rsid w:val="00014098"/>
    <w:rsid w:val="00015150"/>
    <w:rsid w:val="00021264"/>
    <w:rsid w:val="000220AA"/>
    <w:rsid w:val="000333A0"/>
    <w:rsid w:val="0003444C"/>
    <w:rsid w:val="000540B6"/>
    <w:rsid w:val="00054510"/>
    <w:rsid w:val="000607A5"/>
    <w:rsid w:val="00061F79"/>
    <w:rsid w:val="0007177A"/>
    <w:rsid w:val="000767AD"/>
    <w:rsid w:val="000779AE"/>
    <w:rsid w:val="00077ED9"/>
    <w:rsid w:val="0008132D"/>
    <w:rsid w:val="000824BF"/>
    <w:rsid w:val="0009464D"/>
    <w:rsid w:val="000A0DF2"/>
    <w:rsid w:val="000A7765"/>
    <w:rsid w:val="000B1F2A"/>
    <w:rsid w:val="000B4185"/>
    <w:rsid w:val="000B6636"/>
    <w:rsid w:val="000B7ED8"/>
    <w:rsid w:val="000C4A1C"/>
    <w:rsid w:val="000C761E"/>
    <w:rsid w:val="000D2800"/>
    <w:rsid w:val="000D5F33"/>
    <w:rsid w:val="000D74B6"/>
    <w:rsid w:val="000D75C0"/>
    <w:rsid w:val="000E0C3E"/>
    <w:rsid w:val="000E4938"/>
    <w:rsid w:val="000E4F4B"/>
    <w:rsid w:val="000E66CA"/>
    <w:rsid w:val="000E7B88"/>
    <w:rsid w:val="000F2504"/>
    <w:rsid w:val="000F2839"/>
    <w:rsid w:val="00104B64"/>
    <w:rsid w:val="00106C62"/>
    <w:rsid w:val="00107CFA"/>
    <w:rsid w:val="0011089D"/>
    <w:rsid w:val="0011593C"/>
    <w:rsid w:val="0011760B"/>
    <w:rsid w:val="0013098D"/>
    <w:rsid w:val="00130A06"/>
    <w:rsid w:val="00130F16"/>
    <w:rsid w:val="00132361"/>
    <w:rsid w:val="001325B0"/>
    <w:rsid w:val="0013488D"/>
    <w:rsid w:val="0013712A"/>
    <w:rsid w:val="00143B19"/>
    <w:rsid w:val="00150139"/>
    <w:rsid w:val="00164C64"/>
    <w:rsid w:val="0017534A"/>
    <w:rsid w:val="00180E95"/>
    <w:rsid w:val="00181060"/>
    <w:rsid w:val="00181A51"/>
    <w:rsid w:val="00183928"/>
    <w:rsid w:val="001864C9"/>
    <w:rsid w:val="001959E1"/>
    <w:rsid w:val="001A06BA"/>
    <w:rsid w:val="001A21E2"/>
    <w:rsid w:val="001A5268"/>
    <w:rsid w:val="001A5727"/>
    <w:rsid w:val="001A5766"/>
    <w:rsid w:val="001B3AAA"/>
    <w:rsid w:val="001B6840"/>
    <w:rsid w:val="001B7520"/>
    <w:rsid w:val="001C1D7C"/>
    <w:rsid w:val="001C1DFF"/>
    <w:rsid w:val="001C4844"/>
    <w:rsid w:val="001C6A07"/>
    <w:rsid w:val="001D1883"/>
    <w:rsid w:val="001D658D"/>
    <w:rsid w:val="001D71E1"/>
    <w:rsid w:val="001E003C"/>
    <w:rsid w:val="001E2D0D"/>
    <w:rsid w:val="001E337E"/>
    <w:rsid w:val="001E3DE3"/>
    <w:rsid w:val="001E73F4"/>
    <w:rsid w:val="001F3F3E"/>
    <w:rsid w:val="001F58FD"/>
    <w:rsid w:val="002056B4"/>
    <w:rsid w:val="00212701"/>
    <w:rsid w:val="00213D87"/>
    <w:rsid w:val="002252FA"/>
    <w:rsid w:val="00234D3D"/>
    <w:rsid w:val="002437E9"/>
    <w:rsid w:val="0024635F"/>
    <w:rsid w:val="00250FB7"/>
    <w:rsid w:val="00251C56"/>
    <w:rsid w:val="00253DDE"/>
    <w:rsid w:val="002551AB"/>
    <w:rsid w:val="002610DE"/>
    <w:rsid w:val="0026234F"/>
    <w:rsid w:val="00273608"/>
    <w:rsid w:val="00280B5F"/>
    <w:rsid w:val="00283237"/>
    <w:rsid w:val="0028348F"/>
    <w:rsid w:val="0028451C"/>
    <w:rsid w:val="00285C34"/>
    <w:rsid w:val="00290798"/>
    <w:rsid w:val="00297202"/>
    <w:rsid w:val="00297A5B"/>
    <w:rsid w:val="002B3C89"/>
    <w:rsid w:val="002B5B63"/>
    <w:rsid w:val="002B6370"/>
    <w:rsid w:val="002C4530"/>
    <w:rsid w:val="002C5123"/>
    <w:rsid w:val="002C58B5"/>
    <w:rsid w:val="002D6AA8"/>
    <w:rsid w:val="002D6D2A"/>
    <w:rsid w:val="002E1247"/>
    <w:rsid w:val="002E1657"/>
    <w:rsid w:val="002E2900"/>
    <w:rsid w:val="002E422F"/>
    <w:rsid w:val="002F0777"/>
    <w:rsid w:val="002F40BE"/>
    <w:rsid w:val="002F53F3"/>
    <w:rsid w:val="002F56D8"/>
    <w:rsid w:val="002F64C7"/>
    <w:rsid w:val="00305294"/>
    <w:rsid w:val="00306B7D"/>
    <w:rsid w:val="00312DC8"/>
    <w:rsid w:val="00313A55"/>
    <w:rsid w:val="0031461D"/>
    <w:rsid w:val="00315BAD"/>
    <w:rsid w:val="00320634"/>
    <w:rsid w:val="00331C3D"/>
    <w:rsid w:val="003335A3"/>
    <w:rsid w:val="003352D2"/>
    <w:rsid w:val="00343431"/>
    <w:rsid w:val="00343C99"/>
    <w:rsid w:val="00343D5D"/>
    <w:rsid w:val="00347525"/>
    <w:rsid w:val="00356AFC"/>
    <w:rsid w:val="00360714"/>
    <w:rsid w:val="00365AB9"/>
    <w:rsid w:val="00371941"/>
    <w:rsid w:val="003720E2"/>
    <w:rsid w:val="00374894"/>
    <w:rsid w:val="0038044D"/>
    <w:rsid w:val="00380761"/>
    <w:rsid w:val="00383F96"/>
    <w:rsid w:val="00387A4A"/>
    <w:rsid w:val="00393828"/>
    <w:rsid w:val="00394869"/>
    <w:rsid w:val="00397332"/>
    <w:rsid w:val="003A5338"/>
    <w:rsid w:val="003B0FDD"/>
    <w:rsid w:val="003B21DB"/>
    <w:rsid w:val="003B63FF"/>
    <w:rsid w:val="003C7547"/>
    <w:rsid w:val="003D2397"/>
    <w:rsid w:val="003D2691"/>
    <w:rsid w:val="003E27C4"/>
    <w:rsid w:val="003E3003"/>
    <w:rsid w:val="003E683B"/>
    <w:rsid w:val="003F4457"/>
    <w:rsid w:val="00402242"/>
    <w:rsid w:val="0040481D"/>
    <w:rsid w:val="00407550"/>
    <w:rsid w:val="00407FE8"/>
    <w:rsid w:val="004100D4"/>
    <w:rsid w:val="00417E17"/>
    <w:rsid w:val="004235BA"/>
    <w:rsid w:val="00426060"/>
    <w:rsid w:val="00426949"/>
    <w:rsid w:val="00427DD0"/>
    <w:rsid w:val="0043002E"/>
    <w:rsid w:val="00431F9B"/>
    <w:rsid w:val="00436AA5"/>
    <w:rsid w:val="00441E22"/>
    <w:rsid w:val="004430EB"/>
    <w:rsid w:val="004456A0"/>
    <w:rsid w:val="0044598A"/>
    <w:rsid w:val="00454683"/>
    <w:rsid w:val="00460788"/>
    <w:rsid w:val="00467CB3"/>
    <w:rsid w:val="004722C3"/>
    <w:rsid w:val="00473021"/>
    <w:rsid w:val="00473403"/>
    <w:rsid w:val="00474C1A"/>
    <w:rsid w:val="00485452"/>
    <w:rsid w:val="004915C0"/>
    <w:rsid w:val="00495386"/>
    <w:rsid w:val="00497063"/>
    <w:rsid w:val="004A2B2B"/>
    <w:rsid w:val="004A5D3F"/>
    <w:rsid w:val="004A79C9"/>
    <w:rsid w:val="004B7A97"/>
    <w:rsid w:val="004C038A"/>
    <w:rsid w:val="004C499A"/>
    <w:rsid w:val="004D3C06"/>
    <w:rsid w:val="004D75C6"/>
    <w:rsid w:val="004E0C44"/>
    <w:rsid w:val="004E27DF"/>
    <w:rsid w:val="00501F3F"/>
    <w:rsid w:val="00506B8D"/>
    <w:rsid w:val="005112ED"/>
    <w:rsid w:val="0051508E"/>
    <w:rsid w:val="00521F88"/>
    <w:rsid w:val="00524CA4"/>
    <w:rsid w:val="005315C8"/>
    <w:rsid w:val="0054433A"/>
    <w:rsid w:val="00544BCD"/>
    <w:rsid w:val="00547000"/>
    <w:rsid w:val="00551200"/>
    <w:rsid w:val="00552141"/>
    <w:rsid w:val="00552600"/>
    <w:rsid w:val="005546AC"/>
    <w:rsid w:val="0055622B"/>
    <w:rsid w:val="00561B33"/>
    <w:rsid w:val="00562BD4"/>
    <w:rsid w:val="00562E1E"/>
    <w:rsid w:val="0056409C"/>
    <w:rsid w:val="005651CA"/>
    <w:rsid w:val="00566BEF"/>
    <w:rsid w:val="005754BE"/>
    <w:rsid w:val="005829AD"/>
    <w:rsid w:val="005846AF"/>
    <w:rsid w:val="00593EE8"/>
    <w:rsid w:val="00595A39"/>
    <w:rsid w:val="00597FB7"/>
    <w:rsid w:val="005A2EA6"/>
    <w:rsid w:val="005A3E72"/>
    <w:rsid w:val="005A7526"/>
    <w:rsid w:val="005B153E"/>
    <w:rsid w:val="005C223A"/>
    <w:rsid w:val="005C490E"/>
    <w:rsid w:val="005C4CEB"/>
    <w:rsid w:val="005C5954"/>
    <w:rsid w:val="005C62F7"/>
    <w:rsid w:val="005C6CAD"/>
    <w:rsid w:val="005D0718"/>
    <w:rsid w:val="005D0EE2"/>
    <w:rsid w:val="005D5D1C"/>
    <w:rsid w:val="005D6DD4"/>
    <w:rsid w:val="005D6E7C"/>
    <w:rsid w:val="005D7F7D"/>
    <w:rsid w:val="005E2905"/>
    <w:rsid w:val="005E5D91"/>
    <w:rsid w:val="005E752B"/>
    <w:rsid w:val="005F394E"/>
    <w:rsid w:val="005F6E6B"/>
    <w:rsid w:val="006018E7"/>
    <w:rsid w:val="0060628A"/>
    <w:rsid w:val="0061282E"/>
    <w:rsid w:val="0061696A"/>
    <w:rsid w:val="00643A2A"/>
    <w:rsid w:val="00653BBF"/>
    <w:rsid w:val="006550ED"/>
    <w:rsid w:val="00655235"/>
    <w:rsid w:val="00656F2C"/>
    <w:rsid w:val="00664D17"/>
    <w:rsid w:val="006660F0"/>
    <w:rsid w:val="0066649B"/>
    <w:rsid w:val="00666BEC"/>
    <w:rsid w:val="00666E78"/>
    <w:rsid w:val="0067012D"/>
    <w:rsid w:val="00671CAA"/>
    <w:rsid w:val="00673E78"/>
    <w:rsid w:val="0067607D"/>
    <w:rsid w:val="006921E4"/>
    <w:rsid w:val="00696870"/>
    <w:rsid w:val="006A6FFB"/>
    <w:rsid w:val="006B19D9"/>
    <w:rsid w:val="006B4E0C"/>
    <w:rsid w:val="006C1EFE"/>
    <w:rsid w:val="006C6028"/>
    <w:rsid w:val="006D44B0"/>
    <w:rsid w:val="006E34BF"/>
    <w:rsid w:val="006F6433"/>
    <w:rsid w:val="00700A0B"/>
    <w:rsid w:val="00703C5B"/>
    <w:rsid w:val="00704E9B"/>
    <w:rsid w:val="00706A26"/>
    <w:rsid w:val="00707509"/>
    <w:rsid w:val="00712433"/>
    <w:rsid w:val="00726428"/>
    <w:rsid w:val="00733DC2"/>
    <w:rsid w:val="007348E3"/>
    <w:rsid w:val="00734C7E"/>
    <w:rsid w:val="00735060"/>
    <w:rsid w:val="00735544"/>
    <w:rsid w:val="007361FB"/>
    <w:rsid w:val="00742C54"/>
    <w:rsid w:val="00744C1D"/>
    <w:rsid w:val="00756BA8"/>
    <w:rsid w:val="00760061"/>
    <w:rsid w:val="007614DF"/>
    <w:rsid w:val="00762B3A"/>
    <w:rsid w:val="00762DB5"/>
    <w:rsid w:val="00764E59"/>
    <w:rsid w:val="0076713D"/>
    <w:rsid w:val="00774C99"/>
    <w:rsid w:val="00790FFA"/>
    <w:rsid w:val="00791316"/>
    <w:rsid w:val="00791D73"/>
    <w:rsid w:val="00792957"/>
    <w:rsid w:val="0079387B"/>
    <w:rsid w:val="0079615D"/>
    <w:rsid w:val="007A01DB"/>
    <w:rsid w:val="007A2D53"/>
    <w:rsid w:val="007B18D3"/>
    <w:rsid w:val="007B52F5"/>
    <w:rsid w:val="007C14E5"/>
    <w:rsid w:val="007C19EB"/>
    <w:rsid w:val="007C1EB9"/>
    <w:rsid w:val="007C316B"/>
    <w:rsid w:val="007C3C34"/>
    <w:rsid w:val="007C45C2"/>
    <w:rsid w:val="007C654B"/>
    <w:rsid w:val="007D049E"/>
    <w:rsid w:val="007D38DF"/>
    <w:rsid w:val="007D3CFC"/>
    <w:rsid w:val="007D5DC0"/>
    <w:rsid w:val="007E0D82"/>
    <w:rsid w:val="007F7843"/>
    <w:rsid w:val="00801AE8"/>
    <w:rsid w:val="00803039"/>
    <w:rsid w:val="008050D2"/>
    <w:rsid w:val="00806D16"/>
    <w:rsid w:val="00810CA7"/>
    <w:rsid w:val="00812161"/>
    <w:rsid w:val="00814E1D"/>
    <w:rsid w:val="00825BE3"/>
    <w:rsid w:val="008328D4"/>
    <w:rsid w:val="00832B30"/>
    <w:rsid w:val="00832DC2"/>
    <w:rsid w:val="008343C2"/>
    <w:rsid w:val="008448A5"/>
    <w:rsid w:val="00845B47"/>
    <w:rsid w:val="008500E2"/>
    <w:rsid w:val="00853390"/>
    <w:rsid w:val="00861844"/>
    <w:rsid w:val="00861BEB"/>
    <w:rsid w:val="00864D51"/>
    <w:rsid w:val="00864E5F"/>
    <w:rsid w:val="00865564"/>
    <w:rsid w:val="00865DD5"/>
    <w:rsid w:val="00866F59"/>
    <w:rsid w:val="00871065"/>
    <w:rsid w:val="00883A95"/>
    <w:rsid w:val="00884BE8"/>
    <w:rsid w:val="008911CE"/>
    <w:rsid w:val="00893FD0"/>
    <w:rsid w:val="00894E1C"/>
    <w:rsid w:val="0089569B"/>
    <w:rsid w:val="00897B29"/>
    <w:rsid w:val="008A1521"/>
    <w:rsid w:val="008A4C35"/>
    <w:rsid w:val="008A5E81"/>
    <w:rsid w:val="008B36CB"/>
    <w:rsid w:val="008C28FF"/>
    <w:rsid w:val="008C4DDB"/>
    <w:rsid w:val="008D1DF2"/>
    <w:rsid w:val="008D2D1C"/>
    <w:rsid w:val="008D7697"/>
    <w:rsid w:val="008E459A"/>
    <w:rsid w:val="008F0E89"/>
    <w:rsid w:val="008F774A"/>
    <w:rsid w:val="00901558"/>
    <w:rsid w:val="00902520"/>
    <w:rsid w:val="0090418F"/>
    <w:rsid w:val="00906B9A"/>
    <w:rsid w:val="009079C7"/>
    <w:rsid w:val="009104D7"/>
    <w:rsid w:val="00913FA1"/>
    <w:rsid w:val="00915E07"/>
    <w:rsid w:val="00920C41"/>
    <w:rsid w:val="00920C42"/>
    <w:rsid w:val="00921761"/>
    <w:rsid w:val="00925B81"/>
    <w:rsid w:val="00926808"/>
    <w:rsid w:val="00926F57"/>
    <w:rsid w:val="00931817"/>
    <w:rsid w:val="00934EDB"/>
    <w:rsid w:val="009359B9"/>
    <w:rsid w:val="00935D45"/>
    <w:rsid w:val="0093798E"/>
    <w:rsid w:val="0095146F"/>
    <w:rsid w:val="00961CA2"/>
    <w:rsid w:val="009715BD"/>
    <w:rsid w:val="0097191D"/>
    <w:rsid w:val="009750ED"/>
    <w:rsid w:val="00975CC2"/>
    <w:rsid w:val="0098499A"/>
    <w:rsid w:val="0098709A"/>
    <w:rsid w:val="0099212F"/>
    <w:rsid w:val="00992F86"/>
    <w:rsid w:val="009943D5"/>
    <w:rsid w:val="009950D0"/>
    <w:rsid w:val="009A3253"/>
    <w:rsid w:val="009A4165"/>
    <w:rsid w:val="009B064F"/>
    <w:rsid w:val="009B401C"/>
    <w:rsid w:val="009B4AF9"/>
    <w:rsid w:val="009D06C0"/>
    <w:rsid w:val="009D1B3A"/>
    <w:rsid w:val="009D58BB"/>
    <w:rsid w:val="009E5887"/>
    <w:rsid w:val="009E633C"/>
    <w:rsid w:val="009F0938"/>
    <w:rsid w:val="009F479E"/>
    <w:rsid w:val="00A0687F"/>
    <w:rsid w:val="00A24409"/>
    <w:rsid w:val="00A250A7"/>
    <w:rsid w:val="00A265F8"/>
    <w:rsid w:val="00A36B17"/>
    <w:rsid w:val="00A376EA"/>
    <w:rsid w:val="00A4254E"/>
    <w:rsid w:val="00A42F07"/>
    <w:rsid w:val="00A56E76"/>
    <w:rsid w:val="00A606D8"/>
    <w:rsid w:val="00A66AC6"/>
    <w:rsid w:val="00A70131"/>
    <w:rsid w:val="00A70EDC"/>
    <w:rsid w:val="00A85095"/>
    <w:rsid w:val="00A860DA"/>
    <w:rsid w:val="00A91317"/>
    <w:rsid w:val="00A91C99"/>
    <w:rsid w:val="00A93F6B"/>
    <w:rsid w:val="00A97E4E"/>
    <w:rsid w:val="00AA094C"/>
    <w:rsid w:val="00AA1494"/>
    <w:rsid w:val="00AA22C3"/>
    <w:rsid w:val="00AA2FDD"/>
    <w:rsid w:val="00AA597F"/>
    <w:rsid w:val="00AB16F7"/>
    <w:rsid w:val="00AB1F8C"/>
    <w:rsid w:val="00AB1FB1"/>
    <w:rsid w:val="00AB2CF0"/>
    <w:rsid w:val="00AB33C4"/>
    <w:rsid w:val="00AB63D2"/>
    <w:rsid w:val="00AB7696"/>
    <w:rsid w:val="00AC044A"/>
    <w:rsid w:val="00AC0801"/>
    <w:rsid w:val="00AC5998"/>
    <w:rsid w:val="00AD0160"/>
    <w:rsid w:val="00AD08A0"/>
    <w:rsid w:val="00AD1D7B"/>
    <w:rsid w:val="00AD355F"/>
    <w:rsid w:val="00AD3B7E"/>
    <w:rsid w:val="00AE2B3E"/>
    <w:rsid w:val="00AE51FF"/>
    <w:rsid w:val="00AE5642"/>
    <w:rsid w:val="00AE6978"/>
    <w:rsid w:val="00AE75B8"/>
    <w:rsid w:val="00AF045F"/>
    <w:rsid w:val="00AF0BD4"/>
    <w:rsid w:val="00AF1589"/>
    <w:rsid w:val="00B16B9B"/>
    <w:rsid w:val="00B20BE3"/>
    <w:rsid w:val="00B21F29"/>
    <w:rsid w:val="00B2362A"/>
    <w:rsid w:val="00B30648"/>
    <w:rsid w:val="00B33320"/>
    <w:rsid w:val="00B3575B"/>
    <w:rsid w:val="00B3615E"/>
    <w:rsid w:val="00B4242D"/>
    <w:rsid w:val="00B4496A"/>
    <w:rsid w:val="00B454FB"/>
    <w:rsid w:val="00B45E77"/>
    <w:rsid w:val="00B46B65"/>
    <w:rsid w:val="00B46CEB"/>
    <w:rsid w:val="00B6622B"/>
    <w:rsid w:val="00B6729C"/>
    <w:rsid w:val="00B75D1E"/>
    <w:rsid w:val="00B76159"/>
    <w:rsid w:val="00B85511"/>
    <w:rsid w:val="00B857CD"/>
    <w:rsid w:val="00B93920"/>
    <w:rsid w:val="00B93EE8"/>
    <w:rsid w:val="00B94A84"/>
    <w:rsid w:val="00B94BF4"/>
    <w:rsid w:val="00B962D0"/>
    <w:rsid w:val="00BA1F22"/>
    <w:rsid w:val="00BA582B"/>
    <w:rsid w:val="00BA7886"/>
    <w:rsid w:val="00BB08FD"/>
    <w:rsid w:val="00BB096D"/>
    <w:rsid w:val="00BB0DC5"/>
    <w:rsid w:val="00BB1A2E"/>
    <w:rsid w:val="00BB5437"/>
    <w:rsid w:val="00BC10C8"/>
    <w:rsid w:val="00BC3DA0"/>
    <w:rsid w:val="00BC432F"/>
    <w:rsid w:val="00BC5785"/>
    <w:rsid w:val="00BC6BDD"/>
    <w:rsid w:val="00BD41DB"/>
    <w:rsid w:val="00BD4EC3"/>
    <w:rsid w:val="00BE6869"/>
    <w:rsid w:val="00BE7452"/>
    <w:rsid w:val="00BF3E2C"/>
    <w:rsid w:val="00BF5820"/>
    <w:rsid w:val="00C01ED9"/>
    <w:rsid w:val="00C15DD6"/>
    <w:rsid w:val="00C21519"/>
    <w:rsid w:val="00C22C4A"/>
    <w:rsid w:val="00C245BF"/>
    <w:rsid w:val="00C26A33"/>
    <w:rsid w:val="00C30AD6"/>
    <w:rsid w:val="00C3143A"/>
    <w:rsid w:val="00C41201"/>
    <w:rsid w:val="00C42780"/>
    <w:rsid w:val="00C45287"/>
    <w:rsid w:val="00C52768"/>
    <w:rsid w:val="00C56617"/>
    <w:rsid w:val="00C62245"/>
    <w:rsid w:val="00C63490"/>
    <w:rsid w:val="00C65A7A"/>
    <w:rsid w:val="00C66ABB"/>
    <w:rsid w:val="00C7132B"/>
    <w:rsid w:val="00C71567"/>
    <w:rsid w:val="00C80BAC"/>
    <w:rsid w:val="00C80D2C"/>
    <w:rsid w:val="00C84718"/>
    <w:rsid w:val="00C977AE"/>
    <w:rsid w:val="00CA065B"/>
    <w:rsid w:val="00CA3027"/>
    <w:rsid w:val="00CB2CBA"/>
    <w:rsid w:val="00CB40F5"/>
    <w:rsid w:val="00CC7623"/>
    <w:rsid w:val="00CD2E15"/>
    <w:rsid w:val="00CE42E8"/>
    <w:rsid w:val="00CE4382"/>
    <w:rsid w:val="00CF2C22"/>
    <w:rsid w:val="00D0058C"/>
    <w:rsid w:val="00D00F83"/>
    <w:rsid w:val="00D04B7C"/>
    <w:rsid w:val="00D220BF"/>
    <w:rsid w:val="00D23C63"/>
    <w:rsid w:val="00D275E8"/>
    <w:rsid w:val="00D30F0D"/>
    <w:rsid w:val="00D34A70"/>
    <w:rsid w:val="00D4057D"/>
    <w:rsid w:val="00D41137"/>
    <w:rsid w:val="00D41ADC"/>
    <w:rsid w:val="00D45185"/>
    <w:rsid w:val="00D4628C"/>
    <w:rsid w:val="00D54EF1"/>
    <w:rsid w:val="00D5599A"/>
    <w:rsid w:val="00D5751D"/>
    <w:rsid w:val="00D6004D"/>
    <w:rsid w:val="00D63353"/>
    <w:rsid w:val="00D67A01"/>
    <w:rsid w:val="00D7315B"/>
    <w:rsid w:val="00D742E0"/>
    <w:rsid w:val="00D7768C"/>
    <w:rsid w:val="00D8352B"/>
    <w:rsid w:val="00D843C0"/>
    <w:rsid w:val="00D8634D"/>
    <w:rsid w:val="00D90035"/>
    <w:rsid w:val="00D967B6"/>
    <w:rsid w:val="00DA2B04"/>
    <w:rsid w:val="00DA6202"/>
    <w:rsid w:val="00DB3FBB"/>
    <w:rsid w:val="00DB5A81"/>
    <w:rsid w:val="00DC0166"/>
    <w:rsid w:val="00DC0594"/>
    <w:rsid w:val="00DC2533"/>
    <w:rsid w:val="00DC25E6"/>
    <w:rsid w:val="00DC26A5"/>
    <w:rsid w:val="00DC347A"/>
    <w:rsid w:val="00DC3FA1"/>
    <w:rsid w:val="00DD7FBA"/>
    <w:rsid w:val="00DE1732"/>
    <w:rsid w:val="00DE3FF9"/>
    <w:rsid w:val="00DE7743"/>
    <w:rsid w:val="00DF00A2"/>
    <w:rsid w:val="00DF5107"/>
    <w:rsid w:val="00DF5898"/>
    <w:rsid w:val="00E00306"/>
    <w:rsid w:val="00E033FD"/>
    <w:rsid w:val="00E056C9"/>
    <w:rsid w:val="00E10552"/>
    <w:rsid w:val="00E14ABB"/>
    <w:rsid w:val="00E20DDB"/>
    <w:rsid w:val="00E211F7"/>
    <w:rsid w:val="00E23E88"/>
    <w:rsid w:val="00E243F7"/>
    <w:rsid w:val="00E26461"/>
    <w:rsid w:val="00E2688C"/>
    <w:rsid w:val="00E26C00"/>
    <w:rsid w:val="00E33ACC"/>
    <w:rsid w:val="00E340D8"/>
    <w:rsid w:val="00E34F8B"/>
    <w:rsid w:val="00E35773"/>
    <w:rsid w:val="00E37986"/>
    <w:rsid w:val="00E43DE8"/>
    <w:rsid w:val="00E4756A"/>
    <w:rsid w:val="00E524C2"/>
    <w:rsid w:val="00E6740A"/>
    <w:rsid w:val="00E72963"/>
    <w:rsid w:val="00E778C7"/>
    <w:rsid w:val="00E870B4"/>
    <w:rsid w:val="00EA2947"/>
    <w:rsid w:val="00EA3B8D"/>
    <w:rsid w:val="00EB07E0"/>
    <w:rsid w:val="00EB6241"/>
    <w:rsid w:val="00EB7A62"/>
    <w:rsid w:val="00EC058B"/>
    <w:rsid w:val="00EC1800"/>
    <w:rsid w:val="00EC2710"/>
    <w:rsid w:val="00EC62F8"/>
    <w:rsid w:val="00EC65DB"/>
    <w:rsid w:val="00ED1747"/>
    <w:rsid w:val="00ED3A30"/>
    <w:rsid w:val="00ED6162"/>
    <w:rsid w:val="00ED6DB3"/>
    <w:rsid w:val="00EE0B89"/>
    <w:rsid w:val="00EE1A69"/>
    <w:rsid w:val="00EF078C"/>
    <w:rsid w:val="00EF664A"/>
    <w:rsid w:val="00EF6B6D"/>
    <w:rsid w:val="00F00492"/>
    <w:rsid w:val="00F017D8"/>
    <w:rsid w:val="00F02C1D"/>
    <w:rsid w:val="00F13006"/>
    <w:rsid w:val="00F21E09"/>
    <w:rsid w:val="00F27863"/>
    <w:rsid w:val="00F30865"/>
    <w:rsid w:val="00F32AA0"/>
    <w:rsid w:val="00F4625F"/>
    <w:rsid w:val="00F519EA"/>
    <w:rsid w:val="00F547B6"/>
    <w:rsid w:val="00F601E3"/>
    <w:rsid w:val="00F615EB"/>
    <w:rsid w:val="00F717B0"/>
    <w:rsid w:val="00F734FD"/>
    <w:rsid w:val="00F73D8D"/>
    <w:rsid w:val="00F90D6E"/>
    <w:rsid w:val="00F956C6"/>
    <w:rsid w:val="00F96163"/>
    <w:rsid w:val="00FA0508"/>
    <w:rsid w:val="00FA16D6"/>
    <w:rsid w:val="00FA635C"/>
    <w:rsid w:val="00FB3E01"/>
    <w:rsid w:val="00FB767C"/>
    <w:rsid w:val="00FC1332"/>
    <w:rsid w:val="00FC1C24"/>
    <w:rsid w:val="00FC22CD"/>
    <w:rsid w:val="00FC6538"/>
    <w:rsid w:val="00FD4B80"/>
    <w:rsid w:val="00FD7B5C"/>
    <w:rsid w:val="00FE5E8D"/>
    <w:rsid w:val="00FF43F5"/>
    <w:rsid w:val="00FF74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4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Cs w:val="40"/>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CFA"/>
    <w:pPr>
      <w:spacing w:after="200" w:line="240" w:lineRule="auto"/>
    </w:pPr>
    <w:rPr>
      <w:rFonts w:asciiTheme="minorHAnsi" w:hAnsiTheme="minorHAnsi" w:cstheme="minorBidi"/>
      <w:sz w:val="24"/>
      <w:szCs w:val="24"/>
    </w:rPr>
  </w:style>
  <w:style w:type="paragraph" w:styleId="Heading1">
    <w:name w:val="heading 1"/>
    <w:basedOn w:val="Normal"/>
    <w:next w:val="Normal"/>
    <w:link w:val="Heading1Char"/>
    <w:uiPriority w:val="9"/>
    <w:qFormat/>
    <w:rsid w:val="000B7ED8"/>
    <w:pPr>
      <w:keepNext/>
      <w:keepLines/>
      <w:numPr>
        <w:numId w:val="4"/>
      </w:numPr>
      <w:spacing w:before="240" w:after="0"/>
      <w:outlineLvl w:val="0"/>
    </w:pPr>
    <w:rPr>
      <w:rFonts w:eastAsiaTheme="majorEastAsia" w:cstheme="majorBidi"/>
      <w:color w:val="3F4042" w:themeColor="accent1" w:themeShade="BF"/>
      <w:sz w:val="32"/>
      <w:szCs w:val="32"/>
    </w:rPr>
  </w:style>
  <w:style w:type="paragraph" w:styleId="Heading2">
    <w:name w:val="heading 2"/>
    <w:basedOn w:val="Normal"/>
    <w:next w:val="Normal"/>
    <w:link w:val="Heading2Char"/>
    <w:uiPriority w:val="9"/>
    <w:unhideWhenUsed/>
    <w:qFormat/>
    <w:rsid w:val="002C4530"/>
    <w:pPr>
      <w:keepNext/>
      <w:keepLines/>
      <w:numPr>
        <w:ilvl w:val="1"/>
        <w:numId w:val="7"/>
      </w:numPr>
      <w:spacing w:before="40" w:after="0"/>
      <w:outlineLvl w:val="1"/>
    </w:pPr>
    <w:rPr>
      <w:rFonts w:eastAsiaTheme="majorEastAsia" w:cstheme="majorBidi"/>
      <w:color w:val="3F4042" w:themeColor="accent1" w:themeShade="BF"/>
      <w:sz w:val="26"/>
      <w:szCs w:val="26"/>
    </w:rPr>
  </w:style>
  <w:style w:type="paragraph" w:styleId="Heading3">
    <w:name w:val="heading 3"/>
    <w:basedOn w:val="Normal"/>
    <w:next w:val="Normal"/>
    <w:link w:val="Heading3Char"/>
    <w:uiPriority w:val="9"/>
    <w:unhideWhenUsed/>
    <w:qFormat/>
    <w:rsid w:val="000003CD"/>
    <w:pPr>
      <w:keepNext/>
      <w:keepLines/>
      <w:spacing w:before="40" w:after="0"/>
      <w:outlineLvl w:val="2"/>
    </w:pPr>
    <w:rPr>
      <w:rFonts w:eastAsiaTheme="majorEastAsia" w:cstheme="majorBidi"/>
      <w:color w:val="2A2B2C" w:themeColor="accent1" w:themeShade="7F"/>
    </w:rPr>
  </w:style>
  <w:style w:type="paragraph" w:styleId="Heading4">
    <w:name w:val="heading 4"/>
    <w:basedOn w:val="Normal"/>
    <w:next w:val="Normal"/>
    <w:link w:val="Heading4Char"/>
    <w:uiPriority w:val="9"/>
    <w:unhideWhenUsed/>
    <w:qFormat/>
    <w:rsid w:val="00F32AA0"/>
    <w:pPr>
      <w:keepNext/>
      <w:keepLines/>
      <w:spacing w:before="200" w:after="0"/>
      <w:outlineLvl w:val="3"/>
    </w:pPr>
    <w:rPr>
      <w:rFonts w:asciiTheme="majorHAnsi" w:eastAsiaTheme="majorEastAsia" w:hAnsiTheme="majorHAnsi" w:cstheme="majorBidi"/>
      <w:b/>
      <w:bCs/>
      <w:i/>
      <w:iCs/>
      <w:color w:val="55575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03CD"/>
    <w:pPr>
      <w:spacing w:after="0" w:line="240" w:lineRule="auto"/>
    </w:pPr>
  </w:style>
  <w:style w:type="character" w:customStyle="1" w:styleId="Heading2Char">
    <w:name w:val="Heading 2 Char"/>
    <w:basedOn w:val="DefaultParagraphFont"/>
    <w:link w:val="Heading2"/>
    <w:uiPriority w:val="9"/>
    <w:rsid w:val="002C4530"/>
    <w:rPr>
      <w:rFonts w:asciiTheme="minorHAnsi" w:eastAsiaTheme="majorEastAsia" w:hAnsiTheme="minorHAnsi" w:cstheme="majorBidi"/>
      <w:color w:val="3F4042" w:themeColor="accent1" w:themeShade="BF"/>
      <w:sz w:val="26"/>
      <w:szCs w:val="26"/>
    </w:rPr>
  </w:style>
  <w:style w:type="character" w:customStyle="1" w:styleId="Heading3Char">
    <w:name w:val="Heading 3 Char"/>
    <w:basedOn w:val="DefaultParagraphFont"/>
    <w:link w:val="Heading3"/>
    <w:uiPriority w:val="9"/>
    <w:rsid w:val="000003CD"/>
    <w:rPr>
      <w:rFonts w:ascii="Arial" w:eastAsiaTheme="majorEastAsia" w:hAnsi="Arial" w:cstheme="majorBidi"/>
      <w:color w:val="2A2B2C" w:themeColor="accent1" w:themeShade="7F"/>
      <w:sz w:val="24"/>
      <w:szCs w:val="24"/>
    </w:rPr>
  </w:style>
  <w:style w:type="character" w:customStyle="1" w:styleId="Heading1Char">
    <w:name w:val="Heading 1 Char"/>
    <w:basedOn w:val="DefaultParagraphFont"/>
    <w:link w:val="Heading1"/>
    <w:uiPriority w:val="9"/>
    <w:rsid w:val="000B7ED8"/>
    <w:rPr>
      <w:rFonts w:asciiTheme="minorHAnsi" w:eastAsiaTheme="majorEastAsia" w:hAnsiTheme="minorHAnsi" w:cstheme="majorBidi"/>
      <w:color w:val="3F4042" w:themeColor="accent1" w:themeShade="BF"/>
      <w:sz w:val="32"/>
      <w:szCs w:val="32"/>
    </w:rPr>
  </w:style>
  <w:style w:type="character" w:styleId="SubtleReference">
    <w:name w:val="Subtle Reference"/>
    <w:basedOn w:val="DefaultParagraphFont"/>
    <w:uiPriority w:val="31"/>
    <w:qFormat/>
    <w:rsid w:val="000003CD"/>
    <w:rPr>
      <w:smallCaps/>
      <w:color w:val="8F9294" w:themeColor="text1" w:themeTint="A5"/>
    </w:rPr>
  </w:style>
  <w:style w:type="paragraph" w:styleId="Title">
    <w:name w:val="Title"/>
    <w:basedOn w:val="Normal"/>
    <w:next w:val="Normal"/>
    <w:link w:val="TitleChar"/>
    <w:uiPriority w:val="10"/>
    <w:qFormat/>
    <w:rsid w:val="000003CD"/>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3CD"/>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0003CD"/>
    <w:pPr>
      <w:numPr>
        <w:ilvl w:val="1"/>
      </w:numPr>
    </w:pPr>
    <w:rPr>
      <w:rFonts w:eastAsiaTheme="minorEastAsia"/>
      <w:color w:val="8F9294" w:themeColor="text1" w:themeTint="A5"/>
      <w:spacing w:val="15"/>
    </w:rPr>
  </w:style>
  <w:style w:type="character" w:customStyle="1" w:styleId="SubtitleChar">
    <w:name w:val="Subtitle Char"/>
    <w:basedOn w:val="DefaultParagraphFont"/>
    <w:link w:val="Subtitle"/>
    <w:uiPriority w:val="11"/>
    <w:rsid w:val="000003CD"/>
    <w:rPr>
      <w:rFonts w:eastAsiaTheme="minorEastAsia"/>
      <w:color w:val="8F9294" w:themeColor="text1" w:themeTint="A5"/>
      <w:spacing w:val="15"/>
    </w:rPr>
  </w:style>
  <w:style w:type="character" w:styleId="SubtleEmphasis">
    <w:name w:val="Subtle Emphasis"/>
    <w:basedOn w:val="DefaultParagraphFont"/>
    <w:uiPriority w:val="19"/>
    <w:qFormat/>
    <w:rsid w:val="000003CD"/>
    <w:rPr>
      <w:i/>
      <w:iCs/>
      <w:color w:val="7E8084" w:themeColor="text1" w:themeTint="BF"/>
    </w:rPr>
  </w:style>
  <w:style w:type="character" w:styleId="Emphasis">
    <w:name w:val="Emphasis"/>
    <w:basedOn w:val="DefaultParagraphFont"/>
    <w:uiPriority w:val="20"/>
    <w:qFormat/>
    <w:rsid w:val="000003CD"/>
    <w:rPr>
      <w:i/>
      <w:iCs/>
    </w:rPr>
  </w:style>
  <w:style w:type="character" w:styleId="IntenseEmphasis">
    <w:name w:val="Intense Emphasis"/>
    <w:basedOn w:val="DefaultParagraphFont"/>
    <w:uiPriority w:val="21"/>
    <w:qFormat/>
    <w:rsid w:val="000003CD"/>
    <w:rPr>
      <w:i/>
      <w:iCs/>
      <w:color w:val="555759" w:themeColor="accent1"/>
    </w:rPr>
  </w:style>
  <w:style w:type="character" w:styleId="Strong">
    <w:name w:val="Strong"/>
    <w:basedOn w:val="DefaultParagraphFont"/>
    <w:uiPriority w:val="22"/>
    <w:qFormat/>
    <w:rsid w:val="000003CD"/>
    <w:rPr>
      <w:b/>
      <w:bCs/>
    </w:rPr>
  </w:style>
  <w:style w:type="paragraph" w:styleId="Quote">
    <w:name w:val="Quote"/>
    <w:basedOn w:val="Normal"/>
    <w:next w:val="Normal"/>
    <w:link w:val="QuoteChar"/>
    <w:uiPriority w:val="29"/>
    <w:qFormat/>
    <w:rsid w:val="000003CD"/>
    <w:pPr>
      <w:spacing w:before="200"/>
      <w:ind w:left="864" w:right="864"/>
      <w:jc w:val="center"/>
    </w:pPr>
    <w:rPr>
      <w:i/>
      <w:iCs/>
      <w:color w:val="7E8084" w:themeColor="text1" w:themeTint="BF"/>
    </w:rPr>
  </w:style>
  <w:style w:type="character" w:customStyle="1" w:styleId="QuoteChar">
    <w:name w:val="Quote Char"/>
    <w:basedOn w:val="DefaultParagraphFont"/>
    <w:link w:val="Quote"/>
    <w:uiPriority w:val="29"/>
    <w:rsid w:val="000003CD"/>
    <w:rPr>
      <w:rFonts w:ascii="Arial" w:hAnsi="Arial" w:cs="Arial"/>
      <w:i/>
      <w:iCs/>
      <w:color w:val="7E8084" w:themeColor="text1" w:themeTint="BF"/>
      <w:sz w:val="20"/>
      <w:szCs w:val="40"/>
    </w:rPr>
  </w:style>
  <w:style w:type="paragraph" w:styleId="IntenseQuote">
    <w:name w:val="Intense Quote"/>
    <w:basedOn w:val="Normal"/>
    <w:next w:val="Normal"/>
    <w:link w:val="IntenseQuoteChar"/>
    <w:uiPriority w:val="30"/>
    <w:qFormat/>
    <w:rsid w:val="000003CD"/>
    <w:pPr>
      <w:pBdr>
        <w:top w:val="single" w:sz="4" w:space="10" w:color="555759" w:themeColor="accent1"/>
        <w:bottom w:val="single" w:sz="4" w:space="10" w:color="555759" w:themeColor="accent1"/>
      </w:pBdr>
      <w:spacing w:before="360" w:after="360"/>
      <w:ind w:left="864" w:right="864"/>
      <w:jc w:val="center"/>
    </w:pPr>
    <w:rPr>
      <w:i/>
      <w:iCs/>
      <w:color w:val="555759" w:themeColor="accent1"/>
    </w:rPr>
  </w:style>
  <w:style w:type="character" w:customStyle="1" w:styleId="IntenseQuoteChar">
    <w:name w:val="Intense Quote Char"/>
    <w:basedOn w:val="DefaultParagraphFont"/>
    <w:link w:val="IntenseQuote"/>
    <w:uiPriority w:val="30"/>
    <w:rsid w:val="000003CD"/>
    <w:rPr>
      <w:rFonts w:ascii="Arial" w:hAnsi="Arial" w:cs="Arial"/>
      <w:i/>
      <w:iCs/>
      <w:color w:val="555759" w:themeColor="accent1"/>
      <w:sz w:val="20"/>
      <w:szCs w:val="40"/>
    </w:rPr>
  </w:style>
  <w:style w:type="character" w:styleId="IntenseReference">
    <w:name w:val="Intense Reference"/>
    <w:basedOn w:val="DefaultParagraphFont"/>
    <w:uiPriority w:val="32"/>
    <w:qFormat/>
    <w:rsid w:val="000003CD"/>
    <w:rPr>
      <w:b/>
      <w:bCs/>
      <w:smallCaps/>
      <w:color w:val="555759" w:themeColor="accent1"/>
      <w:spacing w:val="5"/>
    </w:rPr>
  </w:style>
  <w:style w:type="character" w:styleId="BookTitle">
    <w:name w:val="Book Title"/>
    <w:basedOn w:val="DefaultParagraphFont"/>
    <w:uiPriority w:val="33"/>
    <w:qFormat/>
    <w:rsid w:val="000003CD"/>
    <w:rPr>
      <w:b/>
      <w:bCs/>
      <w:i/>
      <w:iCs/>
      <w:spacing w:val="5"/>
    </w:rPr>
  </w:style>
  <w:style w:type="paragraph" w:styleId="ListParagraph">
    <w:name w:val="List Paragraph"/>
    <w:basedOn w:val="Normal"/>
    <w:uiPriority w:val="34"/>
    <w:qFormat/>
    <w:rsid w:val="000003CD"/>
    <w:pPr>
      <w:ind w:left="720"/>
      <w:contextualSpacing/>
    </w:pPr>
  </w:style>
  <w:style w:type="character" w:styleId="Hyperlink">
    <w:name w:val="Hyperlink"/>
    <w:basedOn w:val="DefaultParagraphFont"/>
    <w:uiPriority w:val="99"/>
    <w:unhideWhenUsed/>
    <w:rsid w:val="000003CD"/>
    <w:rPr>
      <w:color w:val="0093C9" w:themeColor="hyperlink"/>
      <w:u w:val="single"/>
    </w:rPr>
  </w:style>
  <w:style w:type="character" w:styleId="FollowedHyperlink">
    <w:name w:val="FollowedHyperlink"/>
    <w:basedOn w:val="DefaultParagraphFont"/>
    <w:uiPriority w:val="99"/>
    <w:semiHidden/>
    <w:unhideWhenUsed/>
    <w:rsid w:val="000003CD"/>
    <w:rPr>
      <w:color w:val="8B189B" w:themeColor="followedHyperlink"/>
      <w:u w:val="single"/>
    </w:rPr>
  </w:style>
  <w:style w:type="paragraph" w:customStyle="1" w:styleId="Default">
    <w:name w:val="Default"/>
    <w:rsid w:val="004915C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qFormat/>
    <w:rsid w:val="00407550"/>
    <w:pPr>
      <w:spacing w:after="0"/>
    </w:pPr>
    <w:rPr>
      <w:sz w:val="20"/>
      <w:szCs w:val="20"/>
    </w:rPr>
  </w:style>
  <w:style w:type="character" w:customStyle="1" w:styleId="FootnoteTextChar">
    <w:name w:val="Footnote Text Char"/>
    <w:basedOn w:val="DefaultParagraphFont"/>
    <w:link w:val="FootnoteText"/>
    <w:uiPriority w:val="99"/>
    <w:rsid w:val="00407550"/>
    <w:rPr>
      <w:rFonts w:asciiTheme="minorHAnsi" w:hAnsiTheme="minorHAnsi" w:cstheme="minorBidi"/>
      <w:szCs w:val="20"/>
    </w:rPr>
  </w:style>
  <w:style w:type="character" w:styleId="FootnoteReference">
    <w:name w:val="footnote reference"/>
    <w:basedOn w:val="DefaultParagraphFont"/>
    <w:uiPriority w:val="99"/>
    <w:unhideWhenUsed/>
    <w:rsid w:val="00407550"/>
    <w:rPr>
      <w:vertAlign w:val="superscript"/>
    </w:rPr>
  </w:style>
  <w:style w:type="paragraph" w:styleId="Caption">
    <w:name w:val="caption"/>
    <w:basedOn w:val="Normal"/>
    <w:next w:val="Normal"/>
    <w:uiPriority w:val="35"/>
    <w:unhideWhenUsed/>
    <w:qFormat/>
    <w:rsid w:val="00AA22C3"/>
    <w:rPr>
      <w:rFonts w:eastAsiaTheme="minorEastAsia"/>
      <w:b/>
      <w:bCs/>
      <w:color w:val="555759" w:themeColor="accent1"/>
      <w:sz w:val="18"/>
      <w:szCs w:val="18"/>
    </w:rPr>
  </w:style>
  <w:style w:type="character" w:styleId="CommentReference">
    <w:name w:val="annotation reference"/>
    <w:basedOn w:val="DefaultParagraphFont"/>
    <w:uiPriority w:val="99"/>
    <w:semiHidden/>
    <w:unhideWhenUsed/>
    <w:rsid w:val="00C84718"/>
    <w:rPr>
      <w:sz w:val="16"/>
      <w:szCs w:val="16"/>
    </w:rPr>
  </w:style>
  <w:style w:type="paragraph" w:styleId="CommentText">
    <w:name w:val="annotation text"/>
    <w:basedOn w:val="Normal"/>
    <w:link w:val="CommentTextChar"/>
    <w:uiPriority w:val="99"/>
    <w:unhideWhenUsed/>
    <w:rsid w:val="00C84718"/>
    <w:rPr>
      <w:sz w:val="20"/>
      <w:szCs w:val="20"/>
    </w:rPr>
  </w:style>
  <w:style w:type="character" w:customStyle="1" w:styleId="CommentTextChar">
    <w:name w:val="Comment Text Char"/>
    <w:basedOn w:val="DefaultParagraphFont"/>
    <w:link w:val="CommentText"/>
    <w:uiPriority w:val="99"/>
    <w:rsid w:val="00C84718"/>
    <w:rPr>
      <w:rFonts w:asciiTheme="minorHAnsi" w:hAnsiTheme="minorHAnsi" w:cstheme="minorBidi"/>
      <w:szCs w:val="20"/>
    </w:rPr>
  </w:style>
  <w:style w:type="paragraph" w:styleId="CommentSubject">
    <w:name w:val="annotation subject"/>
    <w:basedOn w:val="CommentText"/>
    <w:next w:val="CommentText"/>
    <w:link w:val="CommentSubjectChar"/>
    <w:uiPriority w:val="99"/>
    <w:semiHidden/>
    <w:unhideWhenUsed/>
    <w:rsid w:val="00C84718"/>
    <w:rPr>
      <w:b/>
      <w:bCs/>
    </w:rPr>
  </w:style>
  <w:style w:type="character" w:customStyle="1" w:styleId="CommentSubjectChar">
    <w:name w:val="Comment Subject Char"/>
    <w:basedOn w:val="CommentTextChar"/>
    <w:link w:val="CommentSubject"/>
    <w:uiPriority w:val="99"/>
    <w:semiHidden/>
    <w:rsid w:val="00C84718"/>
    <w:rPr>
      <w:rFonts w:asciiTheme="minorHAnsi" w:hAnsiTheme="minorHAnsi" w:cstheme="minorBidi"/>
      <w:b/>
      <w:bCs/>
      <w:szCs w:val="20"/>
    </w:rPr>
  </w:style>
  <w:style w:type="paragraph" w:styleId="BalloonText">
    <w:name w:val="Balloon Text"/>
    <w:basedOn w:val="Normal"/>
    <w:link w:val="BalloonTextChar"/>
    <w:uiPriority w:val="99"/>
    <w:semiHidden/>
    <w:unhideWhenUsed/>
    <w:rsid w:val="00C84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718"/>
    <w:rPr>
      <w:rFonts w:ascii="Tahoma" w:hAnsi="Tahoma" w:cs="Tahoma"/>
      <w:sz w:val="16"/>
      <w:szCs w:val="16"/>
    </w:rPr>
  </w:style>
  <w:style w:type="paragraph" w:styleId="Revision">
    <w:name w:val="Revision"/>
    <w:hidden/>
    <w:uiPriority w:val="99"/>
    <w:semiHidden/>
    <w:rsid w:val="00397332"/>
    <w:pPr>
      <w:spacing w:after="0" w:line="240" w:lineRule="auto"/>
    </w:pPr>
    <w:rPr>
      <w:rFonts w:asciiTheme="minorHAnsi" w:hAnsiTheme="minorHAnsi" w:cstheme="minorBidi"/>
      <w:sz w:val="22"/>
      <w:szCs w:val="22"/>
    </w:rPr>
  </w:style>
  <w:style w:type="table" w:styleId="TableGrid">
    <w:name w:val="Table Grid"/>
    <w:basedOn w:val="TableNormal"/>
    <w:uiPriority w:val="59"/>
    <w:rsid w:val="00A70EDC"/>
    <w:pPr>
      <w:spacing w:after="0" w:line="240" w:lineRule="auto"/>
    </w:pPr>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0C42"/>
    <w:pPr>
      <w:tabs>
        <w:tab w:val="center" w:pos="4320"/>
        <w:tab w:val="right" w:pos="8640"/>
      </w:tabs>
      <w:spacing w:after="0"/>
    </w:pPr>
  </w:style>
  <w:style w:type="character" w:customStyle="1" w:styleId="HeaderChar">
    <w:name w:val="Header Char"/>
    <w:basedOn w:val="DefaultParagraphFont"/>
    <w:link w:val="Header"/>
    <w:uiPriority w:val="99"/>
    <w:rsid w:val="00920C42"/>
    <w:rPr>
      <w:rFonts w:asciiTheme="minorHAnsi" w:hAnsiTheme="minorHAnsi" w:cstheme="minorBidi"/>
      <w:sz w:val="22"/>
      <w:szCs w:val="22"/>
    </w:rPr>
  </w:style>
  <w:style w:type="paragraph" w:styleId="Footer">
    <w:name w:val="footer"/>
    <w:basedOn w:val="Normal"/>
    <w:link w:val="FooterChar"/>
    <w:uiPriority w:val="99"/>
    <w:unhideWhenUsed/>
    <w:rsid w:val="00920C42"/>
    <w:pPr>
      <w:tabs>
        <w:tab w:val="center" w:pos="4320"/>
        <w:tab w:val="right" w:pos="8640"/>
      </w:tabs>
      <w:spacing w:after="0"/>
    </w:pPr>
  </w:style>
  <w:style w:type="character" w:customStyle="1" w:styleId="FooterChar">
    <w:name w:val="Footer Char"/>
    <w:basedOn w:val="DefaultParagraphFont"/>
    <w:link w:val="Footer"/>
    <w:uiPriority w:val="99"/>
    <w:rsid w:val="00920C42"/>
    <w:rPr>
      <w:rFonts w:asciiTheme="minorHAnsi" w:hAnsiTheme="minorHAnsi" w:cstheme="minorBidi"/>
      <w:sz w:val="22"/>
      <w:szCs w:val="22"/>
    </w:rPr>
  </w:style>
  <w:style w:type="character" w:styleId="PageNumber">
    <w:name w:val="page number"/>
    <w:basedOn w:val="DefaultParagraphFont"/>
    <w:uiPriority w:val="99"/>
    <w:semiHidden/>
    <w:unhideWhenUsed/>
    <w:rsid w:val="00AE2B3E"/>
  </w:style>
  <w:style w:type="character" w:styleId="LineNumber">
    <w:name w:val="line number"/>
    <w:basedOn w:val="DefaultParagraphFont"/>
    <w:uiPriority w:val="99"/>
    <w:semiHidden/>
    <w:unhideWhenUsed/>
    <w:rsid w:val="00A66AC6"/>
  </w:style>
  <w:style w:type="paragraph" w:styleId="DocumentMap">
    <w:name w:val="Document Map"/>
    <w:basedOn w:val="Normal"/>
    <w:link w:val="DocumentMapChar"/>
    <w:uiPriority w:val="99"/>
    <w:semiHidden/>
    <w:unhideWhenUsed/>
    <w:rsid w:val="0036071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0714"/>
    <w:rPr>
      <w:rFonts w:ascii="Lucida Grande" w:hAnsi="Lucida Grande" w:cs="Lucida Grande"/>
      <w:sz w:val="24"/>
      <w:szCs w:val="24"/>
    </w:rPr>
  </w:style>
  <w:style w:type="paragraph" w:styleId="EndnoteText">
    <w:name w:val="endnote text"/>
    <w:basedOn w:val="Normal"/>
    <w:link w:val="EndnoteTextChar"/>
    <w:uiPriority w:val="99"/>
    <w:unhideWhenUsed/>
    <w:rsid w:val="00E43DE8"/>
    <w:pPr>
      <w:spacing w:after="0"/>
    </w:pPr>
  </w:style>
  <w:style w:type="character" w:customStyle="1" w:styleId="EndnoteTextChar">
    <w:name w:val="Endnote Text Char"/>
    <w:basedOn w:val="DefaultParagraphFont"/>
    <w:link w:val="EndnoteText"/>
    <w:uiPriority w:val="99"/>
    <w:rsid w:val="00E43DE8"/>
    <w:rPr>
      <w:rFonts w:asciiTheme="minorHAnsi" w:hAnsiTheme="minorHAnsi" w:cstheme="minorBidi"/>
      <w:sz w:val="24"/>
      <w:szCs w:val="24"/>
    </w:rPr>
  </w:style>
  <w:style w:type="character" w:styleId="EndnoteReference">
    <w:name w:val="endnote reference"/>
    <w:basedOn w:val="DefaultParagraphFont"/>
    <w:uiPriority w:val="99"/>
    <w:unhideWhenUsed/>
    <w:rsid w:val="00E43DE8"/>
    <w:rPr>
      <w:vertAlign w:val="superscript"/>
    </w:rPr>
  </w:style>
  <w:style w:type="paragraph" w:styleId="Bibliography">
    <w:name w:val="Bibliography"/>
    <w:basedOn w:val="Normal"/>
    <w:next w:val="Normal"/>
    <w:uiPriority w:val="37"/>
    <w:unhideWhenUsed/>
    <w:rsid w:val="00F4625F"/>
  </w:style>
  <w:style w:type="character" w:customStyle="1" w:styleId="Heading4Char">
    <w:name w:val="Heading 4 Char"/>
    <w:basedOn w:val="DefaultParagraphFont"/>
    <w:link w:val="Heading4"/>
    <w:uiPriority w:val="9"/>
    <w:rsid w:val="00F32AA0"/>
    <w:rPr>
      <w:rFonts w:asciiTheme="majorHAnsi" w:eastAsiaTheme="majorEastAsia" w:hAnsiTheme="majorHAnsi" w:cstheme="majorBidi"/>
      <w:b/>
      <w:bCs/>
      <w:i/>
      <w:iCs/>
      <w:color w:val="555759"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Cs w:val="40"/>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CFA"/>
    <w:pPr>
      <w:spacing w:after="200" w:line="240" w:lineRule="auto"/>
    </w:pPr>
    <w:rPr>
      <w:rFonts w:asciiTheme="minorHAnsi" w:hAnsiTheme="minorHAnsi" w:cstheme="minorBidi"/>
      <w:sz w:val="24"/>
      <w:szCs w:val="24"/>
    </w:rPr>
  </w:style>
  <w:style w:type="paragraph" w:styleId="Heading1">
    <w:name w:val="heading 1"/>
    <w:basedOn w:val="Normal"/>
    <w:next w:val="Normal"/>
    <w:link w:val="Heading1Char"/>
    <w:uiPriority w:val="9"/>
    <w:qFormat/>
    <w:rsid w:val="000B7ED8"/>
    <w:pPr>
      <w:keepNext/>
      <w:keepLines/>
      <w:numPr>
        <w:numId w:val="4"/>
      </w:numPr>
      <w:spacing w:before="240" w:after="0"/>
      <w:outlineLvl w:val="0"/>
    </w:pPr>
    <w:rPr>
      <w:rFonts w:eastAsiaTheme="majorEastAsia" w:cstheme="majorBidi"/>
      <w:color w:val="3F4042" w:themeColor="accent1" w:themeShade="BF"/>
      <w:sz w:val="32"/>
      <w:szCs w:val="32"/>
    </w:rPr>
  </w:style>
  <w:style w:type="paragraph" w:styleId="Heading2">
    <w:name w:val="heading 2"/>
    <w:basedOn w:val="Normal"/>
    <w:next w:val="Normal"/>
    <w:link w:val="Heading2Char"/>
    <w:uiPriority w:val="9"/>
    <w:unhideWhenUsed/>
    <w:qFormat/>
    <w:rsid w:val="002C4530"/>
    <w:pPr>
      <w:keepNext/>
      <w:keepLines/>
      <w:numPr>
        <w:ilvl w:val="1"/>
        <w:numId w:val="7"/>
      </w:numPr>
      <w:spacing w:before="40" w:after="0"/>
      <w:outlineLvl w:val="1"/>
    </w:pPr>
    <w:rPr>
      <w:rFonts w:eastAsiaTheme="majorEastAsia" w:cstheme="majorBidi"/>
      <w:color w:val="3F4042" w:themeColor="accent1" w:themeShade="BF"/>
      <w:sz w:val="26"/>
      <w:szCs w:val="26"/>
    </w:rPr>
  </w:style>
  <w:style w:type="paragraph" w:styleId="Heading3">
    <w:name w:val="heading 3"/>
    <w:basedOn w:val="Normal"/>
    <w:next w:val="Normal"/>
    <w:link w:val="Heading3Char"/>
    <w:uiPriority w:val="9"/>
    <w:unhideWhenUsed/>
    <w:qFormat/>
    <w:rsid w:val="000003CD"/>
    <w:pPr>
      <w:keepNext/>
      <w:keepLines/>
      <w:spacing w:before="40" w:after="0"/>
      <w:outlineLvl w:val="2"/>
    </w:pPr>
    <w:rPr>
      <w:rFonts w:eastAsiaTheme="majorEastAsia" w:cstheme="majorBidi"/>
      <w:color w:val="2A2B2C" w:themeColor="accent1" w:themeShade="7F"/>
    </w:rPr>
  </w:style>
  <w:style w:type="paragraph" w:styleId="Heading4">
    <w:name w:val="heading 4"/>
    <w:basedOn w:val="Normal"/>
    <w:next w:val="Normal"/>
    <w:link w:val="Heading4Char"/>
    <w:uiPriority w:val="9"/>
    <w:unhideWhenUsed/>
    <w:qFormat/>
    <w:rsid w:val="00F32AA0"/>
    <w:pPr>
      <w:keepNext/>
      <w:keepLines/>
      <w:spacing w:before="200" w:after="0"/>
      <w:outlineLvl w:val="3"/>
    </w:pPr>
    <w:rPr>
      <w:rFonts w:asciiTheme="majorHAnsi" w:eastAsiaTheme="majorEastAsia" w:hAnsiTheme="majorHAnsi" w:cstheme="majorBidi"/>
      <w:b/>
      <w:bCs/>
      <w:i/>
      <w:iCs/>
      <w:color w:val="55575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03CD"/>
    <w:pPr>
      <w:spacing w:after="0" w:line="240" w:lineRule="auto"/>
    </w:pPr>
  </w:style>
  <w:style w:type="character" w:customStyle="1" w:styleId="Heading2Char">
    <w:name w:val="Heading 2 Char"/>
    <w:basedOn w:val="DefaultParagraphFont"/>
    <w:link w:val="Heading2"/>
    <w:uiPriority w:val="9"/>
    <w:rsid w:val="002C4530"/>
    <w:rPr>
      <w:rFonts w:asciiTheme="minorHAnsi" w:eastAsiaTheme="majorEastAsia" w:hAnsiTheme="minorHAnsi" w:cstheme="majorBidi"/>
      <w:color w:val="3F4042" w:themeColor="accent1" w:themeShade="BF"/>
      <w:sz w:val="26"/>
      <w:szCs w:val="26"/>
    </w:rPr>
  </w:style>
  <w:style w:type="character" w:customStyle="1" w:styleId="Heading3Char">
    <w:name w:val="Heading 3 Char"/>
    <w:basedOn w:val="DefaultParagraphFont"/>
    <w:link w:val="Heading3"/>
    <w:uiPriority w:val="9"/>
    <w:rsid w:val="000003CD"/>
    <w:rPr>
      <w:rFonts w:ascii="Arial" w:eastAsiaTheme="majorEastAsia" w:hAnsi="Arial" w:cstheme="majorBidi"/>
      <w:color w:val="2A2B2C" w:themeColor="accent1" w:themeShade="7F"/>
      <w:sz w:val="24"/>
      <w:szCs w:val="24"/>
    </w:rPr>
  </w:style>
  <w:style w:type="character" w:customStyle="1" w:styleId="Heading1Char">
    <w:name w:val="Heading 1 Char"/>
    <w:basedOn w:val="DefaultParagraphFont"/>
    <w:link w:val="Heading1"/>
    <w:uiPriority w:val="9"/>
    <w:rsid w:val="000B7ED8"/>
    <w:rPr>
      <w:rFonts w:asciiTheme="minorHAnsi" w:eastAsiaTheme="majorEastAsia" w:hAnsiTheme="minorHAnsi" w:cstheme="majorBidi"/>
      <w:color w:val="3F4042" w:themeColor="accent1" w:themeShade="BF"/>
      <w:sz w:val="32"/>
      <w:szCs w:val="32"/>
    </w:rPr>
  </w:style>
  <w:style w:type="character" w:styleId="SubtleReference">
    <w:name w:val="Subtle Reference"/>
    <w:basedOn w:val="DefaultParagraphFont"/>
    <w:uiPriority w:val="31"/>
    <w:qFormat/>
    <w:rsid w:val="000003CD"/>
    <w:rPr>
      <w:smallCaps/>
      <w:color w:val="8F9294" w:themeColor="text1" w:themeTint="A5"/>
    </w:rPr>
  </w:style>
  <w:style w:type="paragraph" w:styleId="Title">
    <w:name w:val="Title"/>
    <w:basedOn w:val="Normal"/>
    <w:next w:val="Normal"/>
    <w:link w:val="TitleChar"/>
    <w:uiPriority w:val="10"/>
    <w:qFormat/>
    <w:rsid w:val="000003CD"/>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3CD"/>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0003CD"/>
    <w:pPr>
      <w:numPr>
        <w:ilvl w:val="1"/>
      </w:numPr>
    </w:pPr>
    <w:rPr>
      <w:rFonts w:eastAsiaTheme="minorEastAsia"/>
      <w:color w:val="8F9294" w:themeColor="text1" w:themeTint="A5"/>
      <w:spacing w:val="15"/>
    </w:rPr>
  </w:style>
  <w:style w:type="character" w:customStyle="1" w:styleId="SubtitleChar">
    <w:name w:val="Subtitle Char"/>
    <w:basedOn w:val="DefaultParagraphFont"/>
    <w:link w:val="Subtitle"/>
    <w:uiPriority w:val="11"/>
    <w:rsid w:val="000003CD"/>
    <w:rPr>
      <w:rFonts w:eastAsiaTheme="minorEastAsia"/>
      <w:color w:val="8F9294" w:themeColor="text1" w:themeTint="A5"/>
      <w:spacing w:val="15"/>
    </w:rPr>
  </w:style>
  <w:style w:type="character" w:styleId="SubtleEmphasis">
    <w:name w:val="Subtle Emphasis"/>
    <w:basedOn w:val="DefaultParagraphFont"/>
    <w:uiPriority w:val="19"/>
    <w:qFormat/>
    <w:rsid w:val="000003CD"/>
    <w:rPr>
      <w:i/>
      <w:iCs/>
      <w:color w:val="7E8084" w:themeColor="text1" w:themeTint="BF"/>
    </w:rPr>
  </w:style>
  <w:style w:type="character" w:styleId="Emphasis">
    <w:name w:val="Emphasis"/>
    <w:basedOn w:val="DefaultParagraphFont"/>
    <w:uiPriority w:val="20"/>
    <w:qFormat/>
    <w:rsid w:val="000003CD"/>
    <w:rPr>
      <w:i/>
      <w:iCs/>
    </w:rPr>
  </w:style>
  <w:style w:type="character" w:styleId="IntenseEmphasis">
    <w:name w:val="Intense Emphasis"/>
    <w:basedOn w:val="DefaultParagraphFont"/>
    <w:uiPriority w:val="21"/>
    <w:qFormat/>
    <w:rsid w:val="000003CD"/>
    <w:rPr>
      <w:i/>
      <w:iCs/>
      <w:color w:val="555759" w:themeColor="accent1"/>
    </w:rPr>
  </w:style>
  <w:style w:type="character" w:styleId="Strong">
    <w:name w:val="Strong"/>
    <w:basedOn w:val="DefaultParagraphFont"/>
    <w:uiPriority w:val="22"/>
    <w:qFormat/>
    <w:rsid w:val="000003CD"/>
    <w:rPr>
      <w:b/>
      <w:bCs/>
    </w:rPr>
  </w:style>
  <w:style w:type="paragraph" w:styleId="Quote">
    <w:name w:val="Quote"/>
    <w:basedOn w:val="Normal"/>
    <w:next w:val="Normal"/>
    <w:link w:val="QuoteChar"/>
    <w:uiPriority w:val="29"/>
    <w:qFormat/>
    <w:rsid w:val="000003CD"/>
    <w:pPr>
      <w:spacing w:before="200"/>
      <w:ind w:left="864" w:right="864"/>
      <w:jc w:val="center"/>
    </w:pPr>
    <w:rPr>
      <w:i/>
      <w:iCs/>
      <w:color w:val="7E8084" w:themeColor="text1" w:themeTint="BF"/>
    </w:rPr>
  </w:style>
  <w:style w:type="character" w:customStyle="1" w:styleId="QuoteChar">
    <w:name w:val="Quote Char"/>
    <w:basedOn w:val="DefaultParagraphFont"/>
    <w:link w:val="Quote"/>
    <w:uiPriority w:val="29"/>
    <w:rsid w:val="000003CD"/>
    <w:rPr>
      <w:rFonts w:ascii="Arial" w:hAnsi="Arial" w:cs="Arial"/>
      <w:i/>
      <w:iCs/>
      <w:color w:val="7E8084" w:themeColor="text1" w:themeTint="BF"/>
      <w:sz w:val="20"/>
      <w:szCs w:val="40"/>
    </w:rPr>
  </w:style>
  <w:style w:type="paragraph" w:styleId="IntenseQuote">
    <w:name w:val="Intense Quote"/>
    <w:basedOn w:val="Normal"/>
    <w:next w:val="Normal"/>
    <w:link w:val="IntenseQuoteChar"/>
    <w:uiPriority w:val="30"/>
    <w:qFormat/>
    <w:rsid w:val="000003CD"/>
    <w:pPr>
      <w:pBdr>
        <w:top w:val="single" w:sz="4" w:space="10" w:color="555759" w:themeColor="accent1"/>
        <w:bottom w:val="single" w:sz="4" w:space="10" w:color="555759" w:themeColor="accent1"/>
      </w:pBdr>
      <w:spacing w:before="360" w:after="360"/>
      <w:ind w:left="864" w:right="864"/>
      <w:jc w:val="center"/>
    </w:pPr>
    <w:rPr>
      <w:i/>
      <w:iCs/>
      <w:color w:val="555759" w:themeColor="accent1"/>
    </w:rPr>
  </w:style>
  <w:style w:type="character" w:customStyle="1" w:styleId="IntenseQuoteChar">
    <w:name w:val="Intense Quote Char"/>
    <w:basedOn w:val="DefaultParagraphFont"/>
    <w:link w:val="IntenseQuote"/>
    <w:uiPriority w:val="30"/>
    <w:rsid w:val="000003CD"/>
    <w:rPr>
      <w:rFonts w:ascii="Arial" w:hAnsi="Arial" w:cs="Arial"/>
      <w:i/>
      <w:iCs/>
      <w:color w:val="555759" w:themeColor="accent1"/>
      <w:sz w:val="20"/>
      <w:szCs w:val="40"/>
    </w:rPr>
  </w:style>
  <w:style w:type="character" w:styleId="IntenseReference">
    <w:name w:val="Intense Reference"/>
    <w:basedOn w:val="DefaultParagraphFont"/>
    <w:uiPriority w:val="32"/>
    <w:qFormat/>
    <w:rsid w:val="000003CD"/>
    <w:rPr>
      <w:b/>
      <w:bCs/>
      <w:smallCaps/>
      <w:color w:val="555759" w:themeColor="accent1"/>
      <w:spacing w:val="5"/>
    </w:rPr>
  </w:style>
  <w:style w:type="character" w:styleId="BookTitle">
    <w:name w:val="Book Title"/>
    <w:basedOn w:val="DefaultParagraphFont"/>
    <w:uiPriority w:val="33"/>
    <w:qFormat/>
    <w:rsid w:val="000003CD"/>
    <w:rPr>
      <w:b/>
      <w:bCs/>
      <w:i/>
      <w:iCs/>
      <w:spacing w:val="5"/>
    </w:rPr>
  </w:style>
  <w:style w:type="paragraph" w:styleId="ListParagraph">
    <w:name w:val="List Paragraph"/>
    <w:basedOn w:val="Normal"/>
    <w:uiPriority w:val="34"/>
    <w:qFormat/>
    <w:rsid w:val="000003CD"/>
    <w:pPr>
      <w:ind w:left="720"/>
      <w:contextualSpacing/>
    </w:pPr>
  </w:style>
  <w:style w:type="character" w:styleId="Hyperlink">
    <w:name w:val="Hyperlink"/>
    <w:basedOn w:val="DefaultParagraphFont"/>
    <w:uiPriority w:val="99"/>
    <w:unhideWhenUsed/>
    <w:rsid w:val="000003CD"/>
    <w:rPr>
      <w:color w:val="0093C9" w:themeColor="hyperlink"/>
      <w:u w:val="single"/>
    </w:rPr>
  </w:style>
  <w:style w:type="character" w:styleId="FollowedHyperlink">
    <w:name w:val="FollowedHyperlink"/>
    <w:basedOn w:val="DefaultParagraphFont"/>
    <w:uiPriority w:val="99"/>
    <w:semiHidden/>
    <w:unhideWhenUsed/>
    <w:rsid w:val="000003CD"/>
    <w:rPr>
      <w:color w:val="8B189B" w:themeColor="followedHyperlink"/>
      <w:u w:val="single"/>
    </w:rPr>
  </w:style>
  <w:style w:type="paragraph" w:customStyle="1" w:styleId="Default">
    <w:name w:val="Default"/>
    <w:rsid w:val="004915C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qFormat/>
    <w:rsid w:val="00407550"/>
    <w:pPr>
      <w:spacing w:after="0"/>
    </w:pPr>
    <w:rPr>
      <w:sz w:val="20"/>
      <w:szCs w:val="20"/>
    </w:rPr>
  </w:style>
  <w:style w:type="character" w:customStyle="1" w:styleId="FootnoteTextChar">
    <w:name w:val="Footnote Text Char"/>
    <w:basedOn w:val="DefaultParagraphFont"/>
    <w:link w:val="FootnoteText"/>
    <w:uiPriority w:val="99"/>
    <w:rsid w:val="00407550"/>
    <w:rPr>
      <w:rFonts w:asciiTheme="minorHAnsi" w:hAnsiTheme="minorHAnsi" w:cstheme="minorBidi"/>
      <w:szCs w:val="20"/>
    </w:rPr>
  </w:style>
  <w:style w:type="character" w:styleId="FootnoteReference">
    <w:name w:val="footnote reference"/>
    <w:basedOn w:val="DefaultParagraphFont"/>
    <w:uiPriority w:val="99"/>
    <w:unhideWhenUsed/>
    <w:rsid w:val="00407550"/>
    <w:rPr>
      <w:vertAlign w:val="superscript"/>
    </w:rPr>
  </w:style>
  <w:style w:type="paragraph" w:styleId="Caption">
    <w:name w:val="caption"/>
    <w:basedOn w:val="Normal"/>
    <w:next w:val="Normal"/>
    <w:uiPriority w:val="35"/>
    <w:unhideWhenUsed/>
    <w:qFormat/>
    <w:rsid w:val="00AA22C3"/>
    <w:rPr>
      <w:rFonts w:eastAsiaTheme="minorEastAsia"/>
      <w:b/>
      <w:bCs/>
      <w:color w:val="555759" w:themeColor="accent1"/>
      <w:sz w:val="18"/>
      <w:szCs w:val="18"/>
    </w:rPr>
  </w:style>
  <w:style w:type="character" w:styleId="CommentReference">
    <w:name w:val="annotation reference"/>
    <w:basedOn w:val="DefaultParagraphFont"/>
    <w:uiPriority w:val="99"/>
    <w:semiHidden/>
    <w:unhideWhenUsed/>
    <w:rsid w:val="00C84718"/>
    <w:rPr>
      <w:sz w:val="16"/>
      <w:szCs w:val="16"/>
    </w:rPr>
  </w:style>
  <w:style w:type="paragraph" w:styleId="CommentText">
    <w:name w:val="annotation text"/>
    <w:basedOn w:val="Normal"/>
    <w:link w:val="CommentTextChar"/>
    <w:uiPriority w:val="99"/>
    <w:unhideWhenUsed/>
    <w:rsid w:val="00C84718"/>
    <w:rPr>
      <w:sz w:val="20"/>
      <w:szCs w:val="20"/>
    </w:rPr>
  </w:style>
  <w:style w:type="character" w:customStyle="1" w:styleId="CommentTextChar">
    <w:name w:val="Comment Text Char"/>
    <w:basedOn w:val="DefaultParagraphFont"/>
    <w:link w:val="CommentText"/>
    <w:uiPriority w:val="99"/>
    <w:rsid w:val="00C84718"/>
    <w:rPr>
      <w:rFonts w:asciiTheme="minorHAnsi" w:hAnsiTheme="minorHAnsi" w:cstheme="minorBidi"/>
      <w:szCs w:val="20"/>
    </w:rPr>
  </w:style>
  <w:style w:type="paragraph" w:styleId="CommentSubject">
    <w:name w:val="annotation subject"/>
    <w:basedOn w:val="CommentText"/>
    <w:next w:val="CommentText"/>
    <w:link w:val="CommentSubjectChar"/>
    <w:uiPriority w:val="99"/>
    <w:semiHidden/>
    <w:unhideWhenUsed/>
    <w:rsid w:val="00C84718"/>
    <w:rPr>
      <w:b/>
      <w:bCs/>
    </w:rPr>
  </w:style>
  <w:style w:type="character" w:customStyle="1" w:styleId="CommentSubjectChar">
    <w:name w:val="Comment Subject Char"/>
    <w:basedOn w:val="CommentTextChar"/>
    <w:link w:val="CommentSubject"/>
    <w:uiPriority w:val="99"/>
    <w:semiHidden/>
    <w:rsid w:val="00C84718"/>
    <w:rPr>
      <w:rFonts w:asciiTheme="minorHAnsi" w:hAnsiTheme="minorHAnsi" w:cstheme="minorBidi"/>
      <w:b/>
      <w:bCs/>
      <w:szCs w:val="20"/>
    </w:rPr>
  </w:style>
  <w:style w:type="paragraph" w:styleId="BalloonText">
    <w:name w:val="Balloon Text"/>
    <w:basedOn w:val="Normal"/>
    <w:link w:val="BalloonTextChar"/>
    <w:uiPriority w:val="99"/>
    <w:semiHidden/>
    <w:unhideWhenUsed/>
    <w:rsid w:val="00C84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718"/>
    <w:rPr>
      <w:rFonts w:ascii="Tahoma" w:hAnsi="Tahoma" w:cs="Tahoma"/>
      <w:sz w:val="16"/>
      <w:szCs w:val="16"/>
    </w:rPr>
  </w:style>
  <w:style w:type="paragraph" w:styleId="Revision">
    <w:name w:val="Revision"/>
    <w:hidden/>
    <w:uiPriority w:val="99"/>
    <w:semiHidden/>
    <w:rsid w:val="00397332"/>
    <w:pPr>
      <w:spacing w:after="0" w:line="240" w:lineRule="auto"/>
    </w:pPr>
    <w:rPr>
      <w:rFonts w:asciiTheme="minorHAnsi" w:hAnsiTheme="minorHAnsi" w:cstheme="minorBidi"/>
      <w:sz w:val="22"/>
      <w:szCs w:val="22"/>
    </w:rPr>
  </w:style>
  <w:style w:type="table" w:styleId="TableGrid">
    <w:name w:val="Table Grid"/>
    <w:basedOn w:val="TableNormal"/>
    <w:uiPriority w:val="59"/>
    <w:rsid w:val="00A70EDC"/>
    <w:pPr>
      <w:spacing w:after="0" w:line="240" w:lineRule="auto"/>
    </w:pPr>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0C42"/>
    <w:pPr>
      <w:tabs>
        <w:tab w:val="center" w:pos="4320"/>
        <w:tab w:val="right" w:pos="8640"/>
      </w:tabs>
      <w:spacing w:after="0"/>
    </w:pPr>
  </w:style>
  <w:style w:type="character" w:customStyle="1" w:styleId="HeaderChar">
    <w:name w:val="Header Char"/>
    <w:basedOn w:val="DefaultParagraphFont"/>
    <w:link w:val="Header"/>
    <w:uiPriority w:val="99"/>
    <w:rsid w:val="00920C42"/>
    <w:rPr>
      <w:rFonts w:asciiTheme="minorHAnsi" w:hAnsiTheme="minorHAnsi" w:cstheme="minorBidi"/>
      <w:sz w:val="22"/>
      <w:szCs w:val="22"/>
    </w:rPr>
  </w:style>
  <w:style w:type="paragraph" w:styleId="Footer">
    <w:name w:val="footer"/>
    <w:basedOn w:val="Normal"/>
    <w:link w:val="FooterChar"/>
    <w:uiPriority w:val="99"/>
    <w:unhideWhenUsed/>
    <w:rsid w:val="00920C42"/>
    <w:pPr>
      <w:tabs>
        <w:tab w:val="center" w:pos="4320"/>
        <w:tab w:val="right" w:pos="8640"/>
      </w:tabs>
      <w:spacing w:after="0"/>
    </w:pPr>
  </w:style>
  <w:style w:type="character" w:customStyle="1" w:styleId="FooterChar">
    <w:name w:val="Footer Char"/>
    <w:basedOn w:val="DefaultParagraphFont"/>
    <w:link w:val="Footer"/>
    <w:uiPriority w:val="99"/>
    <w:rsid w:val="00920C42"/>
    <w:rPr>
      <w:rFonts w:asciiTheme="minorHAnsi" w:hAnsiTheme="minorHAnsi" w:cstheme="minorBidi"/>
      <w:sz w:val="22"/>
      <w:szCs w:val="22"/>
    </w:rPr>
  </w:style>
  <w:style w:type="character" w:styleId="PageNumber">
    <w:name w:val="page number"/>
    <w:basedOn w:val="DefaultParagraphFont"/>
    <w:uiPriority w:val="99"/>
    <w:semiHidden/>
    <w:unhideWhenUsed/>
    <w:rsid w:val="00AE2B3E"/>
  </w:style>
  <w:style w:type="character" w:styleId="LineNumber">
    <w:name w:val="line number"/>
    <w:basedOn w:val="DefaultParagraphFont"/>
    <w:uiPriority w:val="99"/>
    <w:semiHidden/>
    <w:unhideWhenUsed/>
    <w:rsid w:val="00A66AC6"/>
  </w:style>
  <w:style w:type="paragraph" w:styleId="DocumentMap">
    <w:name w:val="Document Map"/>
    <w:basedOn w:val="Normal"/>
    <w:link w:val="DocumentMapChar"/>
    <w:uiPriority w:val="99"/>
    <w:semiHidden/>
    <w:unhideWhenUsed/>
    <w:rsid w:val="0036071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0714"/>
    <w:rPr>
      <w:rFonts w:ascii="Lucida Grande" w:hAnsi="Lucida Grande" w:cs="Lucida Grande"/>
      <w:sz w:val="24"/>
      <w:szCs w:val="24"/>
    </w:rPr>
  </w:style>
  <w:style w:type="paragraph" w:styleId="EndnoteText">
    <w:name w:val="endnote text"/>
    <w:basedOn w:val="Normal"/>
    <w:link w:val="EndnoteTextChar"/>
    <w:uiPriority w:val="99"/>
    <w:unhideWhenUsed/>
    <w:rsid w:val="00E43DE8"/>
    <w:pPr>
      <w:spacing w:after="0"/>
    </w:pPr>
  </w:style>
  <w:style w:type="character" w:customStyle="1" w:styleId="EndnoteTextChar">
    <w:name w:val="Endnote Text Char"/>
    <w:basedOn w:val="DefaultParagraphFont"/>
    <w:link w:val="EndnoteText"/>
    <w:uiPriority w:val="99"/>
    <w:rsid w:val="00E43DE8"/>
    <w:rPr>
      <w:rFonts w:asciiTheme="minorHAnsi" w:hAnsiTheme="minorHAnsi" w:cstheme="minorBidi"/>
      <w:sz w:val="24"/>
      <w:szCs w:val="24"/>
    </w:rPr>
  </w:style>
  <w:style w:type="character" w:styleId="EndnoteReference">
    <w:name w:val="endnote reference"/>
    <w:basedOn w:val="DefaultParagraphFont"/>
    <w:uiPriority w:val="99"/>
    <w:unhideWhenUsed/>
    <w:rsid w:val="00E43DE8"/>
    <w:rPr>
      <w:vertAlign w:val="superscript"/>
    </w:rPr>
  </w:style>
  <w:style w:type="paragraph" w:styleId="Bibliography">
    <w:name w:val="Bibliography"/>
    <w:basedOn w:val="Normal"/>
    <w:next w:val="Normal"/>
    <w:uiPriority w:val="37"/>
    <w:unhideWhenUsed/>
    <w:rsid w:val="00F4625F"/>
  </w:style>
  <w:style w:type="character" w:customStyle="1" w:styleId="Heading4Char">
    <w:name w:val="Heading 4 Char"/>
    <w:basedOn w:val="DefaultParagraphFont"/>
    <w:link w:val="Heading4"/>
    <w:uiPriority w:val="9"/>
    <w:rsid w:val="00F32AA0"/>
    <w:rPr>
      <w:rFonts w:asciiTheme="majorHAnsi" w:eastAsiaTheme="majorEastAsia" w:hAnsiTheme="majorHAnsi" w:cstheme="majorBidi"/>
      <w:b/>
      <w:bCs/>
      <w:i/>
      <w:iCs/>
      <w:color w:val="555759"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04091">
      <w:bodyDiv w:val="1"/>
      <w:marLeft w:val="0"/>
      <w:marRight w:val="0"/>
      <w:marTop w:val="0"/>
      <w:marBottom w:val="0"/>
      <w:divBdr>
        <w:top w:val="none" w:sz="0" w:space="0" w:color="auto"/>
        <w:left w:val="none" w:sz="0" w:space="0" w:color="auto"/>
        <w:bottom w:val="none" w:sz="0" w:space="0" w:color="auto"/>
        <w:right w:val="none" w:sz="0" w:space="0" w:color="auto"/>
      </w:divBdr>
    </w:div>
    <w:div w:id="352809723">
      <w:bodyDiv w:val="1"/>
      <w:marLeft w:val="0"/>
      <w:marRight w:val="0"/>
      <w:marTop w:val="0"/>
      <w:marBottom w:val="0"/>
      <w:divBdr>
        <w:top w:val="none" w:sz="0" w:space="0" w:color="auto"/>
        <w:left w:val="none" w:sz="0" w:space="0" w:color="auto"/>
        <w:bottom w:val="none" w:sz="0" w:space="0" w:color="auto"/>
        <w:right w:val="none" w:sz="0" w:space="0" w:color="auto"/>
      </w:divBdr>
      <w:divsChild>
        <w:div w:id="675771114">
          <w:marLeft w:val="0"/>
          <w:marRight w:val="0"/>
          <w:marTop w:val="0"/>
          <w:marBottom w:val="0"/>
          <w:divBdr>
            <w:top w:val="none" w:sz="0" w:space="0" w:color="auto"/>
            <w:left w:val="none" w:sz="0" w:space="0" w:color="auto"/>
            <w:bottom w:val="none" w:sz="0" w:space="0" w:color="auto"/>
            <w:right w:val="none" w:sz="0" w:space="0" w:color="auto"/>
          </w:divBdr>
          <w:divsChild>
            <w:div w:id="935136065">
              <w:marLeft w:val="0"/>
              <w:marRight w:val="0"/>
              <w:marTop w:val="0"/>
              <w:marBottom w:val="0"/>
              <w:divBdr>
                <w:top w:val="none" w:sz="0" w:space="0" w:color="auto"/>
                <w:left w:val="none" w:sz="0" w:space="0" w:color="auto"/>
                <w:bottom w:val="none" w:sz="0" w:space="0" w:color="auto"/>
                <w:right w:val="none" w:sz="0" w:space="0" w:color="auto"/>
              </w:divBdr>
            </w:div>
            <w:div w:id="1002898256">
              <w:marLeft w:val="0"/>
              <w:marRight w:val="0"/>
              <w:marTop w:val="0"/>
              <w:marBottom w:val="0"/>
              <w:divBdr>
                <w:top w:val="none" w:sz="0" w:space="0" w:color="auto"/>
                <w:left w:val="none" w:sz="0" w:space="0" w:color="auto"/>
                <w:bottom w:val="none" w:sz="0" w:space="0" w:color="auto"/>
                <w:right w:val="none" w:sz="0" w:space="0" w:color="auto"/>
              </w:divBdr>
            </w:div>
            <w:div w:id="784081606">
              <w:marLeft w:val="0"/>
              <w:marRight w:val="0"/>
              <w:marTop w:val="0"/>
              <w:marBottom w:val="0"/>
              <w:divBdr>
                <w:top w:val="none" w:sz="0" w:space="0" w:color="auto"/>
                <w:left w:val="none" w:sz="0" w:space="0" w:color="auto"/>
                <w:bottom w:val="none" w:sz="0" w:space="0" w:color="auto"/>
                <w:right w:val="none" w:sz="0" w:space="0" w:color="auto"/>
              </w:divBdr>
            </w:div>
            <w:div w:id="135417844">
              <w:marLeft w:val="0"/>
              <w:marRight w:val="0"/>
              <w:marTop w:val="0"/>
              <w:marBottom w:val="0"/>
              <w:divBdr>
                <w:top w:val="none" w:sz="0" w:space="0" w:color="auto"/>
                <w:left w:val="none" w:sz="0" w:space="0" w:color="auto"/>
                <w:bottom w:val="none" w:sz="0" w:space="0" w:color="auto"/>
                <w:right w:val="none" w:sz="0" w:space="0" w:color="auto"/>
              </w:divBdr>
            </w:div>
            <w:div w:id="1893541095">
              <w:marLeft w:val="0"/>
              <w:marRight w:val="0"/>
              <w:marTop w:val="0"/>
              <w:marBottom w:val="0"/>
              <w:divBdr>
                <w:top w:val="none" w:sz="0" w:space="0" w:color="auto"/>
                <w:left w:val="none" w:sz="0" w:space="0" w:color="auto"/>
                <w:bottom w:val="none" w:sz="0" w:space="0" w:color="auto"/>
                <w:right w:val="none" w:sz="0" w:space="0" w:color="auto"/>
              </w:divBdr>
            </w:div>
            <w:div w:id="1116094955">
              <w:marLeft w:val="0"/>
              <w:marRight w:val="0"/>
              <w:marTop w:val="0"/>
              <w:marBottom w:val="0"/>
              <w:divBdr>
                <w:top w:val="none" w:sz="0" w:space="0" w:color="auto"/>
                <w:left w:val="none" w:sz="0" w:space="0" w:color="auto"/>
                <w:bottom w:val="none" w:sz="0" w:space="0" w:color="auto"/>
                <w:right w:val="none" w:sz="0" w:space="0" w:color="auto"/>
              </w:divBdr>
            </w:div>
            <w:div w:id="1602954731">
              <w:marLeft w:val="0"/>
              <w:marRight w:val="0"/>
              <w:marTop w:val="0"/>
              <w:marBottom w:val="0"/>
              <w:divBdr>
                <w:top w:val="none" w:sz="0" w:space="0" w:color="auto"/>
                <w:left w:val="none" w:sz="0" w:space="0" w:color="auto"/>
                <w:bottom w:val="none" w:sz="0" w:space="0" w:color="auto"/>
                <w:right w:val="none" w:sz="0" w:space="0" w:color="auto"/>
              </w:divBdr>
            </w:div>
            <w:div w:id="1113479688">
              <w:marLeft w:val="0"/>
              <w:marRight w:val="0"/>
              <w:marTop w:val="0"/>
              <w:marBottom w:val="0"/>
              <w:divBdr>
                <w:top w:val="none" w:sz="0" w:space="0" w:color="auto"/>
                <w:left w:val="none" w:sz="0" w:space="0" w:color="auto"/>
                <w:bottom w:val="none" w:sz="0" w:space="0" w:color="auto"/>
                <w:right w:val="none" w:sz="0" w:space="0" w:color="auto"/>
              </w:divBdr>
            </w:div>
            <w:div w:id="2001620993">
              <w:marLeft w:val="0"/>
              <w:marRight w:val="0"/>
              <w:marTop w:val="0"/>
              <w:marBottom w:val="0"/>
              <w:divBdr>
                <w:top w:val="none" w:sz="0" w:space="0" w:color="auto"/>
                <w:left w:val="none" w:sz="0" w:space="0" w:color="auto"/>
                <w:bottom w:val="none" w:sz="0" w:space="0" w:color="auto"/>
                <w:right w:val="none" w:sz="0" w:space="0" w:color="auto"/>
              </w:divBdr>
            </w:div>
            <w:div w:id="1610625948">
              <w:marLeft w:val="0"/>
              <w:marRight w:val="0"/>
              <w:marTop w:val="0"/>
              <w:marBottom w:val="0"/>
              <w:divBdr>
                <w:top w:val="none" w:sz="0" w:space="0" w:color="auto"/>
                <w:left w:val="none" w:sz="0" w:space="0" w:color="auto"/>
                <w:bottom w:val="none" w:sz="0" w:space="0" w:color="auto"/>
                <w:right w:val="none" w:sz="0" w:space="0" w:color="auto"/>
              </w:divBdr>
            </w:div>
            <w:div w:id="2001155567">
              <w:marLeft w:val="0"/>
              <w:marRight w:val="0"/>
              <w:marTop w:val="0"/>
              <w:marBottom w:val="0"/>
              <w:divBdr>
                <w:top w:val="none" w:sz="0" w:space="0" w:color="auto"/>
                <w:left w:val="none" w:sz="0" w:space="0" w:color="auto"/>
                <w:bottom w:val="none" w:sz="0" w:space="0" w:color="auto"/>
                <w:right w:val="none" w:sz="0" w:space="0" w:color="auto"/>
              </w:divBdr>
            </w:div>
            <w:div w:id="962421733">
              <w:marLeft w:val="0"/>
              <w:marRight w:val="0"/>
              <w:marTop w:val="0"/>
              <w:marBottom w:val="0"/>
              <w:divBdr>
                <w:top w:val="none" w:sz="0" w:space="0" w:color="auto"/>
                <w:left w:val="none" w:sz="0" w:space="0" w:color="auto"/>
                <w:bottom w:val="none" w:sz="0" w:space="0" w:color="auto"/>
                <w:right w:val="none" w:sz="0" w:space="0" w:color="auto"/>
              </w:divBdr>
            </w:div>
            <w:div w:id="1654336736">
              <w:marLeft w:val="0"/>
              <w:marRight w:val="0"/>
              <w:marTop w:val="0"/>
              <w:marBottom w:val="0"/>
              <w:divBdr>
                <w:top w:val="none" w:sz="0" w:space="0" w:color="auto"/>
                <w:left w:val="none" w:sz="0" w:space="0" w:color="auto"/>
                <w:bottom w:val="none" w:sz="0" w:space="0" w:color="auto"/>
                <w:right w:val="none" w:sz="0" w:space="0" w:color="auto"/>
              </w:divBdr>
            </w:div>
            <w:div w:id="634725065">
              <w:marLeft w:val="0"/>
              <w:marRight w:val="0"/>
              <w:marTop w:val="0"/>
              <w:marBottom w:val="0"/>
              <w:divBdr>
                <w:top w:val="none" w:sz="0" w:space="0" w:color="auto"/>
                <w:left w:val="none" w:sz="0" w:space="0" w:color="auto"/>
                <w:bottom w:val="none" w:sz="0" w:space="0" w:color="auto"/>
                <w:right w:val="none" w:sz="0" w:space="0" w:color="auto"/>
              </w:divBdr>
            </w:div>
            <w:div w:id="480345062">
              <w:marLeft w:val="0"/>
              <w:marRight w:val="0"/>
              <w:marTop w:val="0"/>
              <w:marBottom w:val="0"/>
              <w:divBdr>
                <w:top w:val="none" w:sz="0" w:space="0" w:color="auto"/>
                <w:left w:val="none" w:sz="0" w:space="0" w:color="auto"/>
                <w:bottom w:val="none" w:sz="0" w:space="0" w:color="auto"/>
                <w:right w:val="none" w:sz="0" w:space="0" w:color="auto"/>
              </w:divBdr>
            </w:div>
            <w:div w:id="1288005308">
              <w:marLeft w:val="0"/>
              <w:marRight w:val="0"/>
              <w:marTop w:val="0"/>
              <w:marBottom w:val="0"/>
              <w:divBdr>
                <w:top w:val="none" w:sz="0" w:space="0" w:color="auto"/>
                <w:left w:val="none" w:sz="0" w:space="0" w:color="auto"/>
                <w:bottom w:val="none" w:sz="0" w:space="0" w:color="auto"/>
                <w:right w:val="none" w:sz="0" w:space="0" w:color="auto"/>
              </w:divBdr>
            </w:div>
            <w:div w:id="1318412647">
              <w:marLeft w:val="0"/>
              <w:marRight w:val="0"/>
              <w:marTop w:val="0"/>
              <w:marBottom w:val="0"/>
              <w:divBdr>
                <w:top w:val="none" w:sz="0" w:space="0" w:color="auto"/>
                <w:left w:val="none" w:sz="0" w:space="0" w:color="auto"/>
                <w:bottom w:val="none" w:sz="0" w:space="0" w:color="auto"/>
                <w:right w:val="none" w:sz="0" w:space="0" w:color="auto"/>
              </w:divBdr>
            </w:div>
            <w:div w:id="1129545299">
              <w:marLeft w:val="0"/>
              <w:marRight w:val="0"/>
              <w:marTop w:val="0"/>
              <w:marBottom w:val="0"/>
              <w:divBdr>
                <w:top w:val="none" w:sz="0" w:space="0" w:color="auto"/>
                <w:left w:val="none" w:sz="0" w:space="0" w:color="auto"/>
                <w:bottom w:val="none" w:sz="0" w:space="0" w:color="auto"/>
                <w:right w:val="none" w:sz="0" w:space="0" w:color="auto"/>
              </w:divBdr>
            </w:div>
            <w:div w:id="1686441822">
              <w:marLeft w:val="0"/>
              <w:marRight w:val="0"/>
              <w:marTop w:val="0"/>
              <w:marBottom w:val="0"/>
              <w:divBdr>
                <w:top w:val="none" w:sz="0" w:space="0" w:color="auto"/>
                <w:left w:val="none" w:sz="0" w:space="0" w:color="auto"/>
                <w:bottom w:val="none" w:sz="0" w:space="0" w:color="auto"/>
                <w:right w:val="none" w:sz="0" w:space="0" w:color="auto"/>
              </w:divBdr>
            </w:div>
            <w:div w:id="570040578">
              <w:marLeft w:val="0"/>
              <w:marRight w:val="0"/>
              <w:marTop w:val="0"/>
              <w:marBottom w:val="0"/>
              <w:divBdr>
                <w:top w:val="none" w:sz="0" w:space="0" w:color="auto"/>
                <w:left w:val="none" w:sz="0" w:space="0" w:color="auto"/>
                <w:bottom w:val="none" w:sz="0" w:space="0" w:color="auto"/>
                <w:right w:val="none" w:sz="0" w:space="0" w:color="auto"/>
              </w:divBdr>
            </w:div>
            <w:div w:id="1699233344">
              <w:marLeft w:val="0"/>
              <w:marRight w:val="0"/>
              <w:marTop w:val="0"/>
              <w:marBottom w:val="0"/>
              <w:divBdr>
                <w:top w:val="none" w:sz="0" w:space="0" w:color="auto"/>
                <w:left w:val="none" w:sz="0" w:space="0" w:color="auto"/>
                <w:bottom w:val="none" w:sz="0" w:space="0" w:color="auto"/>
                <w:right w:val="none" w:sz="0" w:space="0" w:color="auto"/>
              </w:divBdr>
            </w:div>
            <w:div w:id="965702366">
              <w:marLeft w:val="0"/>
              <w:marRight w:val="0"/>
              <w:marTop w:val="0"/>
              <w:marBottom w:val="0"/>
              <w:divBdr>
                <w:top w:val="none" w:sz="0" w:space="0" w:color="auto"/>
                <w:left w:val="none" w:sz="0" w:space="0" w:color="auto"/>
                <w:bottom w:val="none" w:sz="0" w:space="0" w:color="auto"/>
                <w:right w:val="none" w:sz="0" w:space="0" w:color="auto"/>
              </w:divBdr>
            </w:div>
            <w:div w:id="1293563508">
              <w:marLeft w:val="0"/>
              <w:marRight w:val="0"/>
              <w:marTop w:val="0"/>
              <w:marBottom w:val="0"/>
              <w:divBdr>
                <w:top w:val="none" w:sz="0" w:space="0" w:color="auto"/>
                <w:left w:val="none" w:sz="0" w:space="0" w:color="auto"/>
                <w:bottom w:val="none" w:sz="0" w:space="0" w:color="auto"/>
                <w:right w:val="none" w:sz="0" w:space="0" w:color="auto"/>
              </w:divBdr>
            </w:div>
            <w:div w:id="394016298">
              <w:marLeft w:val="0"/>
              <w:marRight w:val="0"/>
              <w:marTop w:val="0"/>
              <w:marBottom w:val="0"/>
              <w:divBdr>
                <w:top w:val="none" w:sz="0" w:space="0" w:color="auto"/>
                <w:left w:val="none" w:sz="0" w:space="0" w:color="auto"/>
                <w:bottom w:val="none" w:sz="0" w:space="0" w:color="auto"/>
                <w:right w:val="none" w:sz="0" w:space="0" w:color="auto"/>
              </w:divBdr>
            </w:div>
            <w:div w:id="2071609072">
              <w:marLeft w:val="0"/>
              <w:marRight w:val="0"/>
              <w:marTop w:val="0"/>
              <w:marBottom w:val="0"/>
              <w:divBdr>
                <w:top w:val="none" w:sz="0" w:space="0" w:color="auto"/>
                <w:left w:val="none" w:sz="0" w:space="0" w:color="auto"/>
                <w:bottom w:val="none" w:sz="0" w:space="0" w:color="auto"/>
                <w:right w:val="none" w:sz="0" w:space="0" w:color="auto"/>
              </w:divBdr>
            </w:div>
            <w:div w:id="379748038">
              <w:marLeft w:val="0"/>
              <w:marRight w:val="0"/>
              <w:marTop w:val="0"/>
              <w:marBottom w:val="0"/>
              <w:divBdr>
                <w:top w:val="none" w:sz="0" w:space="0" w:color="auto"/>
                <w:left w:val="none" w:sz="0" w:space="0" w:color="auto"/>
                <w:bottom w:val="none" w:sz="0" w:space="0" w:color="auto"/>
                <w:right w:val="none" w:sz="0" w:space="0" w:color="auto"/>
              </w:divBdr>
            </w:div>
            <w:div w:id="287249428">
              <w:marLeft w:val="0"/>
              <w:marRight w:val="0"/>
              <w:marTop w:val="0"/>
              <w:marBottom w:val="0"/>
              <w:divBdr>
                <w:top w:val="none" w:sz="0" w:space="0" w:color="auto"/>
                <w:left w:val="none" w:sz="0" w:space="0" w:color="auto"/>
                <w:bottom w:val="none" w:sz="0" w:space="0" w:color="auto"/>
                <w:right w:val="none" w:sz="0" w:space="0" w:color="auto"/>
              </w:divBdr>
            </w:div>
            <w:div w:id="1301768249">
              <w:marLeft w:val="0"/>
              <w:marRight w:val="0"/>
              <w:marTop w:val="0"/>
              <w:marBottom w:val="0"/>
              <w:divBdr>
                <w:top w:val="none" w:sz="0" w:space="0" w:color="auto"/>
                <w:left w:val="none" w:sz="0" w:space="0" w:color="auto"/>
                <w:bottom w:val="none" w:sz="0" w:space="0" w:color="auto"/>
                <w:right w:val="none" w:sz="0" w:space="0" w:color="auto"/>
              </w:divBdr>
            </w:div>
            <w:div w:id="2093038328">
              <w:marLeft w:val="0"/>
              <w:marRight w:val="0"/>
              <w:marTop w:val="0"/>
              <w:marBottom w:val="0"/>
              <w:divBdr>
                <w:top w:val="none" w:sz="0" w:space="0" w:color="auto"/>
                <w:left w:val="none" w:sz="0" w:space="0" w:color="auto"/>
                <w:bottom w:val="none" w:sz="0" w:space="0" w:color="auto"/>
                <w:right w:val="none" w:sz="0" w:space="0" w:color="auto"/>
              </w:divBdr>
            </w:div>
            <w:div w:id="1366101187">
              <w:marLeft w:val="0"/>
              <w:marRight w:val="0"/>
              <w:marTop w:val="0"/>
              <w:marBottom w:val="0"/>
              <w:divBdr>
                <w:top w:val="none" w:sz="0" w:space="0" w:color="auto"/>
                <w:left w:val="none" w:sz="0" w:space="0" w:color="auto"/>
                <w:bottom w:val="none" w:sz="0" w:space="0" w:color="auto"/>
                <w:right w:val="none" w:sz="0" w:space="0" w:color="auto"/>
              </w:divBdr>
            </w:div>
            <w:div w:id="224530324">
              <w:marLeft w:val="0"/>
              <w:marRight w:val="0"/>
              <w:marTop w:val="0"/>
              <w:marBottom w:val="0"/>
              <w:divBdr>
                <w:top w:val="none" w:sz="0" w:space="0" w:color="auto"/>
                <w:left w:val="none" w:sz="0" w:space="0" w:color="auto"/>
                <w:bottom w:val="none" w:sz="0" w:space="0" w:color="auto"/>
                <w:right w:val="none" w:sz="0" w:space="0" w:color="auto"/>
              </w:divBdr>
            </w:div>
            <w:div w:id="1015694543">
              <w:marLeft w:val="0"/>
              <w:marRight w:val="0"/>
              <w:marTop w:val="0"/>
              <w:marBottom w:val="0"/>
              <w:divBdr>
                <w:top w:val="none" w:sz="0" w:space="0" w:color="auto"/>
                <w:left w:val="none" w:sz="0" w:space="0" w:color="auto"/>
                <w:bottom w:val="none" w:sz="0" w:space="0" w:color="auto"/>
                <w:right w:val="none" w:sz="0" w:space="0" w:color="auto"/>
              </w:divBdr>
            </w:div>
            <w:div w:id="1677924742">
              <w:marLeft w:val="0"/>
              <w:marRight w:val="0"/>
              <w:marTop w:val="0"/>
              <w:marBottom w:val="0"/>
              <w:divBdr>
                <w:top w:val="none" w:sz="0" w:space="0" w:color="auto"/>
                <w:left w:val="none" w:sz="0" w:space="0" w:color="auto"/>
                <w:bottom w:val="none" w:sz="0" w:space="0" w:color="auto"/>
                <w:right w:val="none" w:sz="0" w:space="0" w:color="auto"/>
              </w:divBdr>
            </w:div>
            <w:div w:id="979379385">
              <w:marLeft w:val="0"/>
              <w:marRight w:val="0"/>
              <w:marTop w:val="0"/>
              <w:marBottom w:val="0"/>
              <w:divBdr>
                <w:top w:val="none" w:sz="0" w:space="0" w:color="auto"/>
                <w:left w:val="none" w:sz="0" w:space="0" w:color="auto"/>
                <w:bottom w:val="none" w:sz="0" w:space="0" w:color="auto"/>
                <w:right w:val="none" w:sz="0" w:space="0" w:color="auto"/>
              </w:divBdr>
            </w:div>
            <w:div w:id="1775326182">
              <w:marLeft w:val="0"/>
              <w:marRight w:val="0"/>
              <w:marTop w:val="0"/>
              <w:marBottom w:val="0"/>
              <w:divBdr>
                <w:top w:val="none" w:sz="0" w:space="0" w:color="auto"/>
                <w:left w:val="none" w:sz="0" w:space="0" w:color="auto"/>
                <w:bottom w:val="none" w:sz="0" w:space="0" w:color="auto"/>
                <w:right w:val="none" w:sz="0" w:space="0" w:color="auto"/>
              </w:divBdr>
            </w:div>
            <w:div w:id="1272009513">
              <w:marLeft w:val="0"/>
              <w:marRight w:val="0"/>
              <w:marTop w:val="0"/>
              <w:marBottom w:val="0"/>
              <w:divBdr>
                <w:top w:val="none" w:sz="0" w:space="0" w:color="auto"/>
                <w:left w:val="none" w:sz="0" w:space="0" w:color="auto"/>
                <w:bottom w:val="none" w:sz="0" w:space="0" w:color="auto"/>
                <w:right w:val="none" w:sz="0" w:space="0" w:color="auto"/>
              </w:divBdr>
            </w:div>
            <w:div w:id="2055151941">
              <w:marLeft w:val="0"/>
              <w:marRight w:val="0"/>
              <w:marTop w:val="0"/>
              <w:marBottom w:val="0"/>
              <w:divBdr>
                <w:top w:val="none" w:sz="0" w:space="0" w:color="auto"/>
                <w:left w:val="none" w:sz="0" w:space="0" w:color="auto"/>
                <w:bottom w:val="none" w:sz="0" w:space="0" w:color="auto"/>
                <w:right w:val="none" w:sz="0" w:space="0" w:color="auto"/>
              </w:divBdr>
            </w:div>
            <w:div w:id="1879005223">
              <w:marLeft w:val="0"/>
              <w:marRight w:val="0"/>
              <w:marTop w:val="0"/>
              <w:marBottom w:val="0"/>
              <w:divBdr>
                <w:top w:val="none" w:sz="0" w:space="0" w:color="auto"/>
                <w:left w:val="none" w:sz="0" w:space="0" w:color="auto"/>
                <w:bottom w:val="none" w:sz="0" w:space="0" w:color="auto"/>
                <w:right w:val="none" w:sz="0" w:space="0" w:color="auto"/>
              </w:divBdr>
            </w:div>
            <w:div w:id="2087408991">
              <w:marLeft w:val="0"/>
              <w:marRight w:val="0"/>
              <w:marTop w:val="0"/>
              <w:marBottom w:val="0"/>
              <w:divBdr>
                <w:top w:val="none" w:sz="0" w:space="0" w:color="auto"/>
                <w:left w:val="none" w:sz="0" w:space="0" w:color="auto"/>
                <w:bottom w:val="none" w:sz="0" w:space="0" w:color="auto"/>
                <w:right w:val="none" w:sz="0" w:space="0" w:color="auto"/>
              </w:divBdr>
            </w:div>
            <w:div w:id="1187409363">
              <w:marLeft w:val="0"/>
              <w:marRight w:val="0"/>
              <w:marTop w:val="0"/>
              <w:marBottom w:val="0"/>
              <w:divBdr>
                <w:top w:val="none" w:sz="0" w:space="0" w:color="auto"/>
                <w:left w:val="none" w:sz="0" w:space="0" w:color="auto"/>
                <w:bottom w:val="none" w:sz="0" w:space="0" w:color="auto"/>
                <w:right w:val="none" w:sz="0" w:space="0" w:color="auto"/>
              </w:divBdr>
            </w:div>
            <w:div w:id="1634869968">
              <w:marLeft w:val="0"/>
              <w:marRight w:val="0"/>
              <w:marTop w:val="0"/>
              <w:marBottom w:val="0"/>
              <w:divBdr>
                <w:top w:val="none" w:sz="0" w:space="0" w:color="auto"/>
                <w:left w:val="none" w:sz="0" w:space="0" w:color="auto"/>
                <w:bottom w:val="none" w:sz="0" w:space="0" w:color="auto"/>
                <w:right w:val="none" w:sz="0" w:space="0" w:color="auto"/>
              </w:divBdr>
            </w:div>
            <w:div w:id="261912261">
              <w:marLeft w:val="0"/>
              <w:marRight w:val="0"/>
              <w:marTop w:val="0"/>
              <w:marBottom w:val="0"/>
              <w:divBdr>
                <w:top w:val="none" w:sz="0" w:space="0" w:color="auto"/>
                <w:left w:val="none" w:sz="0" w:space="0" w:color="auto"/>
                <w:bottom w:val="none" w:sz="0" w:space="0" w:color="auto"/>
                <w:right w:val="none" w:sz="0" w:space="0" w:color="auto"/>
              </w:divBdr>
            </w:div>
            <w:div w:id="545263967">
              <w:marLeft w:val="0"/>
              <w:marRight w:val="0"/>
              <w:marTop w:val="0"/>
              <w:marBottom w:val="0"/>
              <w:divBdr>
                <w:top w:val="none" w:sz="0" w:space="0" w:color="auto"/>
                <w:left w:val="none" w:sz="0" w:space="0" w:color="auto"/>
                <w:bottom w:val="none" w:sz="0" w:space="0" w:color="auto"/>
                <w:right w:val="none" w:sz="0" w:space="0" w:color="auto"/>
              </w:divBdr>
            </w:div>
            <w:div w:id="2007437907">
              <w:marLeft w:val="0"/>
              <w:marRight w:val="0"/>
              <w:marTop w:val="0"/>
              <w:marBottom w:val="0"/>
              <w:divBdr>
                <w:top w:val="none" w:sz="0" w:space="0" w:color="auto"/>
                <w:left w:val="none" w:sz="0" w:space="0" w:color="auto"/>
                <w:bottom w:val="none" w:sz="0" w:space="0" w:color="auto"/>
                <w:right w:val="none" w:sz="0" w:space="0" w:color="auto"/>
              </w:divBdr>
            </w:div>
            <w:div w:id="2014456876">
              <w:marLeft w:val="0"/>
              <w:marRight w:val="0"/>
              <w:marTop w:val="0"/>
              <w:marBottom w:val="0"/>
              <w:divBdr>
                <w:top w:val="none" w:sz="0" w:space="0" w:color="auto"/>
                <w:left w:val="none" w:sz="0" w:space="0" w:color="auto"/>
                <w:bottom w:val="none" w:sz="0" w:space="0" w:color="auto"/>
                <w:right w:val="none" w:sz="0" w:space="0" w:color="auto"/>
              </w:divBdr>
            </w:div>
            <w:div w:id="892278074">
              <w:marLeft w:val="0"/>
              <w:marRight w:val="0"/>
              <w:marTop w:val="0"/>
              <w:marBottom w:val="0"/>
              <w:divBdr>
                <w:top w:val="none" w:sz="0" w:space="0" w:color="auto"/>
                <w:left w:val="none" w:sz="0" w:space="0" w:color="auto"/>
                <w:bottom w:val="none" w:sz="0" w:space="0" w:color="auto"/>
                <w:right w:val="none" w:sz="0" w:space="0" w:color="auto"/>
              </w:divBdr>
            </w:div>
            <w:div w:id="1716197892">
              <w:marLeft w:val="0"/>
              <w:marRight w:val="0"/>
              <w:marTop w:val="0"/>
              <w:marBottom w:val="0"/>
              <w:divBdr>
                <w:top w:val="none" w:sz="0" w:space="0" w:color="auto"/>
                <w:left w:val="none" w:sz="0" w:space="0" w:color="auto"/>
                <w:bottom w:val="none" w:sz="0" w:space="0" w:color="auto"/>
                <w:right w:val="none" w:sz="0" w:space="0" w:color="auto"/>
              </w:divBdr>
            </w:div>
            <w:div w:id="694769215">
              <w:marLeft w:val="0"/>
              <w:marRight w:val="0"/>
              <w:marTop w:val="0"/>
              <w:marBottom w:val="0"/>
              <w:divBdr>
                <w:top w:val="none" w:sz="0" w:space="0" w:color="auto"/>
                <w:left w:val="none" w:sz="0" w:space="0" w:color="auto"/>
                <w:bottom w:val="none" w:sz="0" w:space="0" w:color="auto"/>
                <w:right w:val="none" w:sz="0" w:space="0" w:color="auto"/>
              </w:divBdr>
            </w:div>
            <w:div w:id="1111902450">
              <w:marLeft w:val="0"/>
              <w:marRight w:val="0"/>
              <w:marTop w:val="0"/>
              <w:marBottom w:val="0"/>
              <w:divBdr>
                <w:top w:val="none" w:sz="0" w:space="0" w:color="auto"/>
                <w:left w:val="none" w:sz="0" w:space="0" w:color="auto"/>
                <w:bottom w:val="none" w:sz="0" w:space="0" w:color="auto"/>
                <w:right w:val="none" w:sz="0" w:space="0" w:color="auto"/>
              </w:divBdr>
            </w:div>
            <w:div w:id="2145419144">
              <w:marLeft w:val="0"/>
              <w:marRight w:val="0"/>
              <w:marTop w:val="0"/>
              <w:marBottom w:val="0"/>
              <w:divBdr>
                <w:top w:val="none" w:sz="0" w:space="0" w:color="auto"/>
                <w:left w:val="none" w:sz="0" w:space="0" w:color="auto"/>
                <w:bottom w:val="none" w:sz="0" w:space="0" w:color="auto"/>
                <w:right w:val="none" w:sz="0" w:space="0" w:color="auto"/>
              </w:divBdr>
            </w:div>
            <w:div w:id="611472155">
              <w:marLeft w:val="0"/>
              <w:marRight w:val="0"/>
              <w:marTop w:val="0"/>
              <w:marBottom w:val="0"/>
              <w:divBdr>
                <w:top w:val="none" w:sz="0" w:space="0" w:color="auto"/>
                <w:left w:val="none" w:sz="0" w:space="0" w:color="auto"/>
                <w:bottom w:val="none" w:sz="0" w:space="0" w:color="auto"/>
                <w:right w:val="none" w:sz="0" w:space="0" w:color="auto"/>
              </w:divBdr>
            </w:div>
            <w:div w:id="1536887126">
              <w:marLeft w:val="0"/>
              <w:marRight w:val="0"/>
              <w:marTop w:val="0"/>
              <w:marBottom w:val="0"/>
              <w:divBdr>
                <w:top w:val="none" w:sz="0" w:space="0" w:color="auto"/>
                <w:left w:val="none" w:sz="0" w:space="0" w:color="auto"/>
                <w:bottom w:val="none" w:sz="0" w:space="0" w:color="auto"/>
                <w:right w:val="none" w:sz="0" w:space="0" w:color="auto"/>
              </w:divBdr>
            </w:div>
            <w:div w:id="998122277">
              <w:marLeft w:val="0"/>
              <w:marRight w:val="0"/>
              <w:marTop w:val="0"/>
              <w:marBottom w:val="0"/>
              <w:divBdr>
                <w:top w:val="none" w:sz="0" w:space="0" w:color="auto"/>
                <w:left w:val="none" w:sz="0" w:space="0" w:color="auto"/>
                <w:bottom w:val="none" w:sz="0" w:space="0" w:color="auto"/>
                <w:right w:val="none" w:sz="0" w:space="0" w:color="auto"/>
              </w:divBdr>
            </w:div>
            <w:div w:id="1125538563">
              <w:marLeft w:val="0"/>
              <w:marRight w:val="0"/>
              <w:marTop w:val="0"/>
              <w:marBottom w:val="0"/>
              <w:divBdr>
                <w:top w:val="none" w:sz="0" w:space="0" w:color="auto"/>
                <w:left w:val="none" w:sz="0" w:space="0" w:color="auto"/>
                <w:bottom w:val="none" w:sz="0" w:space="0" w:color="auto"/>
                <w:right w:val="none" w:sz="0" w:space="0" w:color="auto"/>
              </w:divBdr>
            </w:div>
            <w:div w:id="593706766">
              <w:marLeft w:val="0"/>
              <w:marRight w:val="0"/>
              <w:marTop w:val="0"/>
              <w:marBottom w:val="0"/>
              <w:divBdr>
                <w:top w:val="none" w:sz="0" w:space="0" w:color="auto"/>
                <w:left w:val="none" w:sz="0" w:space="0" w:color="auto"/>
                <w:bottom w:val="none" w:sz="0" w:space="0" w:color="auto"/>
                <w:right w:val="none" w:sz="0" w:space="0" w:color="auto"/>
              </w:divBdr>
            </w:div>
            <w:div w:id="120999259">
              <w:marLeft w:val="0"/>
              <w:marRight w:val="0"/>
              <w:marTop w:val="0"/>
              <w:marBottom w:val="0"/>
              <w:divBdr>
                <w:top w:val="none" w:sz="0" w:space="0" w:color="auto"/>
                <w:left w:val="none" w:sz="0" w:space="0" w:color="auto"/>
                <w:bottom w:val="none" w:sz="0" w:space="0" w:color="auto"/>
                <w:right w:val="none" w:sz="0" w:space="0" w:color="auto"/>
              </w:divBdr>
            </w:div>
            <w:div w:id="1191605374">
              <w:marLeft w:val="0"/>
              <w:marRight w:val="0"/>
              <w:marTop w:val="0"/>
              <w:marBottom w:val="0"/>
              <w:divBdr>
                <w:top w:val="none" w:sz="0" w:space="0" w:color="auto"/>
                <w:left w:val="none" w:sz="0" w:space="0" w:color="auto"/>
                <w:bottom w:val="none" w:sz="0" w:space="0" w:color="auto"/>
                <w:right w:val="none" w:sz="0" w:space="0" w:color="auto"/>
              </w:divBdr>
            </w:div>
            <w:div w:id="854147469">
              <w:marLeft w:val="0"/>
              <w:marRight w:val="0"/>
              <w:marTop w:val="0"/>
              <w:marBottom w:val="0"/>
              <w:divBdr>
                <w:top w:val="none" w:sz="0" w:space="0" w:color="auto"/>
                <w:left w:val="none" w:sz="0" w:space="0" w:color="auto"/>
                <w:bottom w:val="none" w:sz="0" w:space="0" w:color="auto"/>
                <w:right w:val="none" w:sz="0" w:space="0" w:color="auto"/>
              </w:divBdr>
            </w:div>
            <w:div w:id="1225408278">
              <w:marLeft w:val="0"/>
              <w:marRight w:val="0"/>
              <w:marTop w:val="0"/>
              <w:marBottom w:val="0"/>
              <w:divBdr>
                <w:top w:val="none" w:sz="0" w:space="0" w:color="auto"/>
                <w:left w:val="none" w:sz="0" w:space="0" w:color="auto"/>
                <w:bottom w:val="none" w:sz="0" w:space="0" w:color="auto"/>
                <w:right w:val="none" w:sz="0" w:space="0" w:color="auto"/>
              </w:divBdr>
            </w:div>
            <w:div w:id="1281838099">
              <w:marLeft w:val="0"/>
              <w:marRight w:val="0"/>
              <w:marTop w:val="0"/>
              <w:marBottom w:val="0"/>
              <w:divBdr>
                <w:top w:val="none" w:sz="0" w:space="0" w:color="auto"/>
                <w:left w:val="none" w:sz="0" w:space="0" w:color="auto"/>
                <w:bottom w:val="none" w:sz="0" w:space="0" w:color="auto"/>
                <w:right w:val="none" w:sz="0" w:space="0" w:color="auto"/>
              </w:divBdr>
            </w:div>
            <w:div w:id="135607443">
              <w:marLeft w:val="0"/>
              <w:marRight w:val="0"/>
              <w:marTop w:val="0"/>
              <w:marBottom w:val="0"/>
              <w:divBdr>
                <w:top w:val="none" w:sz="0" w:space="0" w:color="auto"/>
                <w:left w:val="none" w:sz="0" w:space="0" w:color="auto"/>
                <w:bottom w:val="none" w:sz="0" w:space="0" w:color="auto"/>
                <w:right w:val="none" w:sz="0" w:space="0" w:color="auto"/>
              </w:divBdr>
            </w:div>
            <w:div w:id="161825481">
              <w:marLeft w:val="0"/>
              <w:marRight w:val="0"/>
              <w:marTop w:val="0"/>
              <w:marBottom w:val="0"/>
              <w:divBdr>
                <w:top w:val="none" w:sz="0" w:space="0" w:color="auto"/>
                <w:left w:val="none" w:sz="0" w:space="0" w:color="auto"/>
                <w:bottom w:val="none" w:sz="0" w:space="0" w:color="auto"/>
                <w:right w:val="none" w:sz="0" w:space="0" w:color="auto"/>
              </w:divBdr>
            </w:div>
            <w:div w:id="1204561027">
              <w:marLeft w:val="0"/>
              <w:marRight w:val="0"/>
              <w:marTop w:val="0"/>
              <w:marBottom w:val="0"/>
              <w:divBdr>
                <w:top w:val="none" w:sz="0" w:space="0" w:color="auto"/>
                <w:left w:val="none" w:sz="0" w:space="0" w:color="auto"/>
                <w:bottom w:val="none" w:sz="0" w:space="0" w:color="auto"/>
                <w:right w:val="none" w:sz="0" w:space="0" w:color="auto"/>
              </w:divBdr>
            </w:div>
            <w:div w:id="1331063221">
              <w:marLeft w:val="0"/>
              <w:marRight w:val="0"/>
              <w:marTop w:val="0"/>
              <w:marBottom w:val="0"/>
              <w:divBdr>
                <w:top w:val="none" w:sz="0" w:space="0" w:color="auto"/>
                <w:left w:val="none" w:sz="0" w:space="0" w:color="auto"/>
                <w:bottom w:val="none" w:sz="0" w:space="0" w:color="auto"/>
                <w:right w:val="none" w:sz="0" w:space="0" w:color="auto"/>
              </w:divBdr>
            </w:div>
            <w:div w:id="1563639424">
              <w:marLeft w:val="0"/>
              <w:marRight w:val="0"/>
              <w:marTop w:val="0"/>
              <w:marBottom w:val="0"/>
              <w:divBdr>
                <w:top w:val="none" w:sz="0" w:space="0" w:color="auto"/>
                <w:left w:val="none" w:sz="0" w:space="0" w:color="auto"/>
                <w:bottom w:val="none" w:sz="0" w:space="0" w:color="auto"/>
                <w:right w:val="none" w:sz="0" w:space="0" w:color="auto"/>
              </w:divBdr>
            </w:div>
            <w:div w:id="1045523147">
              <w:marLeft w:val="0"/>
              <w:marRight w:val="0"/>
              <w:marTop w:val="0"/>
              <w:marBottom w:val="0"/>
              <w:divBdr>
                <w:top w:val="none" w:sz="0" w:space="0" w:color="auto"/>
                <w:left w:val="none" w:sz="0" w:space="0" w:color="auto"/>
                <w:bottom w:val="none" w:sz="0" w:space="0" w:color="auto"/>
                <w:right w:val="none" w:sz="0" w:space="0" w:color="auto"/>
              </w:divBdr>
            </w:div>
            <w:div w:id="54475002">
              <w:marLeft w:val="0"/>
              <w:marRight w:val="0"/>
              <w:marTop w:val="0"/>
              <w:marBottom w:val="0"/>
              <w:divBdr>
                <w:top w:val="none" w:sz="0" w:space="0" w:color="auto"/>
                <w:left w:val="none" w:sz="0" w:space="0" w:color="auto"/>
                <w:bottom w:val="none" w:sz="0" w:space="0" w:color="auto"/>
                <w:right w:val="none" w:sz="0" w:space="0" w:color="auto"/>
              </w:divBdr>
            </w:div>
            <w:div w:id="1702973599">
              <w:marLeft w:val="0"/>
              <w:marRight w:val="0"/>
              <w:marTop w:val="0"/>
              <w:marBottom w:val="0"/>
              <w:divBdr>
                <w:top w:val="none" w:sz="0" w:space="0" w:color="auto"/>
                <w:left w:val="none" w:sz="0" w:space="0" w:color="auto"/>
                <w:bottom w:val="none" w:sz="0" w:space="0" w:color="auto"/>
                <w:right w:val="none" w:sz="0" w:space="0" w:color="auto"/>
              </w:divBdr>
            </w:div>
            <w:div w:id="201553448">
              <w:marLeft w:val="0"/>
              <w:marRight w:val="0"/>
              <w:marTop w:val="0"/>
              <w:marBottom w:val="0"/>
              <w:divBdr>
                <w:top w:val="none" w:sz="0" w:space="0" w:color="auto"/>
                <w:left w:val="none" w:sz="0" w:space="0" w:color="auto"/>
                <w:bottom w:val="none" w:sz="0" w:space="0" w:color="auto"/>
                <w:right w:val="none" w:sz="0" w:space="0" w:color="auto"/>
              </w:divBdr>
            </w:div>
            <w:div w:id="1963801709">
              <w:marLeft w:val="0"/>
              <w:marRight w:val="0"/>
              <w:marTop w:val="0"/>
              <w:marBottom w:val="0"/>
              <w:divBdr>
                <w:top w:val="none" w:sz="0" w:space="0" w:color="auto"/>
                <w:left w:val="none" w:sz="0" w:space="0" w:color="auto"/>
                <w:bottom w:val="none" w:sz="0" w:space="0" w:color="auto"/>
                <w:right w:val="none" w:sz="0" w:space="0" w:color="auto"/>
              </w:divBdr>
            </w:div>
            <w:div w:id="859315366">
              <w:marLeft w:val="0"/>
              <w:marRight w:val="0"/>
              <w:marTop w:val="0"/>
              <w:marBottom w:val="0"/>
              <w:divBdr>
                <w:top w:val="none" w:sz="0" w:space="0" w:color="auto"/>
                <w:left w:val="none" w:sz="0" w:space="0" w:color="auto"/>
                <w:bottom w:val="none" w:sz="0" w:space="0" w:color="auto"/>
                <w:right w:val="none" w:sz="0" w:space="0" w:color="auto"/>
              </w:divBdr>
            </w:div>
            <w:div w:id="605120249">
              <w:marLeft w:val="0"/>
              <w:marRight w:val="0"/>
              <w:marTop w:val="0"/>
              <w:marBottom w:val="0"/>
              <w:divBdr>
                <w:top w:val="none" w:sz="0" w:space="0" w:color="auto"/>
                <w:left w:val="none" w:sz="0" w:space="0" w:color="auto"/>
                <w:bottom w:val="none" w:sz="0" w:space="0" w:color="auto"/>
                <w:right w:val="none" w:sz="0" w:space="0" w:color="auto"/>
              </w:divBdr>
            </w:div>
            <w:div w:id="169565877">
              <w:marLeft w:val="0"/>
              <w:marRight w:val="0"/>
              <w:marTop w:val="0"/>
              <w:marBottom w:val="0"/>
              <w:divBdr>
                <w:top w:val="none" w:sz="0" w:space="0" w:color="auto"/>
                <w:left w:val="none" w:sz="0" w:space="0" w:color="auto"/>
                <w:bottom w:val="none" w:sz="0" w:space="0" w:color="auto"/>
                <w:right w:val="none" w:sz="0" w:space="0" w:color="auto"/>
              </w:divBdr>
            </w:div>
            <w:div w:id="1704987244">
              <w:marLeft w:val="0"/>
              <w:marRight w:val="0"/>
              <w:marTop w:val="0"/>
              <w:marBottom w:val="0"/>
              <w:divBdr>
                <w:top w:val="none" w:sz="0" w:space="0" w:color="auto"/>
                <w:left w:val="none" w:sz="0" w:space="0" w:color="auto"/>
                <w:bottom w:val="none" w:sz="0" w:space="0" w:color="auto"/>
                <w:right w:val="none" w:sz="0" w:space="0" w:color="auto"/>
              </w:divBdr>
            </w:div>
            <w:div w:id="1600598537">
              <w:marLeft w:val="0"/>
              <w:marRight w:val="0"/>
              <w:marTop w:val="0"/>
              <w:marBottom w:val="0"/>
              <w:divBdr>
                <w:top w:val="none" w:sz="0" w:space="0" w:color="auto"/>
                <w:left w:val="none" w:sz="0" w:space="0" w:color="auto"/>
                <w:bottom w:val="none" w:sz="0" w:space="0" w:color="auto"/>
                <w:right w:val="none" w:sz="0" w:space="0" w:color="auto"/>
              </w:divBdr>
            </w:div>
            <w:div w:id="541019364">
              <w:marLeft w:val="0"/>
              <w:marRight w:val="0"/>
              <w:marTop w:val="0"/>
              <w:marBottom w:val="0"/>
              <w:divBdr>
                <w:top w:val="none" w:sz="0" w:space="0" w:color="auto"/>
                <w:left w:val="none" w:sz="0" w:space="0" w:color="auto"/>
                <w:bottom w:val="none" w:sz="0" w:space="0" w:color="auto"/>
                <w:right w:val="none" w:sz="0" w:space="0" w:color="auto"/>
              </w:divBdr>
            </w:div>
            <w:div w:id="1458446251">
              <w:marLeft w:val="0"/>
              <w:marRight w:val="0"/>
              <w:marTop w:val="0"/>
              <w:marBottom w:val="0"/>
              <w:divBdr>
                <w:top w:val="none" w:sz="0" w:space="0" w:color="auto"/>
                <w:left w:val="none" w:sz="0" w:space="0" w:color="auto"/>
                <w:bottom w:val="none" w:sz="0" w:space="0" w:color="auto"/>
                <w:right w:val="none" w:sz="0" w:space="0" w:color="auto"/>
              </w:divBdr>
            </w:div>
            <w:div w:id="1834253141">
              <w:marLeft w:val="0"/>
              <w:marRight w:val="0"/>
              <w:marTop w:val="0"/>
              <w:marBottom w:val="0"/>
              <w:divBdr>
                <w:top w:val="none" w:sz="0" w:space="0" w:color="auto"/>
                <w:left w:val="none" w:sz="0" w:space="0" w:color="auto"/>
                <w:bottom w:val="none" w:sz="0" w:space="0" w:color="auto"/>
                <w:right w:val="none" w:sz="0" w:space="0" w:color="auto"/>
              </w:divBdr>
            </w:div>
            <w:div w:id="702285074">
              <w:marLeft w:val="0"/>
              <w:marRight w:val="0"/>
              <w:marTop w:val="0"/>
              <w:marBottom w:val="0"/>
              <w:divBdr>
                <w:top w:val="none" w:sz="0" w:space="0" w:color="auto"/>
                <w:left w:val="none" w:sz="0" w:space="0" w:color="auto"/>
                <w:bottom w:val="none" w:sz="0" w:space="0" w:color="auto"/>
                <w:right w:val="none" w:sz="0" w:space="0" w:color="auto"/>
              </w:divBdr>
            </w:div>
            <w:div w:id="303243520">
              <w:marLeft w:val="0"/>
              <w:marRight w:val="0"/>
              <w:marTop w:val="0"/>
              <w:marBottom w:val="0"/>
              <w:divBdr>
                <w:top w:val="none" w:sz="0" w:space="0" w:color="auto"/>
                <w:left w:val="none" w:sz="0" w:space="0" w:color="auto"/>
                <w:bottom w:val="none" w:sz="0" w:space="0" w:color="auto"/>
                <w:right w:val="none" w:sz="0" w:space="0" w:color="auto"/>
              </w:divBdr>
            </w:div>
            <w:div w:id="242683029">
              <w:marLeft w:val="0"/>
              <w:marRight w:val="0"/>
              <w:marTop w:val="0"/>
              <w:marBottom w:val="0"/>
              <w:divBdr>
                <w:top w:val="none" w:sz="0" w:space="0" w:color="auto"/>
                <w:left w:val="none" w:sz="0" w:space="0" w:color="auto"/>
                <w:bottom w:val="none" w:sz="0" w:space="0" w:color="auto"/>
                <w:right w:val="none" w:sz="0" w:space="0" w:color="auto"/>
              </w:divBdr>
            </w:div>
            <w:div w:id="808791556">
              <w:marLeft w:val="0"/>
              <w:marRight w:val="0"/>
              <w:marTop w:val="0"/>
              <w:marBottom w:val="0"/>
              <w:divBdr>
                <w:top w:val="none" w:sz="0" w:space="0" w:color="auto"/>
                <w:left w:val="none" w:sz="0" w:space="0" w:color="auto"/>
                <w:bottom w:val="none" w:sz="0" w:space="0" w:color="auto"/>
                <w:right w:val="none" w:sz="0" w:space="0" w:color="auto"/>
              </w:divBdr>
            </w:div>
            <w:div w:id="1464418777">
              <w:marLeft w:val="0"/>
              <w:marRight w:val="0"/>
              <w:marTop w:val="0"/>
              <w:marBottom w:val="0"/>
              <w:divBdr>
                <w:top w:val="none" w:sz="0" w:space="0" w:color="auto"/>
                <w:left w:val="none" w:sz="0" w:space="0" w:color="auto"/>
                <w:bottom w:val="none" w:sz="0" w:space="0" w:color="auto"/>
                <w:right w:val="none" w:sz="0" w:space="0" w:color="auto"/>
              </w:divBdr>
            </w:div>
            <w:div w:id="1122841754">
              <w:marLeft w:val="0"/>
              <w:marRight w:val="0"/>
              <w:marTop w:val="0"/>
              <w:marBottom w:val="0"/>
              <w:divBdr>
                <w:top w:val="none" w:sz="0" w:space="0" w:color="auto"/>
                <w:left w:val="none" w:sz="0" w:space="0" w:color="auto"/>
                <w:bottom w:val="none" w:sz="0" w:space="0" w:color="auto"/>
                <w:right w:val="none" w:sz="0" w:space="0" w:color="auto"/>
              </w:divBdr>
            </w:div>
            <w:div w:id="246615577">
              <w:marLeft w:val="0"/>
              <w:marRight w:val="0"/>
              <w:marTop w:val="0"/>
              <w:marBottom w:val="0"/>
              <w:divBdr>
                <w:top w:val="none" w:sz="0" w:space="0" w:color="auto"/>
                <w:left w:val="none" w:sz="0" w:space="0" w:color="auto"/>
                <w:bottom w:val="none" w:sz="0" w:space="0" w:color="auto"/>
                <w:right w:val="none" w:sz="0" w:space="0" w:color="auto"/>
              </w:divBdr>
            </w:div>
            <w:div w:id="1322586983">
              <w:marLeft w:val="0"/>
              <w:marRight w:val="0"/>
              <w:marTop w:val="0"/>
              <w:marBottom w:val="0"/>
              <w:divBdr>
                <w:top w:val="none" w:sz="0" w:space="0" w:color="auto"/>
                <w:left w:val="none" w:sz="0" w:space="0" w:color="auto"/>
                <w:bottom w:val="none" w:sz="0" w:space="0" w:color="auto"/>
                <w:right w:val="none" w:sz="0" w:space="0" w:color="auto"/>
              </w:divBdr>
            </w:div>
            <w:div w:id="1501234555">
              <w:marLeft w:val="0"/>
              <w:marRight w:val="0"/>
              <w:marTop w:val="0"/>
              <w:marBottom w:val="0"/>
              <w:divBdr>
                <w:top w:val="none" w:sz="0" w:space="0" w:color="auto"/>
                <w:left w:val="none" w:sz="0" w:space="0" w:color="auto"/>
                <w:bottom w:val="none" w:sz="0" w:space="0" w:color="auto"/>
                <w:right w:val="none" w:sz="0" w:space="0" w:color="auto"/>
              </w:divBdr>
            </w:div>
            <w:div w:id="931399238">
              <w:marLeft w:val="0"/>
              <w:marRight w:val="0"/>
              <w:marTop w:val="0"/>
              <w:marBottom w:val="0"/>
              <w:divBdr>
                <w:top w:val="none" w:sz="0" w:space="0" w:color="auto"/>
                <w:left w:val="none" w:sz="0" w:space="0" w:color="auto"/>
                <w:bottom w:val="none" w:sz="0" w:space="0" w:color="auto"/>
                <w:right w:val="none" w:sz="0" w:space="0" w:color="auto"/>
              </w:divBdr>
            </w:div>
            <w:div w:id="1182356566">
              <w:marLeft w:val="0"/>
              <w:marRight w:val="0"/>
              <w:marTop w:val="0"/>
              <w:marBottom w:val="0"/>
              <w:divBdr>
                <w:top w:val="none" w:sz="0" w:space="0" w:color="auto"/>
                <w:left w:val="none" w:sz="0" w:space="0" w:color="auto"/>
                <w:bottom w:val="none" w:sz="0" w:space="0" w:color="auto"/>
                <w:right w:val="none" w:sz="0" w:space="0" w:color="auto"/>
              </w:divBdr>
            </w:div>
            <w:div w:id="411976728">
              <w:marLeft w:val="0"/>
              <w:marRight w:val="0"/>
              <w:marTop w:val="0"/>
              <w:marBottom w:val="0"/>
              <w:divBdr>
                <w:top w:val="none" w:sz="0" w:space="0" w:color="auto"/>
                <w:left w:val="none" w:sz="0" w:space="0" w:color="auto"/>
                <w:bottom w:val="none" w:sz="0" w:space="0" w:color="auto"/>
                <w:right w:val="none" w:sz="0" w:space="0" w:color="auto"/>
              </w:divBdr>
            </w:div>
            <w:div w:id="20146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4667">
      <w:bodyDiv w:val="1"/>
      <w:marLeft w:val="0"/>
      <w:marRight w:val="0"/>
      <w:marTop w:val="0"/>
      <w:marBottom w:val="0"/>
      <w:divBdr>
        <w:top w:val="none" w:sz="0" w:space="0" w:color="auto"/>
        <w:left w:val="none" w:sz="0" w:space="0" w:color="auto"/>
        <w:bottom w:val="none" w:sz="0" w:space="0" w:color="auto"/>
        <w:right w:val="none" w:sz="0" w:space="0" w:color="auto"/>
      </w:divBdr>
    </w:div>
    <w:div w:id="815418278">
      <w:bodyDiv w:val="1"/>
      <w:marLeft w:val="0"/>
      <w:marRight w:val="0"/>
      <w:marTop w:val="0"/>
      <w:marBottom w:val="0"/>
      <w:divBdr>
        <w:top w:val="none" w:sz="0" w:space="0" w:color="auto"/>
        <w:left w:val="none" w:sz="0" w:space="0" w:color="auto"/>
        <w:bottom w:val="none" w:sz="0" w:space="0" w:color="auto"/>
        <w:right w:val="none" w:sz="0" w:space="0" w:color="auto"/>
      </w:divBdr>
      <w:divsChild>
        <w:div w:id="330256774">
          <w:marLeft w:val="547"/>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pai-ci.sensorlab.tno.nl/builds/powermatcher-documentation/master/html/" TargetMode="External"/><Relationship Id="rId21" Type="http://schemas.openxmlformats.org/officeDocument/2006/relationships/hyperlink" Target="http://flexiblepower.github.io/" TargetMode="External"/><Relationship Id="rId22" Type="http://schemas.openxmlformats.org/officeDocument/2006/relationships/hyperlink" Target="https://www.smartgrid.gov/document/Pacific_Northwest_Smart_Grid_Technology_Performance.html" TargetMode="External"/><Relationship Id="rId23" Type="http://schemas.openxmlformats.org/officeDocument/2006/relationships/hyperlink" Target="https://webstore.iec.ch/searchform&amp;q=62325" TargetMode="External"/><Relationship Id="rId24" Type="http://schemas.openxmlformats.org/officeDocument/2006/relationships/hyperlink" Target="http://docs.oasis-open.org/emix/emix/v1.0/emix-v1.0.html" TargetMode="External"/><Relationship Id="rId25" Type="http://schemas.openxmlformats.org/officeDocument/2006/relationships/hyperlink" Target="https://pages.nist.gov/TEChallenge/community/" TargetMode="External"/><Relationship Id="rId26" Type="http://schemas.openxmlformats.org/officeDocument/2006/relationships/hyperlink" Target="http://www.gridwiseac.org/pdfs/interopframework_v1_1.pdf" TargetMode="External"/><Relationship Id="rId27" Type="http://schemas.openxmlformats.org/officeDocument/2006/relationships/hyperlink" Target="http://www.gridwiseac.org/pdfs/te_framework_report_pnnl-22946.pdf" TargetMode="External"/><Relationship Id="rId28" Type="http://schemas.openxmlformats.org/officeDocument/2006/relationships/hyperlink" Target="https://www.linkedin.com/groups/4778076/4778076-199816061" TargetMode="External"/><Relationship Id="rId29" Type="http://schemas.openxmlformats.org/officeDocument/2006/relationships/hyperlink" Target="http://www.gridwiseac.org/pdfs/forum_papers11/cazalet_paper_gi11.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webstore.iec.ch/publication/7570" TargetMode="External"/><Relationship Id="rId31" Type="http://schemas.openxmlformats.org/officeDocument/2006/relationships/hyperlink" Target="https://pages.nist.gov/TEChallenge/community/" TargetMode="External"/><Relationship Id="rId32" Type="http://schemas.openxmlformats.org/officeDocument/2006/relationships/hyperlink" Target="http://docs.oasis-open.org/ws-calendar/ws-calendar-pim/v1.0/cs02/ws-calendar-pim-v1.0-cs02.html" TargetMode="External"/><Relationship Id="rId9" Type="http://schemas.microsoft.com/office/2007/relationships/stylesWithEffects" Target="stylesWithEffects.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33" Type="http://schemas.openxmlformats.org/officeDocument/2006/relationships/hyperlink" Target="http://nvlpubs.nist.gov/nistpubs/TechnicalNotes/NIST.TN.1832.pdf" TargetMode="External"/><Relationship Id="rId34" Type="http://schemas.openxmlformats.org/officeDocument/2006/relationships/hyperlink" Target="http://docs.oasis-open.org/ws-tx/wstx-wsba-1.2-spec.html" TargetMode="External"/><Relationship Id="rId35" Type="http://schemas.openxmlformats.org/officeDocument/2006/relationships/hyperlink" Target="http://docs.oasis-open.org/soa-rm/v1.0/soa-rm.html" TargetMode="External"/><Relationship Id="rId36" Type="http://schemas.openxmlformats.org/officeDocument/2006/relationships/hyperlink" Target="http://www.gridwiseac.org/pdfs/gwac_tec_052313/tec_2013_proceedings_pnnl_sa_96361.pdf" TargetMode="Externa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png"/><Relationship Id="rId15" Type="http://schemas.openxmlformats.org/officeDocument/2006/relationships/image" Target="media/image2.emf"/><Relationship Id="rId16" Type="http://schemas.openxmlformats.org/officeDocument/2006/relationships/hyperlink" Target="https://webstore.iec.ch/publication/7478" TargetMode="External"/><Relationship Id="rId17" Type="http://schemas.openxmlformats.org/officeDocument/2006/relationships/hyperlink" Target="http://nist.gov/smartgrid/upload/NIST-SP-1108r3.pdf" TargetMode="External"/><Relationship Id="rId18" Type="http://schemas.openxmlformats.org/officeDocument/2006/relationships/hyperlink" Target="http://www.gridwiseac.org/pdfs/te_principles_slide_pnnl_sa_103625.pdf" TargetMode="External"/><Relationship Id="rId19" Type="http://schemas.openxmlformats.org/officeDocument/2006/relationships/hyperlink" Target="http://docs.oasis-open.org/energyinterop/ei/v1.0/energyinterop-v1.0.html" TargetMode="External"/><Relationship Id="rId37" Type="http://schemas.openxmlformats.org/officeDocument/2006/relationships/hyperlink" Target="http://coxsoftwarearchitects.com/Resources/TEC2013/Taxonomy_Transactive_Energy_Cox_20130523.pdf" TargetMode="External"/><Relationship Id="rId38" Type="http://schemas.openxmlformats.org/officeDocument/2006/relationships/hyperlink" Target="http://www.pnwsmartgrid.org/docs/PNWSGDP_MBRP_Revision_3.2.pdf" TargetMode="External"/><Relationship Id="rId39" Type="http://schemas.openxmlformats.org/officeDocument/2006/relationships/footer" Target="footer1.xml"/><Relationship Id="rId40" Type="http://schemas.openxmlformats.org/officeDocument/2006/relationships/hyperlink" Target="http://docs.oasis-open.org/energyinterop/ei/v1.0/os/energyinterop-v1.0-os.html" TargetMode="External"/><Relationship Id="rId41" Type="http://schemas.openxmlformats.org/officeDocument/2006/relationships/fontTable" Target="fontTable.xml"/><Relationship Id="rId42" Type="http://schemas.openxmlformats.org/officeDocument/2006/relationships/theme" Target="theme/theme1.xml"/><Relationship Id="rId43" Type="http://schemas.microsoft.com/office/2011/relationships/commentsExtended" Target="commentsExtended.xml"/><Relationship Id="rId44" Type="http://schemas.microsoft.com/office/2011/relationships/people" Target="people.xml"/></Relationships>
</file>

<file path=word/theme/theme1.xml><?xml version="1.0" encoding="utf-8"?>
<a:theme xmlns:a="http://schemas.openxmlformats.org/drawingml/2006/main" name="Office Theme">
  <a:themeElements>
    <a:clrScheme name="Navigant Brand">
      <a:dk1>
        <a:srgbClr val="555759"/>
      </a:dk1>
      <a:lt1>
        <a:srgbClr val="FFFFFF"/>
      </a:lt1>
      <a:dk2>
        <a:srgbClr val="648C1A"/>
      </a:dk2>
      <a:lt2>
        <a:srgbClr val="95D600"/>
      </a:lt2>
      <a:accent1>
        <a:srgbClr val="555759"/>
      </a:accent1>
      <a:accent2>
        <a:srgbClr val="FFB718"/>
      </a:accent2>
      <a:accent3>
        <a:srgbClr val="E53C2E"/>
      </a:accent3>
      <a:accent4>
        <a:srgbClr val="0093C9"/>
      </a:accent4>
      <a:accent5>
        <a:srgbClr val="8B189B"/>
      </a:accent5>
      <a:accent6>
        <a:srgbClr val="FFFFFF"/>
      </a:accent6>
      <a:hlink>
        <a:srgbClr val="0093C9"/>
      </a:hlink>
      <a:folHlink>
        <a:srgbClr val="8B189B"/>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Gri15</b:Tag>
    <b:SourceType>DocumentFromInternetSite</b:SourceType>
    <b:Guid>{45C1E5F3-CD62-6346-8FCD-0BFA62ADCE3F}</b:Guid>
    <b:Author>
      <b:Author>
        <b:Corporate>GridWise Architecture Council</b:Corporate>
      </b:Author>
    </b:Author>
    <b:Title>GridWise Transactive Energy Framework Version 1.0</b:Title>
    <b:Year>2015</b:Year>
    <b:URL>http://www.gridwiseac.org/pdfs/te_framework_report_pnnl-22946.pdf</b:URL>
    <b:Month>01</b:Month>
    <b:RefOrder>15</b:RefOrder>
  </b:Source>
  <b:Source>
    <b:Tag>Gri14</b:Tag>
    <b:SourceType>DocumentFromInternetSite</b:SourceType>
    <b:Guid>{C675093F-B540-CD41-A738-757B9AF27016}</b:Guid>
    <b:Author>
      <b:Author>
        <b:Corporate>GridWise Architecture Council</b:Corporate>
      </b:Author>
    </b:Author>
    <b:URL>http://www.gridwiseac.org/pdfs/te_principles_slide_pnnl_sa_103625.pdf</b:URL>
    <b:Year>2014</b:Year>
    <b:Month>07</b:Month>
    <b:Title>Transactive Energy Principles</b:Title>
    <b:RefOrder>3</b:RefOrder>
  </b:Source>
  <b:Source>
    <b:Tag>Pow16</b:Tag>
    <b:SourceType>DocumentFromInternetSite</b:SourceType>
    <b:Guid>{54CE5123-096D-0946-939F-34350D85CD64}</b:Guid>
    <b:Author>
      <b:Author>
        <b:Corporate>FlexiblePower Alliance Network</b:Corporate>
      </b:Author>
    </b:Author>
    <b:InternetSiteTitle>The PowerMatcher Suite</b:InternetSiteTitle>
    <b:URL>http://flexiblepower.github.io/</b:URL>
    <b:Year>2016</b:Year>
    <b:YearAccessed>2016</b:YearAccessed>
    <b:MonthAccessed>Feb</b:MonthAccessed>
    <b:DayAccessed>24</b:DayAccessed>
    <b:RefOrder>6</b:RefOrder>
  </b:Source>
  <b:Source>
    <b:Tag>Pow161</b:Tag>
    <b:SourceType>DocumentFromInternetSite</b:SourceType>
    <b:Guid>{88280DF3-EC34-3C42-8C7A-5C6AF938FA06}</b:Guid>
    <b:Author>
      <b:Author>
        <b:Corporate>FlexiblePower Alliance Network</b:Corporate>
      </b:Author>
    </b:Author>
    <b:InternetSiteTitle>PowerMatcher Documentation</b:InternetSiteTitle>
    <b:URL>http://fpai-ci.sensorlab.tno.nl/builds/powermatcher-documentation/master/html/</b:URL>
    <b:Year>2016</b:Year>
    <b:YearAccessed>2016</b:YearAccessed>
    <b:MonthAccessed>Feb</b:MonthAccessed>
    <b:DayAccessed>24</b:DayAccessed>
    <b:RefOrder>5</b:RefOrder>
  </b:Source>
  <b:Source>
    <b:Tag>Int16</b:Tag>
    <b:SourceType>DocumentFromInternetSite</b:SourceType>
    <b:Guid>{D30310EC-F659-BB4C-BD51-FF0DCBF3E710}</b:Guid>
    <b:Author>
      <b:Author>
        <b:Corporate>International Electrotechnical Commission</b:Corporate>
      </b:Author>
    </b:Author>
    <b:Title>IEC 62325</b:Title>
    <b:InternetSiteTitle>IEC Webstore</b:InternetSiteTitle>
    <b:URL>https://webstore.iec.ch/searchform&amp;q=62325</b:URL>
    <b:Year>2016</b:Year>
    <b:Month>Feb</b:Month>
    <b:YearAccessed>2016</b:YearAccessed>
    <b:MonthAccessed>Feb</b:MonthAccessed>
    <b:DayAccessed>24</b:DayAccessed>
    <b:RefOrder>8</b:RefOrder>
  </b:Source>
  <b:Source>
    <b:Tag>Org12</b:Tag>
    <b:SourceType>DocumentFromInternetSite</b:SourceType>
    <b:Guid>{6DAD04BC-EBC9-E541-BFC7-D6BA82C2517C}</b:Guid>
    <b:Title>Energy Interoperation 1.0 OASIS Standard</b:Title>
    <b:Year>2011-2014</b:Year>
    <b:ShortTitle>Energy Interoperation</b:ShortTitle>
    <b:Author>
      <b:Author>
        <b:Corporate>OASIS</b:Corporate>
      </b:Author>
      <b:Editor>
        <b:NameList>
          <b:Person>
            <b:Last>Considine</b:Last>
            <b:First>Toby</b:First>
          </b:Person>
        </b:NameList>
      </b:Editor>
    </b:Author>
    <b:Medium>Web Page</b:Medium>
    <b:Month>February</b:Month>
    <b:Day>18</b:Day>
    <b:URL>http://docs.oasis-open.org/energyinterop/ei/v1.0/energyinterop-v1.0.html</b:URL>
    <b:PublicationTitle>Energy Interoperation 1.0</b:PublicationTitle>
    <b:YearAccessed>2016</b:YearAccessed>
    <b:MonthAccessed>February</b:MonthAccessed>
    <b:DayAccessed>24</b:DayAccessed>
    <b:RefOrder>4</b:RefOrder>
  </b:Source>
  <b:Source>
    <b:Tag>Nat141</b:Tag>
    <b:SourceType>DocumentFromInternetSite</b:SourceType>
    <b:Guid>{3761DEE7-3B21-B840-B83D-DC8FAEF48548}</b:Guid>
    <b:Author>
      <b:Author>
        <b:Corporate>National Institute of Standards and Technology</b:Corporate>
      </b:Author>
    </b:Author>
    <b:Title>NIST Framework and Roadmap for Smart Grid Interoperability Standards, Release 3.0</b:Title>
    <b:URL>http://nist.gov/smartgrid/upload/NIST-SP-1108r3.pdf</b:URL>
    <b:Year>2014</b:Year>
    <b:Month>September</b:Month>
    <b:YearAccessed>2016</b:YearAccessed>
    <b:MonthAccessed>February</b:MonthAccessed>
    <b:DayAccessed>24</b:DayAccessed>
    <b:ShortTitle>Smartgrid3</b:ShortTitle>
    <b:Version>3.0</b:Version>
    <b:RefOrder>2</b:RefOrder>
  </b:Source>
  <b:Source>
    <b:Tag>OAS15</b:Tag>
    <b:SourceType>DocumentFromInternetSite</b:SourceType>
    <b:Guid>{49A87015-F805-4844-951A-4D87372B8192}</b:Guid>
    <b:Author>
      <b:Author>
        <b:Corporate>OASIS</b:Corporate>
      </b:Author>
      <b:Editor>
        <b:NameList>
          <b:Person>
            <b:Last>Cox</b:Last>
            <b:First>William</b:First>
          </b:Person>
          <b:Person>
            <b:Last>Considine</b:Last>
            <b:First>Toby</b:First>
          </b:Person>
        </b:NameList>
      </b:Editor>
    </b:Author>
    <b:Title>OASIS WS-Calendar Platform Independent Model (PIM) Version 1.0</b:Title>
    <b:URL>http://docs.oasis-open.org/ws-calendar/ws-calendar-pim/v1.0/cs02/ws-calendar-pim-v1.0-cs02.html</b:URL>
    <b:Year>2015</b:Year>
    <b:Month>August</b:Month>
    <b:Day>21</b:Day>
    <b:YearAccessed>2016</b:YearAccessed>
    <b:MonthAccessed>February</b:MonthAccessed>
    <b:DayAccessed>24</b:DayAccessed>
    <b:Comments>PDF is authoritative</b:Comments>
    <b:RefOrder>25</b:RefOrder>
  </b:Source>
  <b:Source>
    <b:Tag>Hol14</b:Tag>
    <b:SourceType>DocumentFromInternetSite</b:SourceType>
    <b:Guid>{6B8205D5-5149-064F-B161-5141985DA467}</b:Guid>
    <b:Author>
      <b:Author>
        <b:NameList>
          <b:Person>
            <b:Last>Holmberg</b:Last>
            <b:First>David</b:First>
            <b:Middle>G.</b:Middle>
          </b:Person>
          <b:Person>
            <b:Last>Hardin</b:Last>
            <b:First>David</b:First>
            <b:Middle>B.</b:Middle>
          </b:Person>
          <b:Person>
            <b:Last>Bushby</b:Last>
            <b:First>Steven</b:First>
            <b:Middle>T.</b:Middle>
          </b:Person>
        </b:NameList>
      </b:Author>
    </b:Author>
    <b:Title>Facility Smart Grid Interface and a Demand Response Conceptual Model</b:Title>
    <b:URL>http://nvlpubs.nist.gov/nistpubs/TechnicalNotes/NIST.TN.1832.pdf</b:URL>
    <b:ProductionCompany>National Institute of Standards and Technology</b:ProductionCompany>
    <b:Year>2014</b:Year>
    <b:Month>August</b:Month>
    <b:YearAccessed>2016</b:YearAccessed>
    <b:MonthAccessed>February</b:MonthAccessed>
    <b:DayAccessed>24</b:DayAccessed>
    <b:ShortTitle>FSGI</b:ShortTitle>
    <b:Comments>NIST TN 1832</b:Comments>
    <b:RefOrder>26</b:RefOrder>
  </b:Source>
  <b:Source>
    <b:Tag>Int14</b:Tag>
    <b:SourceType>DocumentFromInternetSite</b:SourceType>
    <b:Guid>{BFC53DB4-EA51-964E-B626-8FCCDC5AB383}</b:Guid>
    <b:Author>
      <b:Author>
        <b:Corporate>International Electrotechnical Commission</b:Corporate>
      </b:Author>
    </b:Author>
    <b:Title>Smart grid user interface - Part 1: Interface overview and country perspectives</b:Title>
    <b:URL>https://webstore.iec.ch/publication/7478</b:URL>
    <b:Year>2014</b:Year>
    <b:Month>November</b:Month>
    <b:Day>17</b:Day>
    <b:YearAccessed>2016</b:YearAccessed>
    <b:MonthAccessed>February</b:MonthAccessed>
    <b:DayAccessed>24</b:DayAccessed>
    <b:ShortTitle>SGUI TR</b:ShortTitle>
    <b:StandardNumber>IEC TR 62939-1:2014</b:StandardNumber>
    <b:RefOrder>1</b:RefOrder>
  </b:Source>
  <b:Source>
    <b:Tag>Alb</b:Tag>
    <b:SourceType>ConferenceProceedings</b:SourceType>
    <b:Guid>{155A341E-0657-0B43-95B9-4E7BBF285F82}</b:Guid>
    <b:Author>
      <b:Author>
        <b:NameList>
          <b:Person>
            <b:Last>Albuyeh</b:Last>
            <b:First>Farrokh</b:First>
          </b:Person>
          <b:Person>
            <b:Last>Rahimi</b:Last>
            <b:First>Farrokh</b:First>
          </b:Person>
        </b:NameList>
      </b:Author>
    </b:Author>
    <b:Title>Applying Lessons Learned from Transmission/Bulk Power Deregulation to Transactive Energy at the Distribution/Retail Level </b:Title>
    <b:ConferenceName>Submitted to Transactive Energy Systems Conference</b:ConferenceName>
    <b:City>Portland</b:City>
    <b:Year>2016</b:Year>
    <b:RefOrder>17</b:RefOrder>
  </b:Source>
  <b:Source>
    <b:Tag>Hay45</b:Tag>
    <b:SourceType>JournalArticle</b:SourceType>
    <b:Guid>{E1F4418A-3141-C244-A6F3-A22C18E5B2AE}</b:Guid>
    <b:Author>
      <b:Author>
        <b:NameList>
          <b:Person>
            <b:Last>Hayek</b:Last>
            <b:First>F.</b:First>
            <b:Middle>A.</b:Middle>
          </b:Person>
        </b:NameList>
      </b:Author>
    </b:Author>
    <b:Title>The Use of Knowledge in Society</b:Title>
    <b:JournalName>The American Economic Review</b:JournalName>
    <b:Year>1945</b:Year>
    <b:Pages>519-530</b:Pages>
    <b:Volume>35</b:Volume>
    <b:Issue>4</b:Issue>
    <b:RefOrder>27</b:RefOrder>
  </b:Source>
  <b:Source>
    <b:Tag>OAS09</b:Tag>
    <b:SourceType>DocumentFromInternetSite</b:SourceType>
    <b:Guid>{532D29E5-75F3-6949-9A2E-1337024E7979}</b:Guid>
    <b:Author>
      <b:Author>
        <b:Corporate>OASIS</b:Corporate>
      </b:Author>
      <b:Editor>
        <b:NameList>
          <b:Person>
            <b:Last>Freund</b:Last>
            <b:First>Tom</b:First>
          </b:Person>
          <b:Person>
            <b:Last>Little</b:Last>
            <b:First>Mark</b:First>
          </b:Person>
        </b:NameList>
      </b:Editor>
    </b:Author>
    <b:Title>Web Services Business Activity (WS-BusinessActivity) Version 1.2</b:Title>
    <b:Year>2009</b:Year>
    <b:ShortTitle>WS-BA</b:ShortTitle>
    <b:Comments>OASIS Standard</b:Comments>
    <b:URL>http://docs.oasis-open.org/ws-tx/wstx-wsba-1.2-spec.html</b:URL>
    <b:Month>February</b:Month>
    <b:Day>02</b:Day>
    <b:YearAccessed>2016</b:YearAccessed>
    <b:MonthAccessed>February</b:MonthAccessed>
    <b:DayAccessed>24</b:DayAccessed>
    <b:RefOrder>28</b:RefOrder>
  </b:Source>
  <b:Source>
    <b:Tag>Gra93</b:Tag>
    <b:SourceType>Book</b:SourceType>
    <b:Guid>{CB52F8DC-3227-1344-8032-3938F039E61C}</b:Guid>
    <b:Title>Transaction Processing: Concepts and Techniques</b:Title>
    <b:Year>1993</b:Year>
    <b:Publisher>Morgan Kaufmann</b:Publisher>
    <b:Author>
      <b:Author>
        <b:NameList>
          <b:Person>
            <b:Last>Gray</b:Last>
            <b:First>J</b:First>
          </b:Person>
          <b:Person>
            <b:Last>Reuter</b:Last>
            <b:First>Andreas</b:First>
          </b:Person>
        </b:NameList>
      </b:Author>
    </b:Author>
    <b:RefOrder>29</b:RefOrder>
  </b:Source>
  <b:Source>
    <b:Tag>Int141</b:Tag>
    <b:SourceType>DocumentFromInternetSite</b:SourceType>
    <b:Guid>{7F69F92F-BF35-1C43-A695-FF937B477811}</b:Guid>
    <b:Author>
      <b:Author>
        <b:Corporate>International Electrotechnical Commission</b:Corporate>
      </b:Author>
    </b:Author>
    <b:Title>Systems interface between customer energy management system and the power management system - Part 10-1: Open Automated Demand Response (OpenADR 2.0b Profile Specification) </b:Title>
    <b:URL>https://webstore.iec.ch/publication/7570</b:URL>
    <b:Year>2014</b:Year>
    <b:Month>February</b:Month>
    <b:Day>19</b:Day>
    <b:YearAccessed>2016</b:YearAccessed>
    <b:MonthAccessed>February</b:MonthAccessed>
    <b:DayAccessed>24</b:DayAccessed>
    <b:StandardNumber>IEC PAS 62746-10-1:2014</b:StandardNumber>
    <b:Comments>Link to webstore page for standard</b:Comments>
    <b:RefOrder>23</b:RefOrder>
  </b:Source>
  <b:Source>
    <b:Tag>Bej14</b:Tag>
    <b:SourceType>JournalArticle</b:SourceType>
    <b:Guid>{955D3987-D49A-AE4F-BA92-5F910CB99666}</b:Guid>
    <b:Title>A Hierarchical Transactive Control Architecture for Renewables Integration in Smart Grids: Analytical Modeling and Stability</b:Title>
    <b:Year>2014</b:Year>
    <b:Pages>2054-2065</b:Pages>
    <b:ShortTitle>MIT1</b:ShortTitle>
    <b:JournalName>IEEE Transactions on Smart Grid</b:JournalName>
    <b:Month>July</b:Month>
    <b:Volume>5</b:Volume>
    <b:Issue>4</b:Issue>
    <b:Author>
      <b:Author>
        <b:NameList>
          <b:Person>
            <b:Last>Bejestani</b:Last>
            <b:First>A.</b:First>
            <b:Middle>Kiani</b:Middle>
          </b:Person>
          <b:Person>
            <b:Last>Annaswamy</b:Last>
            <b:First>A.</b:First>
          </b:Person>
          <b:Person>
            <b:Last>Samad</b:Last>
            <b:First>T.</b:First>
          </b:Person>
        </b:NameList>
      </b:Author>
    </b:Author>
    <b:RefOrder>11</b:RefOrder>
  </b:Source>
  <b:Source>
    <b:Tag>Knu15</b:Tag>
    <b:SourceType>JournalArticle</b:SourceType>
    <b:Guid>{64DA0340-C893-7446-8F78-8F10E9760FB2}</b:Guid>
    <b:Title>A Dynamic Market Mechanism for the Integration of Renewables and Demand Response</b:Title>
    <b:JournalName>IEEE Transactions on Control Systems Technology</b:JournalName>
    <b:Publisher>(IEEE Xplore Early Access)</b:Publisher>
    <b:Year>2015</b:Year>
    <b:Pages>1-16</b:Pages>
    <b:Author>
      <b:Author>
        <b:NameList>
          <b:Person>
            <b:Last>Knudsen</b:Last>
            <b:First>J.</b:First>
          </b:Person>
          <b:Person>
            <b:Last>Hansen</b:Last>
            <b:First>J.</b:First>
          </b:Person>
          <b:Person>
            <b:Last>Annaswamy</b:Last>
            <b:Middle>M.</b:Middle>
            <b:First>A.</b:First>
          </b:Person>
        </b:NameList>
      </b:Author>
    </b:Author>
    <b:RefOrder>12</b:RefOrder>
  </b:Source>
  <b:Source>
    <b:Tag>Tra16</b:Tag>
    <b:SourceType>DocumentFromInternetSite</b:SourceType>
    <b:Guid>{58736BBC-6336-2A44-AACD-4C464FE7FBEF}</b:Guid>
    <b:Author>
      <b:Author>
        <b:Corporate>Transactive Energy Associatiion</b:Corporate>
      </b:Author>
    </b:Author>
    <b:Title>Transactive Energy Description and Benefits</b:Title>
    <b:InternetSiteTitle>TEA - Transactive Energy Association</b:InternetSiteTitle>
    <b:URL>https://www.linkedin.com/groups/4778076/4778076-199816061</b:URL>
    <b:YearAccessed>2016</b:YearAccessed>
    <b:MonthAccessed>February</b:MonthAccessed>
    <b:DayAccessed>27</b:DayAccessed>
    <b:RefOrder>16</b:RefOrder>
  </b:Source>
  <b:Source>
    <b:Tag>Tra1</b:Tag>
    <b:SourceType>DocumentFromInternetSite</b:SourceType>
    <b:Guid>{013A29A9-A49A-934B-B97E-3933D4A548B6}</b:Guid>
    <b:Author>
      <b:Author>
        <b:Corporate>Transactive Microgrid Team</b:Corporate>
      </b:Author>
    </b:Author>
    <b:Title>NIST Transactive Energy Challenge</b:Title>
    <b:InternetSiteTitle>NIST Transactive Energy Challenge Collaborative Site</b:InternetSiteTitle>
    <b:URL>https://pages.nist.gov/TEChallenge/community/</b:URL>
    <b:RefOrder>24</b:RefOrder>
  </b:Source>
  <b:Source>
    <b:Tag>NIS16</b:Tag>
    <b:SourceType>DocumentFromInternetSite</b:SourceType>
    <b:Guid>{DCC19C7F-CC6D-6342-A7DE-81D32B5CC771}</b:Guid>
    <b:Author>
      <b:Author>
        <b:Corporate>TransactiveADR Team</b:Corporate>
      </b:Author>
    </b:Author>
    <b:Title>NIST Transactive Energy Challenge</b:Title>
    <b:URL>https://pages.nist.gov/TEChallenge/community/</b:URL>
    <b:YearAccessed>2016</b:YearAccessed>
    <b:MonthAccessed>February</b:MonthAccessed>
    <b:DayAccessed>25</b:DayAccessed>
    <b:InternetSiteTitle>NIST Transactive Energy Challenge Collaborative Site</b:InternetSiteTitle>
    <b:ShortTitle>TransactiveADR</b:ShortTitle>
    <b:RefOrder>10</b:RefOrder>
  </b:Source>
  <b:Source>
    <b:Tag>Caz11</b:Tag>
    <b:SourceType>DocumentFromInternetSite</b:SourceType>
    <b:Guid>{F89891B5-6B64-6B42-8FB9-61856D43CA41}</b:Guid>
    <b:Title>Automated Transactive Energy (TeMIX)</b:Title>
    <b:Year>2011</b:Year>
    <b:ConferenceName>Grid-Interop 2011</b:ConferenceName>
    <b:Publisher>GridWise Architecture Council</b:Publisher>
    <b:Author>
      <b:Author>
        <b:NameList>
          <b:Person>
            <b:Last>Cazalet</b:Last>
            <b:Middle>G.</b:Middle>
            <b:First>Edward</b:First>
          </b:Person>
        </b:NameList>
      </b:Author>
    </b:Author>
    <b:InternetSiteTitle>GridWise Architecture Council Grid-Interop 2011</b:InternetSiteTitle>
    <b:URL>http://www.gridwiseac.org/pdfs/forum_papers11/cazalet_paper_gi11.pdf</b:URL>
    <b:YearAccessed>2016</b:YearAccessed>
    <b:MonthAccessed>February</b:MonthAccessed>
    <b:DayAccessed>26</b:DayAccessed>
    <b:RefOrder>22</b:RefOrder>
  </b:Source>
  <b:Source>
    <b:Tag>Org06</b:Tag>
    <b:SourceType>DocumentFromInternetSite</b:SourceType>
    <b:Guid>{3DFE6A6B-07F4-B04E-BD6F-BFD0C3766611}</b:Guid>
    <b:Author>
      <b:Author>
        <b:Corporate>OASIS</b:Corporate>
      </b:Author>
      <b:ProducerName>
        <b:NameList>
          <b:Person>
            <b:Last>(OASIS)</b:Last>
            <b:First>Organization</b:First>
            <b:Middle>for the Advancement of Structured Information Standards</b:Middle>
          </b:Person>
        </b:NameList>
      </b:ProducerName>
      <b:Editor>
        <b:NameList>
          <b:Person>
            <b:Last>MacKenzie</b:Last>
            <b:First>C.</b:First>
            <b:Middle>Matthew</b:Middle>
          </b:Person>
          <b:Person>
            <b:Last>Laskey</b:Last>
            <b:First>Ken</b:First>
          </b:Person>
          <b:Person>
            <b:Last>McCabe</b:Last>
            <b:First>Francis</b:First>
          </b:Person>
          <b:Person>
            <b:Last>Brown</b:Last>
            <b:First>Peter</b:First>
            <b:Middle>F</b:Middle>
          </b:Person>
          <b:Person>
            <b:Last>Metz</b:Last>
            <b:First>Rebekah</b:First>
          </b:Person>
        </b:NameList>
      </b:Editor>
    </b:Author>
    <b:Year>2006</b:Year>
    <b:Comments>http://docs.oasis-open.org/soa-rm/v1.0/soa-rm.html</b:Comments>
    <b:URL>http://docs.oasis-open.org/soa-rm/v1.0/soa-rm.html</b:URL>
    <b:InternetSiteTitle>Reference Model for Service Oriented Architecture 1.0 (OASIS Standard)</b:InternetSiteTitle>
    <b:Institution>OASIS</b:Institution>
    <b:RefOrder>30</b:RefOrder>
  </b:Source>
  <b:Source>
    <b:Tag>ASH16</b:Tag>
    <b:SourceType>Report</b:SourceType>
    <b:Guid>{72D40A18-9E47-8944-BB9D-0EC8F05C8247}</b:Guid>
    <b:Title>Facility Smart Grid Information Model</b:Title>
    <b:Year>2016</b:Year>
    <b:ShortTitle>201</b:ShortTitle>
    <b:StandardNumber>ASHRAE 201</b:StandardNumber>
    <b:Author>
      <b:Author>
        <b:Corporate>ASHRAE</b:Corporate>
      </b:Author>
    </b:Author>
    <b:Institution>In Press</b:Institution>
    <b:RefOrder>31</b:RefOrder>
  </b:Source>
  <b:Source>
    <b:Tag>Gri08</b:Tag>
    <b:SourceType>DocumentFromInternetSite</b:SourceType>
    <b:Guid>{F4ABC067-D456-0945-A2D5-C6B632A0897E}</b:Guid>
    <b:Author>
      <b:Author>
        <b:Corporate>GridWise Architecture Council</b:Corporate>
      </b:Author>
    </b:Author>
    <b:Institution>GridWise Architecture Council</b:Institution>
    <b:Year>2008</b:Year>
    <b:ShortTitle>context-setting framework</b:ShortTitle>
    <b:InternetSiteTitle>Interoperability Context-Setting Framework</b:InternetSiteTitle>
    <b:URL>http://www.gridwiseac.org/pdfs/interopframework_v1_1.pdf</b:URL>
    <b:Month>March</b:Month>
    <b:YearAccessed>2016</b:YearAccessed>
    <b:MonthAccessed>February</b:MonthAccessed>
    <b:DayAccessed>25</b:DayAccessed>
    <b:RefOrder>13</b:RefOrder>
  </b:Source>
  <b:Source>
    <b:Tag>Gri13</b:Tag>
    <b:SourceType>InternetSite</b:SourceType>
    <b:Guid>{A4B6ACC5-A13E-1246-BBC9-70BEFB70EF95}</b:Guid>
    <b:Title>Transactive Energy Conference</b:Title>
    <b:Year>2013</b:Year>
    <b:Author>
      <b:Author>
        <b:Corporate>GridWise Architecture Council</b:Corporate>
      </b:Author>
    </b:Author>
    <b:URL>http://www.gridwiseac.org/pdfs/gwac_tec_052313/tec_2013_proceedings_pnnl_sa_96361.pdf</b:URL>
    <b:RefOrder>32</b:RefOrder>
  </b:Source>
  <b:Source>
    <b:Tag>Lib04</b:Tag>
    <b:SourceType>Report</b:SourceType>
    <b:Guid>{726AB2E6-043A-F946-8D1B-73A5FC663D5C}</b:Guid>
    <b:Title>The AMIS Approach to Systems Integration: An Overview</b:Title>
    <b:Institution>National Institute of Standards and Technology</b:Institution>
    <b:Year>2004</b:Year>
    <b:StandardNumber>NISTIR 7101</b:StandardNumber>
    <b:Author>
      <b:Author>
        <b:NameList>
          <b:Person>
            <b:Last>Libes</b:Last>
            <b:First>Don</b:First>
          </b:Person>
          <b:Person>
            <b:Last>Barkmeyer</b:Last>
            <b:Middle>J.</b:Middle>
            <b:First>Edward</b:First>
          </b:Person>
          <b:Person>
            <b:Last>Denno</b:Last>
            <b:First>Peter</b:First>
          </b:Person>
          <b:Person>
            <b:Last>Flater</b:Last>
            <b:First>David</b:First>
          </b:Person>
          <b:Person>
            <b:Last>Steves</b:Last>
            <b:Middle>Potts</b:Middle>
            <b:First>Michelle</b:First>
          </b:Person>
          <b:Person>
            <b:Last>Wallace</b:Last>
            <b:First>Evan</b:First>
          </b:Person>
          <b:Person>
            <b:Last>Feeney</b:Last>
            <b:Middle>Barnard</b:Middle>
            <b:First>Allison</b:First>
          </b:Person>
        </b:NameList>
      </b:Author>
    </b:Author>
    <b:RefOrder>33</b:RefOrder>
  </b:Source>
  <b:Source>
    <b:Tag>OAS12</b:Tag>
    <b:SourceType>DocumentFromInternetSite</b:SourceType>
    <b:Guid>{369CE049-21E5-3D4F-AB17-5382517677EA}</b:Guid>
    <b:Author>
      <b:Author>
        <b:Corporate>OASIS</b:Corporate>
      </b:Author>
      <b:Editor>
        <b:NameList>
          <b:Person>
            <b:Last>Considine</b:Last>
            <b:First>Toby</b:First>
          </b:Person>
        </b:NameList>
      </b:Editor>
    </b:Author>
    <b:Title>Energy Market Information Exchange Version 1.0</b:Title>
    <b:Year>2012</b:Year>
    <b:ShortTitle>EMIX</b:ShortTitle>
    <b:URL>http://docs.oasis-open.org/emix/emix/v1.0/emix-v1.0.html</b:URL>
    <b:Month>January</b:Month>
    <b:Day>11</b:Day>
    <b:Comments>http://docs.oasis-open.org/emix/emix/v1.0/emix-v1.0.html</b:Comments>
    <b:Version>1.0 CS02</b:Version>
    <b:RefOrder>9</b:RefOrder>
  </b:Source>
  <b:Source>
    <b:Tag>Cox132</b:Tag>
    <b:SourceType>DocumentFromInternetSite</b:SourceType>
    <b:Guid>{EC631C44-2A08-AE41-A4AF-771629845A52}</b:Guid>
    <b:Title>Towards a Taxonomy of Transactive Energy</b:Title>
    <b:Year>2013</b:Year>
    <b:ShortTitle>Taxonomy</b:ShortTitle>
    <b:Comments>In 2013 Transactive Energy Conference</b:Comments>
    <b:InternetSiteTitle>Cox Software Architects LLC</b:InternetSiteTitle>
    <b:URL>http://coxsoftwarearchitects.com/Resources/TEC2013/Taxonomy_Transactive_Energy_Cox_20130523.pdf</b:URL>
    <b:Month>May</b:Month>
    <b:Day>23</b:Day>
    <b:YearAccessed>2016</b:YearAccessed>
    <b:MonthAccessed>Feburary</b:MonthAccessed>
    <b:DayAccessed>24</b:DayAccessed>
    <b:Author>
      <b:Author>
        <b:NameList>
          <b:Person>
            <b:Last>Cox</b:Last>
            <b:First>William</b:First>
          </b:Person>
        </b:NameList>
      </b:Author>
    </b:Author>
    <b:RefOrder>34</b:RefOrder>
  </b:Source>
  <b:Source>
    <b:Tag>Gam94</b:Tag>
    <b:SourceType>Book</b:SourceType>
    <b:Guid>{C87CD3A0-6795-C940-9E17-A4ABA7234DE4}</b:Guid>
    <b:Title>Design Patterns: Elements of Reusable Object-Oriented Software</b:Title>
    <b:Year>1994</b:Year>
    <b:Author>
      <b:Author>
        <b:NameList>
          <b:Person>
            <b:Last>Gamma</b:Last>
          </b:Person>
          <b:Person>
            <b:Last>Gamma</b:Last>
            <b:First>E</b:First>
          </b:Person>
          <b:Person>
            <b:Last>Helm</b:Last>
            <b:First>R</b:First>
          </b:Person>
          <b:Person>
            <b:Last>Vissides</b:Last>
            <b:First>J</b:First>
          </b:Person>
        </b:NameList>
      </b:Author>
    </b:Author>
    <b:Publisher>Addison-Wesley Professional</b:Publisher>
    <b:ShortTitle>Design Patterns</b:ShortTitle>
    <b:RefOrder>14</b:RefOrder>
  </b:Source>
  <b:Source>
    <b:Tag>Bat15</b:Tag>
    <b:SourceType>DocumentFromInternetSite</b:SourceType>
    <b:Guid>{ECD2C94C-4AFB-8341-BD8D-BD7E681B8189}</b:Guid>
    <b:Author>
      <b:Author>
        <b:Corporate>Battelle Memorial Institute</b:Corporate>
        <b:NameList>
          <b:Person>
            <b:Last>Hammerstrom</b:Last>
            <b:First>D</b:First>
          </b:Person>
        </b:NameList>
      </b:Author>
    </b:Author>
    <b:Title>Pacific Northwest GSmart Grid Demonstration Project Technology Performance Report</b:Title>
    <b:InternetSiteTitle>SmartGrid.gov</b:InternetSiteTitle>
    <b:URL>https://www.smartgrid.gov/document/Pacific_Northwest_Smart_Grid_Technology_Performance.html</b:URL>
    <b:Year>2015</b:Year>
    <b:Month>June</b:Month>
    <b:YearAccessed>2016</b:YearAccessed>
    <b:MonthAccessed>February</b:MonthAccessed>
    <b:DayAccessed>24</b:DayAccessed>
    <b:ShortTitle>PNW</b:ShortTitle>
    <b:ProductionCompany>Battelle Memorial Institute</b:ProductionCompany>
    <b:RefOrder>7</b:RefOrder>
  </b:Source>
  <b:Source>
    <b:Tag>Ham</b:Tag>
    <b:SourceType>Report</b:SourceType>
    <b:Guid>{CA689BE2-099D-B944-8781-8675960E7213}</b:Guid>
    <b:Author>
      <b:Author>
        <b:NameList>
          <b:Person>
            <b:Last>Hammerstrom</b:Last>
            <b:First>Donald</b:First>
          </b:Person>
        </b:NameList>
      </b:Author>
    </b:Author>
    <b:Title>Pacific Northwest Smart Grid Demonstration Transactive Coordination Signals</b:Title>
    <b:Institution>Batelle Memorial Institute</b:Institution>
    <b:Department>Pacific Northwest Division</b:Department>
    <b:ThesisType>Technical Report</b:ThesisType>
    <b:Year>2013</b:Year>
    <b:StandardNumber>PNWD-4402 Rev. X.</b:StandardNumber>
    <b:City>Richland WA</b:City>
    <b:Comments>Available at http://www.pnwsmartgrid.org/docs/Transactive_Coordination_Signals.pdf</b:Comments>
    <b:RefOrder>18</b:RefOrder>
  </b:Source>
  <b:Source>
    <b:Tag>Ham15</b:Tag>
    <b:SourceType>Report</b:SourceType>
    <b:Guid>{0FFF09BE-DD1B-674F-93BD-A8422BC76A58}</b:Guid>
    <b:Title>Transactive Node Framework and Toolkit Library Functions, Version 1.0</b:Title>
    <b:Institution>Battelle Memorial Institute</b:Institution>
    <b:Department>Pacific Northwest Division</b:Department>
    <b:ThesisType>Technical Report</b:ThesisType>
    <b:Year>2015</b:Year>
    <b:StandardNumber>PNWD-4449</b:StandardNumber>
    <b:Author>
      <b:Author>
        <b:NameList>
          <b:Person>
            <b:Last>Hammerstrom</b:Last>
            <b:First>Donald</b:First>
          </b:Person>
          <b:Person>
            <b:Last>Esram</b:Last>
            <b:First>Trhishan</b:First>
          </b:Person>
        </b:NameList>
      </b:Author>
    </b:Author>
    <b:City>Richland WA</b:City>
    <b:Comments>Available at http://www.pnwsmartgrid.org/docs/Transactive_Node_Toolkit_Framework_Version_2-0.pdf</b:Comments>
    <b:RefOrder>19</b:RefOrder>
  </b:Source>
  <b:Source>
    <b:Tag>Ham13</b:Tag>
    <b:SourceType>Report</b:SourceType>
    <b:Guid>{D8ABD1A7-7CE3-444E-A5FA-EC0CA3664795}</b:Guid>
    <b:URL>http://www.pnwsmartgrid.org/docs/PNWSGDP_MBRP_Revision_3.2.pdf</b:URL>
    <b:ProductionCompany>Battelle Memorial Institute Pacific Northwest Division</b:ProductionCompany>
    <b:Year>2013</b:Year>
    <b:Month>07</b:Month>
    <b:Day>31</b:Day>
    <b:Author>
      <b:Author>
        <b:NameList>
          <b:Person>
            <b:Last>Hammerstrom</b:Last>
            <b:First>D</b:First>
          </b:Person>
          <b:Person>
            <b:Last>Melton</b:Last>
            <b:Middle>B</b:Middle>
            <b:First>R</b:First>
          </b:Person>
          <b:Person>
            <b:Last>Elbert</b:Last>
            <b:Middle>T</b:Middle>
            <b:First>S</b:First>
          </b:Person>
          <b:Person>
            <b:Last>Faber</b:Last>
            <b:Middle>R</b:Middle>
            <b:First>A</b:First>
          </b:Person>
          <b:Person>
            <b:Last>Esram</b:Last>
            <b:First>T</b:First>
          </b:Person>
          <b:Person>
            <b:Last>Singh</b:Last>
            <b:First>R</b:First>
          </b:Person>
          <b:Person>
            <b:Last>Boyd</b:Last>
            <b:Middle>A</b:Middle>
            <b:First>P</b:First>
          </b:Person>
        </b:NameList>
      </b:Author>
    </b:Author>
    <b:Title>Pacific Northwest Smart Grid Demonstration Project: Metrics and Benefits Reporting Plan</b:Title>
    <b:StandardNumber>PNW-SGDP-MB-001 Revision 3.2</b:StandardNumber>
    <b:Comments>Available at http://www.pnwsmartgrid.org/docs/PNWSGDP_MBRP_Revision_3.2.pdf</b:Comments>
    <b:Institution>Battell Memorial Institute</b:Institution>
    <b:Department>Pacific Northwest Division</b:Department>
    <b:City>Richland WA</b:City>
    <b:RefOrder>35</b:RefOrder>
  </b:Source>
  <b:Source>
    <b:Tag>Kuc15</b:Tag>
    <b:SourceType>Report</b:SourceType>
    <b:Guid>{206EDE02-1847-EA41-B7CB-394BA74EE923}</b:Guid>
    <b:Title>Transactive Signal Schema</b:Title>
    <b:Institution>Pacific Northwest National Laboratory</b:Institution>
    <b:City>Richland WA</b:City>
    <b:ThesisType>Technical report</b:ThesisType>
    <b:Year>2015</b:Year>
    <b:StandardNumber>PNNL-24744</b:StandardNumber>
    <b:Author>
      <b:Author>
        <b:NameList>
          <b:Person>
            <b:Last>Kuchar</b:Last>
            <b:First>Olga</b:First>
          </b:Person>
          <b:Person>
            <b:Last>Elbert</b:Last>
            <b:First>Stephen</b:First>
          </b:Person>
          <b:Person>
            <b:Last>Hammerstrom</b:Last>
            <b:First>Donald</b:First>
          </b:Person>
          <b:Person>
            <b:Last>Connell</b:Last>
            <b:First>Linda</b:First>
          </b:Person>
        </b:NameList>
      </b:Author>
    </b:Author>
    <b:Comments>Available at http://www.pnwsmartgrid.org/docs/TransactiveSignalSchema.pdf</b:Comments>
    <b:RefOrder>20</b:RefOrder>
  </b:Source>
  <b:Source>
    <b:Tag>Kuc151</b:Tag>
    <b:SourceType>Report</b:SourceType>
    <b:Guid>{F1E6D9D8-3D92-BA43-951D-C84F7C7DC131}</b:Guid>
    <b:Title>PNWSGD Data Colletion: Non-Transactive Data: XML Schema and Examples</b:Title>
    <b:Institution>Pacific Northwest National Laboratory</b:Institution>
    <b:Year>2015</b:Year>
    <b:StandardNumber>PNNL-25140 Rel 3.0</b:StandardNumber>
    <b:Comments>Available at http://www.pnwsmartgrid.org/docs/NonTransactiveSchema.pdf</b:Comments>
    <b:Author>
      <b:Author>
        <b:NameList>
          <b:Person>
            <b:Last>Kuchar</b:Last>
            <b:Middle>A</b:Middle>
            <b:First>Olga</b:First>
          </b:Person>
          <b:Person>
            <b:Last>Elbert</b:Last>
            <b:Middle>T</b:Middle>
            <b:First>Stephen</b:First>
          </b:Person>
          <b:Person>
            <b:Last>Marinovici</b:Last>
            <b:First>Cristina</b:First>
          </b:Person>
        </b:NameList>
      </b:Author>
    </b:Author>
    <b:RefOrder>36</b:RefOrder>
  </b:Source>
  <b:Source>
    <b:Tag>Ham1</b:Tag>
    <b:SourceType>Misc</b:SourceType>
    <b:Guid>{48EC53E5-1242-4C47-8426-F733941EDC06}</b:Guid>
    <b:Title>Private communication</b:Title>
    <b:Author>
      <b:Author>
        <b:NameList>
          <b:Person>
            <b:Last>Hammerstrom</b:Last>
            <b:First>Donald</b:First>
          </b:Person>
        </b:NameList>
      </b:Author>
    </b:Author>
    <b:RefOrder>21</b:RefOrder>
  </b:Source>
</b:Sources>
</file>

<file path=customXml/item2.xml><?xml version="1.0" encoding="utf-8"?>
<b:Sources xmlns:b="http://schemas.openxmlformats.org/officeDocument/2006/bibliography" xmlns="http://schemas.openxmlformats.org/officeDocument/2006/bibliography" SelectedStyle="/IEEE_Reference.XSL" StyleName="IEEE - Reference Order" Version="2006">
  <b:Source>
    <b:Tag>Gri15</b:Tag>
    <b:SourceType>DocumentFromInternetSite</b:SourceType>
    <b:Guid>{45C1E5F3-CD62-6346-8FCD-0BFA62ADCE3F}</b:Guid>
    <b:Author>
      <b:Author>
        <b:Corporate>GridWise Architecture Council</b:Corporate>
      </b:Author>
    </b:Author>
    <b:Title>GridWise Transactive Energy Framework Version 1.0</b:Title>
    <b:Year>2015</b:Year>
    <b:URL>http://www.gridwiseac.org/pdfs/te_framework_report_pnnl-22946.pdf</b:URL>
    <b:Month>01</b:Month>
    <b:RefOrder>15</b:RefOrder>
  </b:Source>
  <b:Source>
    <b:Tag>Gri14</b:Tag>
    <b:SourceType>DocumentFromInternetSite</b:SourceType>
    <b:Guid>{C675093F-B540-CD41-A738-757B9AF27016}</b:Guid>
    <b:Author>
      <b:Author>
        <b:Corporate>GridWise Architecture Council</b:Corporate>
      </b:Author>
    </b:Author>
    <b:URL>http://www.gridwiseac.org/pdfs/te_principles_slide_pnnl_sa_103625.pdf</b:URL>
    <b:Year>2014</b:Year>
    <b:Month>07</b:Month>
    <b:Title>Transactive Energy Principles</b:Title>
    <b:RefOrder>3</b:RefOrder>
  </b:Source>
  <b:Source>
    <b:Tag>Pow16</b:Tag>
    <b:SourceType>DocumentFromInternetSite</b:SourceType>
    <b:Guid>{54CE5123-096D-0946-939F-34350D85CD64}</b:Guid>
    <b:Author>
      <b:Author>
        <b:Corporate>FlexiblePower Alliance Network</b:Corporate>
      </b:Author>
    </b:Author>
    <b:InternetSiteTitle>The PowerMatcher Suite</b:InternetSiteTitle>
    <b:URL>http://flexiblepower.github.io/</b:URL>
    <b:Year>2016</b:Year>
    <b:YearAccessed>2016</b:YearAccessed>
    <b:MonthAccessed>Feb</b:MonthAccessed>
    <b:DayAccessed>24</b:DayAccessed>
    <b:RefOrder>6</b:RefOrder>
  </b:Source>
  <b:Source>
    <b:Tag>Pow161</b:Tag>
    <b:SourceType>DocumentFromInternetSite</b:SourceType>
    <b:Guid>{88280DF3-EC34-3C42-8C7A-5C6AF938FA06}</b:Guid>
    <b:Author>
      <b:Author>
        <b:Corporate>FlexiblePower Alliance Network</b:Corporate>
      </b:Author>
    </b:Author>
    <b:InternetSiteTitle>PowerMatcher Documentation</b:InternetSiteTitle>
    <b:URL>http://fpai-ci.sensorlab.tno.nl/builds/powermatcher-documentation/master/html/</b:URL>
    <b:Year>2016</b:Year>
    <b:YearAccessed>2016</b:YearAccessed>
    <b:MonthAccessed>Feb</b:MonthAccessed>
    <b:DayAccessed>24</b:DayAccessed>
    <b:RefOrder>5</b:RefOrder>
  </b:Source>
  <b:Source>
    <b:Tag>Int16</b:Tag>
    <b:SourceType>DocumentFromInternetSite</b:SourceType>
    <b:Guid>{D30310EC-F659-BB4C-BD51-FF0DCBF3E710}</b:Guid>
    <b:Author>
      <b:Author>
        <b:Corporate>International Electrotechnical Commission</b:Corporate>
      </b:Author>
    </b:Author>
    <b:Title>IEC 62325</b:Title>
    <b:InternetSiteTitle>IEC Webstore</b:InternetSiteTitle>
    <b:URL>https://webstore.iec.ch/searchform&amp;q=62325</b:URL>
    <b:Year>2016</b:Year>
    <b:Month>Feb</b:Month>
    <b:YearAccessed>2016</b:YearAccessed>
    <b:MonthAccessed>Feb</b:MonthAccessed>
    <b:DayAccessed>24</b:DayAccessed>
    <b:RefOrder>8</b:RefOrder>
  </b:Source>
  <b:Source>
    <b:Tag>Org12</b:Tag>
    <b:SourceType>DocumentFromInternetSite</b:SourceType>
    <b:Guid>{6DAD04BC-EBC9-E541-BFC7-D6BA82C2517C}</b:Guid>
    <b:Title>Energy Interoperation 1.0 OASIS Standard</b:Title>
    <b:Year>2011-2014</b:Year>
    <b:ShortTitle>Energy Interoperation</b:ShortTitle>
    <b:Author>
      <b:Author>
        <b:Corporate>OASIS</b:Corporate>
      </b:Author>
      <b:Editor>
        <b:NameList>
          <b:Person>
            <b:Last>Considine</b:Last>
            <b:First>Toby</b:First>
          </b:Person>
        </b:NameList>
      </b:Editor>
    </b:Author>
    <b:Medium>Web Page</b:Medium>
    <b:Month>February</b:Month>
    <b:Day>18</b:Day>
    <b:URL>http://docs.oasis-open.org/energyinterop/ei/v1.0/energyinterop-v1.0.html</b:URL>
    <b:PublicationTitle>Energy Interoperation 1.0</b:PublicationTitle>
    <b:YearAccessed>2016</b:YearAccessed>
    <b:MonthAccessed>February</b:MonthAccessed>
    <b:DayAccessed>24</b:DayAccessed>
    <b:RefOrder>4</b:RefOrder>
  </b:Source>
  <b:Source>
    <b:Tag>Nat141</b:Tag>
    <b:SourceType>DocumentFromInternetSite</b:SourceType>
    <b:Guid>{3761DEE7-3B21-B840-B83D-DC8FAEF48548}</b:Guid>
    <b:Author>
      <b:Author>
        <b:Corporate>National Institute of Standards and Technology</b:Corporate>
      </b:Author>
    </b:Author>
    <b:Title>NIST Framework and Roadmap for Smart Grid Interoperability Standards, Release 3.0</b:Title>
    <b:URL>http://nist.gov/smartgrid/upload/NIST-SP-1108r3.pdf</b:URL>
    <b:Year>2014</b:Year>
    <b:Month>September</b:Month>
    <b:YearAccessed>2016</b:YearAccessed>
    <b:MonthAccessed>February</b:MonthAccessed>
    <b:DayAccessed>24</b:DayAccessed>
    <b:ShortTitle>Smartgrid3</b:ShortTitle>
    <b:Version>3.0</b:Version>
    <b:RefOrder>2</b:RefOrder>
  </b:Source>
  <b:Source>
    <b:Tag>OAS15</b:Tag>
    <b:SourceType>DocumentFromInternetSite</b:SourceType>
    <b:Guid>{49A87015-F805-4844-951A-4D87372B8192}</b:Guid>
    <b:Author>
      <b:Author>
        <b:Corporate>OASIS</b:Corporate>
      </b:Author>
      <b:Editor>
        <b:NameList>
          <b:Person>
            <b:Last>Cox</b:Last>
            <b:First>William</b:First>
          </b:Person>
          <b:Person>
            <b:Last>Considine</b:Last>
            <b:First>Toby</b:First>
          </b:Person>
        </b:NameList>
      </b:Editor>
    </b:Author>
    <b:Title>OASIS WS-Calendar Platform Independent Model (PIM) Version 1.0</b:Title>
    <b:URL>http://docs.oasis-open.org/ws-calendar/ws-calendar-pim/v1.0/cs02/ws-calendar-pim-v1.0-cs02.html</b:URL>
    <b:Year>2015</b:Year>
    <b:Month>August</b:Month>
    <b:Day>21</b:Day>
    <b:YearAccessed>2016</b:YearAccessed>
    <b:MonthAccessed>February</b:MonthAccessed>
    <b:DayAccessed>24</b:DayAccessed>
    <b:Comments>PDF is authoritative</b:Comments>
    <b:RefOrder>25</b:RefOrder>
  </b:Source>
  <b:Source>
    <b:Tag>Hol14</b:Tag>
    <b:SourceType>DocumentFromInternetSite</b:SourceType>
    <b:Guid>{6B8205D5-5149-064F-B161-5141985DA467}</b:Guid>
    <b:Author>
      <b:Author>
        <b:NameList>
          <b:Person>
            <b:Last>Holmberg</b:Last>
            <b:First>David</b:First>
            <b:Middle>G.</b:Middle>
          </b:Person>
          <b:Person>
            <b:Last>Hardin</b:Last>
            <b:First>David</b:First>
            <b:Middle>B.</b:Middle>
          </b:Person>
          <b:Person>
            <b:Last>Bushby</b:Last>
            <b:First>Steven</b:First>
            <b:Middle>T.</b:Middle>
          </b:Person>
        </b:NameList>
      </b:Author>
    </b:Author>
    <b:Title>Facility Smart Grid Interface and a Demand Response Conceptual Model</b:Title>
    <b:URL>http://nvlpubs.nist.gov/nistpubs/TechnicalNotes/NIST.TN.1832.pdf</b:URL>
    <b:ProductionCompany>National Institute of Standards and Technology</b:ProductionCompany>
    <b:Year>2014</b:Year>
    <b:Month>August</b:Month>
    <b:YearAccessed>2016</b:YearAccessed>
    <b:MonthAccessed>February</b:MonthAccessed>
    <b:DayAccessed>24</b:DayAccessed>
    <b:ShortTitle>FSGI</b:ShortTitle>
    <b:Comments>NIST TN 1832</b:Comments>
    <b:RefOrder>26</b:RefOrder>
  </b:Source>
  <b:Source>
    <b:Tag>Int14</b:Tag>
    <b:SourceType>DocumentFromInternetSite</b:SourceType>
    <b:Guid>{BFC53DB4-EA51-964E-B626-8FCCDC5AB383}</b:Guid>
    <b:Author>
      <b:Author>
        <b:Corporate>International Electrotechnical Commission</b:Corporate>
      </b:Author>
    </b:Author>
    <b:Title>Smart grid user interface - Part 1: Interface overview and country perspectives</b:Title>
    <b:URL>https://webstore.iec.ch/publication/7478</b:URL>
    <b:Year>2014</b:Year>
    <b:Month>November</b:Month>
    <b:Day>17</b:Day>
    <b:YearAccessed>2016</b:YearAccessed>
    <b:MonthAccessed>February</b:MonthAccessed>
    <b:DayAccessed>24</b:DayAccessed>
    <b:ShortTitle>SGUI TR</b:ShortTitle>
    <b:StandardNumber>IEC TR 62939-1:2014</b:StandardNumber>
    <b:RefOrder>1</b:RefOrder>
  </b:Source>
  <b:Source>
    <b:Tag>Alb</b:Tag>
    <b:SourceType>ConferenceProceedings</b:SourceType>
    <b:Guid>{155A341E-0657-0B43-95B9-4E7BBF285F82}</b:Guid>
    <b:Author>
      <b:Author>
        <b:NameList>
          <b:Person>
            <b:Last>Albuyeh</b:Last>
            <b:First>Farrokh</b:First>
          </b:Person>
          <b:Person>
            <b:Last>Rahimi</b:Last>
            <b:First>Farrokh</b:First>
          </b:Person>
        </b:NameList>
      </b:Author>
    </b:Author>
    <b:Title>Applying Lessons Learned from Transmission/Bulk Power Deregulation to Transactive Energy at the Distribution/Retail Level </b:Title>
    <b:ConferenceName>Submitted to Transactive Energy Systems Conference</b:ConferenceName>
    <b:City>Portland</b:City>
    <b:Year>2016</b:Year>
    <b:RefOrder>17</b:RefOrder>
  </b:Source>
  <b:Source>
    <b:Tag>Hay45</b:Tag>
    <b:SourceType>JournalArticle</b:SourceType>
    <b:Guid>{E1F4418A-3141-C244-A6F3-A22C18E5B2AE}</b:Guid>
    <b:Author>
      <b:Author>
        <b:NameList>
          <b:Person>
            <b:Last>Hayek</b:Last>
            <b:First>F.</b:First>
            <b:Middle>A.</b:Middle>
          </b:Person>
        </b:NameList>
      </b:Author>
    </b:Author>
    <b:Title>The Use of Knowledge in Society</b:Title>
    <b:JournalName>The American Economic Review</b:JournalName>
    <b:Year>1945</b:Year>
    <b:Pages>519-530</b:Pages>
    <b:Volume>35</b:Volume>
    <b:Issue>4</b:Issue>
    <b:RefOrder>27</b:RefOrder>
  </b:Source>
  <b:Source>
    <b:Tag>OAS09</b:Tag>
    <b:SourceType>DocumentFromInternetSite</b:SourceType>
    <b:Guid>{532D29E5-75F3-6949-9A2E-1337024E7979}</b:Guid>
    <b:Author>
      <b:Author>
        <b:Corporate>OASIS</b:Corporate>
      </b:Author>
      <b:Editor>
        <b:NameList>
          <b:Person>
            <b:Last>Freund</b:Last>
            <b:First>Tom</b:First>
          </b:Person>
          <b:Person>
            <b:Last>Little</b:Last>
            <b:First>Mark</b:First>
          </b:Person>
        </b:NameList>
      </b:Editor>
    </b:Author>
    <b:Title>Web Services Business Activity (WS-BusinessActivity) Version 1.2</b:Title>
    <b:Year>2009</b:Year>
    <b:ShortTitle>WS-BA</b:ShortTitle>
    <b:Comments>OASIS Standard</b:Comments>
    <b:URL>http://docs.oasis-open.org/ws-tx/wstx-wsba-1.2-spec.html</b:URL>
    <b:Month>February</b:Month>
    <b:Day>02</b:Day>
    <b:YearAccessed>2016</b:YearAccessed>
    <b:MonthAccessed>February</b:MonthAccessed>
    <b:DayAccessed>24</b:DayAccessed>
    <b:RefOrder>28</b:RefOrder>
  </b:Source>
  <b:Source>
    <b:Tag>Gra93</b:Tag>
    <b:SourceType>Book</b:SourceType>
    <b:Guid>{CB52F8DC-3227-1344-8032-3938F039E61C}</b:Guid>
    <b:Title>Transaction Processing: Concepts and Techniques</b:Title>
    <b:Year>1993</b:Year>
    <b:Publisher>Morgan Kaufmann</b:Publisher>
    <b:Author>
      <b:Author>
        <b:NameList>
          <b:Person>
            <b:Last>Gray</b:Last>
            <b:First>J</b:First>
          </b:Person>
          <b:Person>
            <b:Last>Reuter</b:Last>
            <b:First>Andreas</b:First>
          </b:Person>
        </b:NameList>
      </b:Author>
    </b:Author>
    <b:RefOrder>29</b:RefOrder>
  </b:Source>
  <b:Source>
    <b:Tag>Int141</b:Tag>
    <b:SourceType>DocumentFromInternetSite</b:SourceType>
    <b:Guid>{7F69F92F-BF35-1C43-A695-FF937B477811}</b:Guid>
    <b:Author>
      <b:Author>
        <b:Corporate>International Electrotechnical Commission</b:Corporate>
      </b:Author>
    </b:Author>
    <b:Title>Systems interface between customer energy management system and the power management system - Part 10-1: Open Automated Demand Response (OpenADR 2.0b Profile Specification) </b:Title>
    <b:URL>https://webstore.iec.ch/publication/7570</b:URL>
    <b:Year>2014</b:Year>
    <b:Month>February</b:Month>
    <b:Day>19</b:Day>
    <b:YearAccessed>2016</b:YearAccessed>
    <b:MonthAccessed>February</b:MonthAccessed>
    <b:DayAccessed>24</b:DayAccessed>
    <b:StandardNumber>IEC PAS 62746-10-1:2014</b:StandardNumber>
    <b:Comments>Link to webstore page for standard</b:Comments>
    <b:RefOrder>23</b:RefOrder>
  </b:Source>
  <b:Source>
    <b:Tag>Bej14</b:Tag>
    <b:SourceType>JournalArticle</b:SourceType>
    <b:Guid>{955D3987-D49A-AE4F-BA92-5F910CB99666}</b:Guid>
    <b:Title>A Hierarchical Transactive Control Architecture for Renewables Integration in Smart Grids: Analytical Modeling and Stability</b:Title>
    <b:Year>2014</b:Year>
    <b:Pages>2054-2065</b:Pages>
    <b:ShortTitle>MIT1</b:ShortTitle>
    <b:JournalName>IEEE Transactions on Smart Grid</b:JournalName>
    <b:Month>July</b:Month>
    <b:Volume>5</b:Volume>
    <b:Issue>4</b:Issue>
    <b:Author>
      <b:Author>
        <b:NameList>
          <b:Person>
            <b:Last>Bejestani</b:Last>
            <b:First>A.</b:First>
            <b:Middle>Kiani</b:Middle>
          </b:Person>
          <b:Person>
            <b:Last>Annaswamy</b:Last>
            <b:First>A.</b:First>
          </b:Person>
          <b:Person>
            <b:Last>Samad</b:Last>
            <b:First>T.</b:First>
          </b:Person>
        </b:NameList>
      </b:Author>
    </b:Author>
    <b:RefOrder>11</b:RefOrder>
  </b:Source>
  <b:Source>
    <b:Tag>Knu15</b:Tag>
    <b:SourceType>JournalArticle</b:SourceType>
    <b:Guid>{64DA0340-C893-7446-8F78-8F10E9760FB2}</b:Guid>
    <b:Title>A Dynamic Market Mechanism for the Integration of Renewables and Demand Response</b:Title>
    <b:JournalName>IEEE Transactions on Control Systems Technology</b:JournalName>
    <b:Publisher>(IEEE Xplore Early Access)</b:Publisher>
    <b:Year>2015</b:Year>
    <b:Pages>1-16</b:Pages>
    <b:Author>
      <b:Author>
        <b:NameList>
          <b:Person>
            <b:Last>Knudsen</b:Last>
            <b:First>J.</b:First>
          </b:Person>
          <b:Person>
            <b:Last>Hansen</b:Last>
            <b:First>J.</b:First>
          </b:Person>
          <b:Person>
            <b:Last>Annaswamy</b:Last>
            <b:Middle>M.</b:Middle>
            <b:First>A.</b:First>
          </b:Person>
        </b:NameList>
      </b:Author>
    </b:Author>
    <b:RefOrder>12</b:RefOrder>
  </b:Source>
  <b:Source>
    <b:Tag>Tra16</b:Tag>
    <b:SourceType>DocumentFromInternetSite</b:SourceType>
    <b:Guid>{58736BBC-6336-2A44-AACD-4C464FE7FBEF}</b:Guid>
    <b:Author>
      <b:Author>
        <b:Corporate>Transactive Energy Associatiion</b:Corporate>
      </b:Author>
    </b:Author>
    <b:Title>Transactive Energy Description and Benefits</b:Title>
    <b:InternetSiteTitle>TEA - Transactive Energy Association</b:InternetSiteTitle>
    <b:URL>https://www.linkedin.com/groups/4778076/4778076-199816061</b:URL>
    <b:YearAccessed>2016</b:YearAccessed>
    <b:MonthAccessed>February</b:MonthAccessed>
    <b:DayAccessed>27</b:DayAccessed>
    <b:RefOrder>16</b:RefOrder>
  </b:Source>
  <b:Source>
    <b:Tag>Tra1</b:Tag>
    <b:SourceType>DocumentFromInternetSite</b:SourceType>
    <b:Guid>{013A29A9-A49A-934B-B97E-3933D4A548B6}</b:Guid>
    <b:Author>
      <b:Author>
        <b:Corporate>Transactive Microgrid Team</b:Corporate>
      </b:Author>
    </b:Author>
    <b:Title>NIST Transactive Energy Challenge</b:Title>
    <b:InternetSiteTitle>NIST Transactive Energy Challenge Collaborative Site</b:InternetSiteTitle>
    <b:URL>https://pages.nist.gov/TEChallenge/community/</b:URL>
    <b:RefOrder>24</b:RefOrder>
  </b:Source>
  <b:Source>
    <b:Tag>NIS16</b:Tag>
    <b:SourceType>DocumentFromInternetSite</b:SourceType>
    <b:Guid>{DCC19C7F-CC6D-6342-A7DE-81D32B5CC771}</b:Guid>
    <b:Author>
      <b:Author>
        <b:Corporate>TransactiveADR Team</b:Corporate>
      </b:Author>
    </b:Author>
    <b:Title>NIST Transactive Energy Challenge</b:Title>
    <b:URL>https://pages.nist.gov/TEChallenge/community/</b:URL>
    <b:YearAccessed>2016</b:YearAccessed>
    <b:MonthAccessed>February</b:MonthAccessed>
    <b:DayAccessed>25</b:DayAccessed>
    <b:InternetSiteTitle>NIST Transactive Energy Challenge Collaborative Site</b:InternetSiteTitle>
    <b:ShortTitle>TransactiveADR</b:ShortTitle>
    <b:RefOrder>10</b:RefOrder>
  </b:Source>
  <b:Source>
    <b:Tag>Caz11</b:Tag>
    <b:SourceType>DocumentFromInternetSite</b:SourceType>
    <b:Guid>{F89891B5-6B64-6B42-8FB9-61856D43CA41}</b:Guid>
    <b:Title>Automated Transactive Energy (TeMIX)</b:Title>
    <b:Year>2011</b:Year>
    <b:ConferenceName>Grid-Interop 2011</b:ConferenceName>
    <b:Publisher>GridWise Architecture Council</b:Publisher>
    <b:Author>
      <b:Author>
        <b:NameList>
          <b:Person>
            <b:Last>Cazalet</b:Last>
            <b:Middle>G.</b:Middle>
            <b:First>Edward</b:First>
          </b:Person>
        </b:NameList>
      </b:Author>
    </b:Author>
    <b:InternetSiteTitle>GridWise Architecture Council Grid-Interop 2011</b:InternetSiteTitle>
    <b:URL>http://www.gridwiseac.org/pdfs/forum_papers11/cazalet_paper_gi11.pdf</b:URL>
    <b:YearAccessed>2016</b:YearAccessed>
    <b:MonthAccessed>February</b:MonthAccessed>
    <b:DayAccessed>26</b:DayAccessed>
    <b:RefOrder>22</b:RefOrder>
  </b:Source>
  <b:Source>
    <b:Tag>Org06</b:Tag>
    <b:SourceType>DocumentFromInternetSite</b:SourceType>
    <b:Guid>{3DFE6A6B-07F4-B04E-BD6F-BFD0C3766611}</b:Guid>
    <b:Author>
      <b:Author>
        <b:Corporate>OASIS</b:Corporate>
      </b:Author>
      <b:ProducerName>
        <b:NameList>
          <b:Person>
            <b:Last>(OASIS)</b:Last>
            <b:First>Organization</b:First>
            <b:Middle>for the Advancement of Structured Information Standards</b:Middle>
          </b:Person>
        </b:NameList>
      </b:ProducerName>
      <b:Editor>
        <b:NameList>
          <b:Person>
            <b:Last>MacKenzie</b:Last>
            <b:First>C.</b:First>
            <b:Middle>Matthew</b:Middle>
          </b:Person>
          <b:Person>
            <b:Last>Laskey</b:Last>
            <b:First>Ken</b:First>
          </b:Person>
          <b:Person>
            <b:Last>McCabe</b:Last>
            <b:First>Francis</b:First>
          </b:Person>
          <b:Person>
            <b:Last>Brown</b:Last>
            <b:First>Peter</b:First>
            <b:Middle>F</b:Middle>
          </b:Person>
          <b:Person>
            <b:Last>Metz</b:Last>
            <b:First>Rebekah</b:First>
          </b:Person>
        </b:NameList>
      </b:Editor>
    </b:Author>
    <b:Year>2006</b:Year>
    <b:Comments>http://docs.oasis-open.org/soa-rm/v1.0/soa-rm.html</b:Comments>
    <b:URL>http://docs.oasis-open.org/soa-rm/v1.0/soa-rm.html</b:URL>
    <b:InternetSiteTitle>Reference Model for Service Oriented Architecture 1.0 (OASIS Standard)</b:InternetSiteTitle>
    <b:Institution>OASIS</b:Institution>
    <b:RefOrder>30</b:RefOrder>
  </b:Source>
  <b:Source>
    <b:Tag>ASH16</b:Tag>
    <b:SourceType>Report</b:SourceType>
    <b:Guid>{72D40A18-9E47-8944-BB9D-0EC8F05C8247}</b:Guid>
    <b:Title>Facility Smart Grid Information Model</b:Title>
    <b:Year>2016</b:Year>
    <b:ShortTitle>201</b:ShortTitle>
    <b:StandardNumber>ASHRAE 201</b:StandardNumber>
    <b:Author>
      <b:Author>
        <b:Corporate>ASHRAE</b:Corporate>
      </b:Author>
    </b:Author>
    <b:Institution>In Press</b:Institution>
    <b:RefOrder>31</b:RefOrder>
  </b:Source>
  <b:Source>
    <b:Tag>Gri08</b:Tag>
    <b:SourceType>DocumentFromInternetSite</b:SourceType>
    <b:Guid>{F4ABC067-D456-0945-A2D5-C6B632A0897E}</b:Guid>
    <b:Author>
      <b:Author>
        <b:Corporate>GridWise Architecture Council</b:Corporate>
      </b:Author>
    </b:Author>
    <b:Institution>GridWise Architecture Council</b:Institution>
    <b:Year>2008</b:Year>
    <b:ShortTitle>context-setting framework</b:ShortTitle>
    <b:InternetSiteTitle>Interoperability Context-Setting Framework</b:InternetSiteTitle>
    <b:URL>http://www.gridwiseac.org/pdfs/interopframework_v1_1.pdf</b:URL>
    <b:Month>March</b:Month>
    <b:YearAccessed>2016</b:YearAccessed>
    <b:MonthAccessed>February</b:MonthAccessed>
    <b:DayAccessed>25</b:DayAccessed>
    <b:RefOrder>13</b:RefOrder>
  </b:Source>
  <b:Source>
    <b:Tag>Gri13</b:Tag>
    <b:SourceType>InternetSite</b:SourceType>
    <b:Guid>{A4B6ACC5-A13E-1246-BBC9-70BEFB70EF95}</b:Guid>
    <b:Title>Transactive Energy Conference</b:Title>
    <b:Year>2013</b:Year>
    <b:Author>
      <b:Author>
        <b:Corporate>GridWise Architecture Council</b:Corporate>
      </b:Author>
    </b:Author>
    <b:URL>http://www.gridwiseac.org/pdfs/gwac_tec_052313/tec_2013_proceedings_pnnl_sa_96361.pdf</b:URL>
    <b:RefOrder>32</b:RefOrder>
  </b:Source>
  <b:Source>
    <b:Tag>Lib04</b:Tag>
    <b:SourceType>Report</b:SourceType>
    <b:Guid>{726AB2E6-043A-F946-8D1B-73A5FC663D5C}</b:Guid>
    <b:Title>The AMIS Approach to Systems Integration: An Overview</b:Title>
    <b:Institution>National Institute of Standards and Technology</b:Institution>
    <b:Year>2004</b:Year>
    <b:StandardNumber>NISTIR 7101</b:StandardNumber>
    <b:Author>
      <b:Author>
        <b:NameList>
          <b:Person>
            <b:Last>Libes</b:Last>
            <b:First>Don</b:First>
          </b:Person>
          <b:Person>
            <b:Last>Barkmeyer</b:Last>
            <b:Middle>J.</b:Middle>
            <b:First>Edward</b:First>
          </b:Person>
          <b:Person>
            <b:Last>Denno</b:Last>
            <b:First>Peter</b:First>
          </b:Person>
          <b:Person>
            <b:Last>Flater</b:Last>
            <b:First>David</b:First>
          </b:Person>
          <b:Person>
            <b:Last>Steves</b:Last>
            <b:Middle>Potts</b:Middle>
            <b:First>Michelle</b:First>
          </b:Person>
          <b:Person>
            <b:Last>Wallace</b:Last>
            <b:First>Evan</b:First>
          </b:Person>
          <b:Person>
            <b:Last>Feeney</b:Last>
            <b:Middle>Barnard</b:Middle>
            <b:First>Allison</b:First>
          </b:Person>
        </b:NameList>
      </b:Author>
    </b:Author>
    <b:RefOrder>33</b:RefOrder>
  </b:Source>
  <b:Source>
    <b:Tag>OAS12</b:Tag>
    <b:SourceType>DocumentFromInternetSite</b:SourceType>
    <b:Guid>{369CE049-21E5-3D4F-AB17-5382517677EA}</b:Guid>
    <b:Author>
      <b:Author>
        <b:Corporate>OASIS</b:Corporate>
      </b:Author>
      <b:Editor>
        <b:NameList>
          <b:Person>
            <b:Last>Considine</b:Last>
            <b:First>Toby</b:First>
          </b:Person>
        </b:NameList>
      </b:Editor>
    </b:Author>
    <b:Title>Energy Market Information Exchange Version 1.0</b:Title>
    <b:Year>2012</b:Year>
    <b:ShortTitle>EMIX</b:ShortTitle>
    <b:URL>http://docs.oasis-open.org/emix/emix/v1.0/emix-v1.0.html</b:URL>
    <b:Month>January</b:Month>
    <b:Day>11</b:Day>
    <b:Comments>http://docs.oasis-open.org/emix/emix/v1.0/emix-v1.0.html</b:Comments>
    <b:Version>1.0 CS02</b:Version>
    <b:RefOrder>9</b:RefOrder>
  </b:Source>
  <b:Source>
    <b:Tag>Cox132</b:Tag>
    <b:SourceType>DocumentFromInternetSite</b:SourceType>
    <b:Guid>{EC631C44-2A08-AE41-A4AF-771629845A52}</b:Guid>
    <b:Title>Towards a Taxonomy of Transactive Energy</b:Title>
    <b:Year>2013</b:Year>
    <b:ShortTitle>Taxonomy</b:ShortTitle>
    <b:Comments>In 2013 Transactive Energy Conference</b:Comments>
    <b:InternetSiteTitle>Cox Software Architects LLC</b:InternetSiteTitle>
    <b:URL>http://coxsoftwarearchitects.com/Resources/TEC2013/Taxonomy_Transactive_Energy_Cox_20130523.pdf</b:URL>
    <b:Month>May</b:Month>
    <b:Day>23</b:Day>
    <b:YearAccessed>2016</b:YearAccessed>
    <b:MonthAccessed>Feburary</b:MonthAccessed>
    <b:DayAccessed>24</b:DayAccessed>
    <b:Author>
      <b:Author>
        <b:NameList>
          <b:Person>
            <b:Last>Cox</b:Last>
            <b:First>William</b:First>
          </b:Person>
        </b:NameList>
      </b:Author>
    </b:Author>
    <b:RefOrder>34</b:RefOrder>
  </b:Source>
  <b:Source>
    <b:Tag>Gam94</b:Tag>
    <b:SourceType>Book</b:SourceType>
    <b:Guid>{C87CD3A0-6795-C940-9E17-A4ABA7234DE4}</b:Guid>
    <b:Title>Design Patterns: Elements of Reusable Object-Oriented Software</b:Title>
    <b:Year>1994</b:Year>
    <b:Author>
      <b:Author>
        <b:NameList>
          <b:Person>
            <b:Last>Gamma</b:Last>
          </b:Person>
          <b:Person>
            <b:Last>Gamma</b:Last>
            <b:First>E</b:First>
          </b:Person>
          <b:Person>
            <b:Last>Helm</b:Last>
            <b:First>R</b:First>
          </b:Person>
          <b:Person>
            <b:Last>Vissides</b:Last>
            <b:First>J</b:First>
          </b:Person>
        </b:NameList>
      </b:Author>
    </b:Author>
    <b:Publisher>Addison-Wesley Professional</b:Publisher>
    <b:ShortTitle>Design Patterns</b:ShortTitle>
    <b:RefOrder>14</b:RefOrder>
  </b:Source>
  <b:Source>
    <b:Tag>Bat15</b:Tag>
    <b:SourceType>DocumentFromInternetSite</b:SourceType>
    <b:Guid>{ECD2C94C-4AFB-8341-BD8D-BD7E681B8189}</b:Guid>
    <b:Author>
      <b:Author>
        <b:Corporate>Battelle Memorial Institute</b:Corporate>
        <b:NameList>
          <b:Person>
            <b:Last>Hammerstrom</b:Last>
            <b:First>D</b:First>
          </b:Person>
        </b:NameList>
      </b:Author>
    </b:Author>
    <b:Title>Pacific Northwest GSmart Grid Demonstration Project Technology Performance Report</b:Title>
    <b:InternetSiteTitle>SmartGrid.gov</b:InternetSiteTitle>
    <b:URL>https://www.smartgrid.gov/document/Pacific_Northwest_Smart_Grid_Technology_Performance.html</b:URL>
    <b:Year>2015</b:Year>
    <b:Month>June</b:Month>
    <b:YearAccessed>2016</b:YearAccessed>
    <b:MonthAccessed>February</b:MonthAccessed>
    <b:DayAccessed>24</b:DayAccessed>
    <b:ShortTitle>PNW</b:ShortTitle>
    <b:ProductionCompany>Battelle Memorial Institute</b:ProductionCompany>
    <b:RefOrder>7</b:RefOrder>
  </b:Source>
  <b:Source>
    <b:Tag>Ham</b:Tag>
    <b:SourceType>Report</b:SourceType>
    <b:Guid>{CA689BE2-099D-B944-8781-8675960E7213}</b:Guid>
    <b:Author>
      <b:Author>
        <b:NameList>
          <b:Person>
            <b:Last>Hammerstrom</b:Last>
            <b:First>Donald</b:First>
          </b:Person>
        </b:NameList>
      </b:Author>
    </b:Author>
    <b:Title>Pacific Northwest Smart Grid Demonstration Transactive Coordination Signals</b:Title>
    <b:Institution>Batelle Memorial Institute</b:Institution>
    <b:Department>Pacific Northwest Division</b:Department>
    <b:ThesisType>Technical Report</b:ThesisType>
    <b:Year>2013</b:Year>
    <b:StandardNumber>PNWD-4402 Rev. X.</b:StandardNumber>
    <b:City>Richland WA</b:City>
    <b:Comments>Available at http://www.pnwsmartgrid.org/docs/Transactive_Coordination_Signals.pdf</b:Comments>
    <b:RefOrder>18</b:RefOrder>
  </b:Source>
  <b:Source>
    <b:Tag>Ham15</b:Tag>
    <b:SourceType>Report</b:SourceType>
    <b:Guid>{0FFF09BE-DD1B-674F-93BD-A8422BC76A58}</b:Guid>
    <b:Title>Transactive Node Framework and Toolkit Library Functions, Version 1.0</b:Title>
    <b:Institution>Battelle Memorial Institute</b:Institution>
    <b:Department>Pacific Northwest Division</b:Department>
    <b:ThesisType>Technical Report</b:ThesisType>
    <b:Year>2015</b:Year>
    <b:StandardNumber>PNWD-4449</b:StandardNumber>
    <b:Author>
      <b:Author>
        <b:NameList>
          <b:Person>
            <b:Last>Hammerstrom</b:Last>
            <b:First>Donald</b:First>
          </b:Person>
          <b:Person>
            <b:Last>Esram</b:Last>
            <b:First>Trhishan</b:First>
          </b:Person>
        </b:NameList>
      </b:Author>
    </b:Author>
    <b:City>Richland WA</b:City>
    <b:Comments>Available at http://www.pnwsmartgrid.org/docs/Transactive_Node_Toolkit_Framework_Version_2-0.pdf</b:Comments>
    <b:RefOrder>19</b:RefOrder>
  </b:Source>
  <b:Source>
    <b:Tag>Ham13</b:Tag>
    <b:SourceType>Report</b:SourceType>
    <b:Guid>{D8ABD1A7-7CE3-444E-A5FA-EC0CA3664795}</b:Guid>
    <b:URL>http://www.pnwsmartgrid.org/docs/PNWSGDP_MBRP_Revision_3.2.pdf</b:URL>
    <b:ProductionCompany>Battelle Memorial Institute Pacific Northwest Division</b:ProductionCompany>
    <b:Year>2013</b:Year>
    <b:Month>07</b:Month>
    <b:Day>31</b:Day>
    <b:Author>
      <b:Author>
        <b:NameList>
          <b:Person>
            <b:Last>Hammerstrom</b:Last>
            <b:First>D</b:First>
          </b:Person>
          <b:Person>
            <b:Last>Melton</b:Last>
            <b:Middle>B</b:Middle>
            <b:First>R</b:First>
          </b:Person>
          <b:Person>
            <b:Last>Elbert</b:Last>
            <b:Middle>T</b:Middle>
            <b:First>S</b:First>
          </b:Person>
          <b:Person>
            <b:Last>Faber</b:Last>
            <b:Middle>R</b:Middle>
            <b:First>A</b:First>
          </b:Person>
          <b:Person>
            <b:Last>Esram</b:Last>
            <b:First>T</b:First>
          </b:Person>
          <b:Person>
            <b:Last>Singh</b:Last>
            <b:First>R</b:First>
          </b:Person>
          <b:Person>
            <b:Last>Boyd</b:Last>
            <b:Middle>A</b:Middle>
            <b:First>P</b:First>
          </b:Person>
        </b:NameList>
      </b:Author>
    </b:Author>
    <b:Title>Pacific Northwest Smart Grid Demonstration Project: Metrics and Benefits Reporting Plan</b:Title>
    <b:StandardNumber>PNW-SGDP-MB-001 Revision 3.2</b:StandardNumber>
    <b:Comments>Available at http://www.pnwsmartgrid.org/docs/PNWSGDP_MBRP_Revision_3.2.pdf</b:Comments>
    <b:Institution>Battell Memorial Institute</b:Institution>
    <b:Department>Pacific Northwest Division</b:Department>
    <b:City>Richland WA</b:City>
    <b:RefOrder>35</b:RefOrder>
  </b:Source>
  <b:Source>
    <b:Tag>Kuc15</b:Tag>
    <b:SourceType>Report</b:SourceType>
    <b:Guid>{206EDE02-1847-EA41-B7CB-394BA74EE923}</b:Guid>
    <b:Title>Transactive Signal Schema</b:Title>
    <b:Institution>Pacific Northwest National Laboratory</b:Institution>
    <b:City>Richland WA</b:City>
    <b:ThesisType>Technical report</b:ThesisType>
    <b:Year>2015</b:Year>
    <b:StandardNumber>PNNL-24744</b:StandardNumber>
    <b:Author>
      <b:Author>
        <b:NameList>
          <b:Person>
            <b:Last>Kuchar</b:Last>
            <b:First>Olga</b:First>
          </b:Person>
          <b:Person>
            <b:Last>Elbert</b:Last>
            <b:First>Stephen</b:First>
          </b:Person>
          <b:Person>
            <b:Last>Hammerstrom</b:Last>
            <b:First>Donald</b:First>
          </b:Person>
          <b:Person>
            <b:Last>Connell</b:Last>
            <b:First>Linda</b:First>
          </b:Person>
        </b:NameList>
      </b:Author>
    </b:Author>
    <b:Comments>Available at http://www.pnwsmartgrid.org/docs/TransactiveSignalSchema.pdf</b:Comments>
    <b:RefOrder>20</b:RefOrder>
  </b:Source>
  <b:Source>
    <b:Tag>Kuc151</b:Tag>
    <b:SourceType>Report</b:SourceType>
    <b:Guid>{F1E6D9D8-3D92-BA43-951D-C84F7C7DC131}</b:Guid>
    <b:Title>PNWSGD Data Colletion: Non-Transactive Data: XML Schema and Examples</b:Title>
    <b:Institution>Pacific Northwest National Laboratory</b:Institution>
    <b:Year>2015</b:Year>
    <b:StandardNumber>PNNL-25140 Rel 3.0</b:StandardNumber>
    <b:Comments>Available at http://www.pnwsmartgrid.org/docs/NonTransactiveSchema.pdf</b:Comments>
    <b:Author>
      <b:Author>
        <b:NameList>
          <b:Person>
            <b:Last>Kuchar</b:Last>
            <b:Middle>A</b:Middle>
            <b:First>Olga</b:First>
          </b:Person>
          <b:Person>
            <b:Last>Elbert</b:Last>
            <b:Middle>T</b:Middle>
            <b:First>Stephen</b:First>
          </b:Person>
          <b:Person>
            <b:Last>Marinovici</b:Last>
            <b:First>Cristina</b:First>
          </b:Person>
        </b:NameList>
      </b:Author>
    </b:Author>
    <b:RefOrder>36</b:RefOrder>
  </b:Source>
  <b:Source>
    <b:Tag>Ham1</b:Tag>
    <b:SourceType>Misc</b:SourceType>
    <b:Guid>{48EC53E5-1242-4C47-8426-F733941EDC06}</b:Guid>
    <b:Title>Private communication</b:Title>
    <b:Author>
      <b:Author>
        <b:NameList>
          <b:Person>
            <b:Last>Hammerstrom</b:Last>
            <b:First>Donald</b:First>
          </b:Person>
        </b:NameList>
      </b:Author>
    </b:Author>
    <b:RefOrder>21</b:RefOrder>
  </b:Source>
</b:Sources>
</file>

<file path=customXml/item3.xml><?xml version="1.0" encoding="utf-8"?>
<b:Sources xmlns:b="http://schemas.openxmlformats.org/officeDocument/2006/bibliography" xmlns="http://schemas.openxmlformats.org/officeDocument/2006/bibliography" SelectedStyle="/IEEE_Reference.XSL" StyleName="IEEE - Reference Order" Version="2006">
  <b:Source>
    <b:Tag>Gri15</b:Tag>
    <b:SourceType>DocumentFromInternetSite</b:SourceType>
    <b:Guid>{45C1E5F3-CD62-6346-8FCD-0BFA62ADCE3F}</b:Guid>
    <b:Author>
      <b:Author>
        <b:Corporate>GridWise Architecture Council</b:Corporate>
      </b:Author>
    </b:Author>
    <b:Title>GridWise Transactive Energy Framework Version 1.0</b:Title>
    <b:Year>2015</b:Year>
    <b:URL>http://www.gridwiseac.org/pdfs/te_framework_report_pnnl-22946.pdf</b:URL>
    <b:Month>01</b:Month>
    <b:RefOrder>15</b:RefOrder>
  </b:Source>
  <b:Source>
    <b:Tag>Gri14</b:Tag>
    <b:SourceType>DocumentFromInternetSite</b:SourceType>
    <b:Guid>{C675093F-B540-CD41-A738-757B9AF27016}</b:Guid>
    <b:Author>
      <b:Author>
        <b:Corporate>GridWise Architecture Council</b:Corporate>
      </b:Author>
    </b:Author>
    <b:URL>http://www.gridwiseac.org/pdfs/te_principles_slide_pnnl_sa_103625.pdf</b:URL>
    <b:Year>2014</b:Year>
    <b:Month>07</b:Month>
    <b:Title>Transactive Energy Principles</b:Title>
    <b:RefOrder>3</b:RefOrder>
  </b:Source>
  <b:Source>
    <b:Tag>Pow16</b:Tag>
    <b:SourceType>DocumentFromInternetSite</b:SourceType>
    <b:Guid>{54CE5123-096D-0946-939F-34350D85CD64}</b:Guid>
    <b:Author>
      <b:Author>
        <b:Corporate>FlexiblePower Alliance Network</b:Corporate>
      </b:Author>
    </b:Author>
    <b:InternetSiteTitle>The PowerMatcher Suite</b:InternetSiteTitle>
    <b:URL>http://flexiblepower.github.io/</b:URL>
    <b:Year>2016</b:Year>
    <b:YearAccessed>2016</b:YearAccessed>
    <b:MonthAccessed>Feb</b:MonthAccessed>
    <b:DayAccessed>24</b:DayAccessed>
    <b:RefOrder>6</b:RefOrder>
  </b:Source>
  <b:Source>
    <b:Tag>Pow161</b:Tag>
    <b:SourceType>DocumentFromInternetSite</b:SourceType>
    <b:Guid>{88280DF3-EC34-3C42-8C7A-5C6AF938FA06}</b:Guid>
    <b:Author>
      <b:Author>
        <b:Corporate>FlexiblePower Alliance Network</b:Corporate>
      </b:Author>
    </b:Author>
    <b:InternetSiteTitle>PowerMatcher Documentation</b:InternetSiteTitle>
    <b:URL>http://fpai-ci.sensorlab.tno.nl/builds/powermatcher-documentation/master/html/</b:URL>
    <b:Year>2016</b:Year>
    <b:YearAccessed>2016</b:YearAccessed>
    <b:MonthAccessed>Feb</b:MonthAccessed>
    <b:DayAccessed>24</b:DayAccessed>
    <b:RefOrder>5</b:RefOrder>
  </b:Source>
  <b:Source>
    <b:Tag>Int16</b:Tag>
    <b:SourceType>DocumentFromInternetSite</b:SourceType>
    <b:Guid>{D30310EC-F659-BB4C-BD51-FF0DCBF3E710}</b:Guid>
    <b:Author>
      <b:Author>
        <b:Corporate>International Electrotechnical Commission</b:Corporate>
      </b:Author>
    </b:Author>
    <b:Title>IEC 62325</b:Title>
    <b:InternetSiteTitle>IEC Webstore</b:InternetSiteTitle>
    <b:URL>https://webstore.iec.ch/searchform&amp;q=62325</b:URL>
    <b:Year>2016</b:Year>
    <b:Month>Feb</b:Month>
    <b:YearAccessed>2016</b:YearAccessed>
    <b:MonthAccessed>Feb</b:MonthAccessed>
    <b:DayAccessed>24</b:DayAccessed>
    <b:RefOrder>8</b:RefOrder>
  </b:Source>
  <b:Source>
    <b:Tag>Org12</b:Tag>
    <b:SourceType>DocumentFromInternetSite</b:SourceType>
    <b:Guid>{6DAD04BC-EBC9-E541-BFC7-D6BA82C2517C}</b:Guid>
    <b:Title>Energy Interoperation 1.0 OASIS Standard</b:Title>
    <b:Year>2011-2014</b:Year>
    <b:ShortTitle>Energy Interoperation</b:ShortTitle>
    <b:Author>
      <b:Author>
        <b:Corporate>OASIS</b:Corporate>
      </b:Author>
      <b:Editor>
        <b:NameList>
          <b:Person>
            <b:Last>Considine</b:Last>
            <b:First>Toby</b:First>
          </b:Person>
        </b:NameList>
      </b:Editor>
    </b:Author>
    <b:Medium>Web Page</b:Medium>
    <b:Month>February</b:Month>
    <b:Day>18</b:Day>
    <b:URL>http://docs.oasis-open.org/energyinterop/ei/v1.0/energyinterop-v1.0.html</b:URL>
    <b:PublicationTitle>Energy Interoperation 1.0</b:PublicationTitle>
    <b:YearAccessed>2016</b:YearAccessed>
    <b:MonthAccessed>February</b:MonthAccessed>
    <b:DayAccessed>24</b:DayAccessed>
    <b:RefOrder>4</b:RefOrder>
  </b:Source>
  <b:Source>
    <b:Tag>Nat141</b:Tag>
    <b:SourceType>DocumentFromInternetSite</b:SourceType>
    <b:Guid>{3761DEE7-3B21-B840-B83D-DC8FAEF48548}</b:Guid>
    <b:Author>
      <b:Author>
        <b:Corporate>National Institute of Standards and Technology</b:Corporate>
      </b:Author>
    </b:Author>
    <b:Title>NIST Framework and Roadmap for Smart Grid Interoperability Standards, Release 3.0</b:Title>
    <b:URL>http://nist.gov/smartgrid/upload/NIST-SP-1108r3.pdf</b:URL>
    <b:Year>2014</b:Year>
    <b:Month>September</b:Month>
    <b:YearAccessed>2016</b:YearAccessed>
    <b:MonthAccessed>February</b:MonthAccessed>
    <b:DayAccessed>24</b:DayAccessed>
    <b:ShortTitle>Smartgrid3</b:ShortTitle>
    <b:Version>3.0</b:Version>
    <b:RefOrder>2</b:RefOrder>
  </b:Source>
  <b:Source>
    <b:Tag>OAS15</b:Tag>
    <b:SourceType>DocumentFromInternetSite</b:SourceType>
    <b:Guid>{49A87015-F805-4844-951A-4D87372B8192}</b:Guid>
    <b:Author>
      <b:Author>
        <b:Corporate>OASIS</b:Corporate>
      </b:Author>
      <b:Editor>
        <b:NameList>
          <b:Person>
            <b:Last>Cox</b:Last>
            <b:First>William</b:First>
          </b:Person>
          <b:Person>
            <b:Last>Considine</b:Last>
            <b:First>Toby</b:First>
          </b:Person>
        </b:NameList>
      </b:Editor>
    </b:Author>
    <b:Title>OASIS WS-Calendar Platform Independent Model (PIM) Version 1.0</b:Title>
    <b:URL>http://docs.oasis-open.org/ws-calendar/ws-calendar-pim/v1.0/cs02/ws-calendar-pim-v1.0-cs02.html</b:URL>
    <b:Year>2015</b:Year>
    <b:Month>August</b:Month>
    <b:Day>21</b:Day>
    <b:YearAccessed>2016</b:YearAccessed>
    <b:MonthAccessed>February</b:MonthAccessed>
    <b:DayAccessed>24</b:DayAccessed>
    <b:Comments>PDF is authoritative</b:Comments>
    <b:RefOrder>25</b:RefOrder>
  </b:Source>
  <b:Source>
    <b:Tag>Hol14</b:Tag>
    <b:SourceType>DocumentFromInternetSite</b:SourceType>
    <b:Guid>{6B8205D5-5149-064F-B161-5141985DA467}</b:Guid>
    <b:Author>
      <b:Author>
        <b:NameList>
          <b:Person>
            <b:Last>Holmberg</b:Last>
            <b:First>David</b:First>
            <b:Middle>G.</b:Middle>
          </b:Person>
          <b:Person>
            <b:Last>Hardin</b:Last>
            <b:First>David</b:First>
            <b:Middle>B.</b:Middle>
          </b:Person>
          <b:Person>
            <b:Last>Bushby</b:Last>
            <b:First>Steven</b:First>
            <b:Middle>T.</b:Middle>
          </b:Person>
        </b:NameList>
      </b:Author>
    </b:Author>
    <b:Title>Facility Smart Grid Interface and a Demand Response Conceptual Model</b:Title>
    <b:URL>http://nvlpubs.nist.gov/nistpubs/TechnicalNotes/NIST.TN.1832.pdf</b:URL>
    <b:ProductionCompany>National Institute of Standards and Technology</b:ProductionCompany>
    <b:Year>2014</b:Year>
    <b:Month>August</b:Month>
    <b:YearAccessed>2016</b:YearAccessed>
    <b:MonthAccessed>February</b:MonthAccessed>
    <b:DayAccessed>24</b:DayAccessed>
    <b:ShortTitle>FSGI</b:ShortTitle>
    <b:Comments>NIST TN 1832</b:Comments>
    <b:RefOrder>26</b:RefOrder>
  </b:Source>
  <b:Source>
    <b:Tag>Int14</b:Tag>
    <b:SourceType>DocumentFromInternetSite</b:SourceType>
    <b:Guid>{BFC53DB4-EA51-964E-B626-8FCCDC5AB383}</b:Guid>
    <b:Author>
      <b:Author>
        <b:Corporate>International Electrotechnical Commission</b:Corporate>
      </b:Author>
    </b:Author>
    <b:Title>Smart grid user interface - Part 1: Interface overview and country perspectives</b:Title>
    <b:URL>https://webstore.iec.ch/publication/7478</b:URL>
    <b:Year>2014</b:Year>
    <b:Month>November</b:Month>
    <b:Day>17</b:Day>
    <b:YearAccessed>2016</b:YearAccessed>
    <b:MonthAccessed>February</b:MonthAccessed>
    <b:DayAccessed>24</b:DayAccessed>
    <b:ShortTitle>SGUI TR</b:ShortTitle>
    <b:StandardNumber>IEC TR 62939-1:2014</b:StandardNumber>
    <b:RefOrder>1</b:RefOrder>
  </b:Source>
  <b:Source>
    <b:Tag>Alb</b:Tag>
    <b:SourceType>ConferenceProceedings</b:SourceType>
    <b:Guid>{155A341E-0657-0B43-95B9-4E7BBF285F82}</b:Guid>
    <b:Author>
      <b:Author>
        <b:NameList>
          <b:Person>
            <b:Last>Albuyeh</b:Last>
            <b:First>Farrokh</b:First>
          </b:Person>
          <b:Person>
            <b:Last>Rahimi</b:Last>
            <b:First>Farrokh</b:First>
          </b:Person>
        </b:NameList>
      </b:Author>
    </b:Author>
    <b:Title>Applying Lessons Learned from Transmission/Bulk Power Deregulation to Transactive Energy at the Distribution/Retail Level </b:Title>
    <b:ConferenceName>Submitted to Transactive Energy Systems Conference</b:ConferenceName>
    <b:City>Portland</b:City>
    <b:Year>2016</b:Year>
    <b:RefOrder>17</b:RefOrder>
  </b:Source>
  <b:Source>
    <b:Tag>Hay45</b:Tag>
    <b:SourceType>JournalArticle</b:SourceType>
    <b:Guid>{E1F4418A-3141-C244-A6F3-A22C18E5B2AE}</b:Guid>
    <b:Author>
      <b:Author>
        <b:NameList>
          <b:Person>
            <b:Last>Hayek</b:Last>
            <b:First>F.</b:First>
            <b:Middle>A.</b:Middle>
          </b:Person>
        </b:NameList>
      </b:Author>
    </b:Author>
    <b:Title>The Use of Knowledge in Society</b:Title>
    <b:JournalName>The American Economic Review</b:JournalName>
    <b:Year>1945</b:Year>
    <b:Pages>519-530</b:Pages>
    <b:Volume>35</b:Volume>
    <b:Issue>4</b:Issue>
    <b:RefOrder>27</b:RefOrder>
  </b:Source>
  <b:Source>
    <b:Tag>OAS09</b:Tag>
    <b:SourceType>DocumentFromInternetSite</b:SourceType>
    <b:Guid>{532D29E5-75F3-6949-9A2E-1337024E7979}</b:Guid>
    <b:Author>
      <b:Author>
        <b:Corporate>OASIS</b:Corporate>
      </b:Author>
      <b:Editor>
        <b:NameList>
          <b:Person>
            <b:Last>Freund</b:Last>
            <b:First>Tom</b:First>
          </b:Person>
          <b:Person>
            <b:Last>Little</b:Last>
            <b:First>Mark</b:First>
          </b:Person>
        </b:NameList>
      </b:Editor>
    </b:Author>
    <b:Title>Web Services Business Activity (WS-BusinessActivity) Version 1.2</b:Title>
    <b:Year>2009</b:Year>
    <b:ShortTitle>WS-BA</b:ShortTitle>
    <b:Comments>OASIS Standard</b:Comments>
    <b:URL>http://docs.oasis-open.org/ws-tx/wstx-wsba-1.2-spec.html</b:URL>
    <b:Month>February</b:Month>
    <b:Day>02</b:Day>
    <b:YearAccessed>2016</b:YearAccessed>
    <b:MonthAccessed>February</b:MonthAccessed>
    <b:DayAccessed>24</b:DayAccessed>
    <b:RefOrder>28</b:RefOrder>
  </b:Source>
  <b:Source>
    <b:Tag>Gra93</b:Tag>
    <b:SourceType>Book</b:SourceType>
    <b:Guid>{CB52F8DC-3227-1344-8032-3938F039E61C}</b:Guid>
    <b:Title>Transaction Processing: Concepts and Techniques</b:Title>
    <b:Year>1993</b:Year>
    <b:Publisher>Morgan Kaufmann</b:Publisher>
    <b:Author>
      <b:Author>
        <b:NameList>
          <b:Person>
            <b:Last>Gray</b:Last>
            <b:First>J</b:First>
          </b:Person>
          <b:Person>
            <b:Last>Reuter</b:Last>
            <b:First>Andreas</b:First>
          </b:Person>
        </b:NameList>
      </b:Author>
    </b:Author>
    <b:RefOrder>29</b:RefOrder>
  </b:Source>
  <b:Source>
    <b:Tag>Int141</b:Tag>
    <b:SourceType>DocumentFromInternetSite</b:SourceType>
    <b:Guid>{7F69F92F-BF35-1C43-A695-FF937B477811}</b:Guid>
    <b:Author>
      <b:Author>
        <b:Corporate>International Electrotechnical Commission</b:Corporate>
      </b:Author>
    </b:Author>
    <b:Title>Systems interface between customer energy management system and the power management system - Part 10-1: Open Automated Demand Response (OpenADR 2.0b Profile Specification) </b:Title>
    <b:URL>https://webstore.iec.ch/publication/7570</b:URL>
    <b:Year>2014</b:Year>
    <b:Month>February</b:Month>
    <b:Day>19</b:Day>
    <b:YearAccessed>2016</b:YearAccessed>
    <b:MonthAccessed>February</b:MonthAccessed>
    <b:DayAccessed>24</b:DayAccessed>
    <b:StandardNumber>IEC PAS 62746-10-1:2014</b:StandardNumber>
    <b:Comments>Link to webstore page for standard</b:Comments>
    <b:RefOrder>23</b:RefOrder>
  </b:Source>
  <b:Source>
    <b:Tag>Bej14</b:Tag>
    <b:SourceType>JournalArticle</b:SourceType>
    <b:Guid>{955D3987-D49A-AE4F-BA92-5F910CB99666}</b:Guid>
    <b:Title>A Hierarchical Transactive Control Architecture for Renewables Integration in Smart Grids: Analytical Modeling and Stability</b:Title>
    <b:Year>2014</b:Year>
    <b:Pages>2054-2065</b:Pages>
    <b:ShortTitle>MIT1</b:ShortTitle>
    <b:JournalName>IEEE Transactions on Smart Grid</b:JournalName>
    <b:Month>July</b:Month>
    <b:Volume>5</b:Volume>
    <b:Issue>4</b:Issue>
    <b:Author>
      <b:Author>
        <b:NameList>
          <b:Person>
            <b:Last>Bejestani</b:Last>
            <b:First>A.</b:First>
            <b:Middle>Kiani</b:Middle>
          </b:Person>
          <b:Person>
            <b:Last>Annaswamy</b:Last>
            <b:First>A.</b:First>
          </b:Person>
          <b:Person>
            <b:Last>Samad</b:Last>
            <b:First>T.</b:First>
          </b:Person>
        </b:NameList>
      </b:Author>
    </b:Author>
    <b:RefOrder>11</b:RefOrder>
  </b:Source>
  <b:Source>
    <b:Tag>Knu15</b:Tag>
    <b:SourceType>JournalArticle</b:SourceType>
    <b:Guid>{64DA0340-C893-7446-8F78-8F10E9760FB2}</b:Guid>
    <b:Title>A Dynamic Market Mechanism for the Integration of Renewables and Demand Response</b:Title>
    <b:JournalName>IEEE Transactions on Control Systems Technology</b:JournalName>
    <b:Publisher>(IEEE Xplore Early Access)</b:Publisher>
    <b:Year>2015</b:Year>
    <b:Pages>1-16</b:Pages>
    <b:Author>
      <b:Author>
        <b:NameList>
          <b:Person>
            <b:Last>Knudsen</b:Last>
            <b:First>J.</b:First>
          </b:Person>
          <b:Person>
            <b:Last>Hansen</b:Last>
            <b:First>J.</b:First>
          </b:Person>
          <b:Person>
            <b:Last>Annaswamy</b:Last>
            <b:Middle>M.</b:Middle>
            <b:First>A.</b:First>
          </b:Person>
        </b:NameList>
      </b:Author>
    </b:Author>
    <b:RefOrder>12</b:RefOrder>
  </b:Source>
  <b:Source>
    <b:Tag>Tra16</b:Tag>
    <b:SourceType>DocumentFromInternetSite</b:SourceType>
    <b:Guid>{58736BBC-6336-2A44-AACD-4C464FE7FBEF}</b:Guid>
    <b:Author>
      <b:Author>
        <b:Corporate>Transactive Energy Associatiion</b:Corporate>
      </b:Author>
    </b:Author>
    <b:Title>Transactive Energy Description and Benefits</b:Title>
    <b:InternetSiteTitle>TEA - Transactive Energy Association</b:InternetSiteTitle>
    <b:URL>https://www.linkedin.com/groups/4778076/4778076-199816061</b:URL>
    <b:YearAccessed>2016</b:YearAccessed>
    <b:MonthAccessed>February</b:MonthAccessed>
    <b:DayAccessed>27</b:DayAccessed>
    <b:RefOrder>16</b:RefOrder>
  </b:Source>
  <b:Source>
    <b:Tag>Tra1</b:Tag>
    <b:SourceType>DocumentFromInternetSite</b:SourceType>
    <b:Guid>{013A29A9-A49A-934B-B97E-3933D4A548B6}</b:Guid>
    <b:Author>
      <b:Author>
        <b:Corporate>Transactive Microgrid Team</b:Corporate>
      </b:Author>
    </b:Author>
    <b:Title>NIST Transactive Energy Challenge</b:Title>
    <b:InternetSiteTitle>NIST Transactive Energy Challenge Collaborative Site</b:InternetSiteTitle>
    <b:URL>https://pages.nist.gov/TEChallenge/community/</b:URL>
    <b:RefOrder>24</b:RefOrder>
  </b:Source>
  <b:Source>
    <b:Tag>NIS16</b:Tag>
    <b:SourceType>DocumentFromInternetSite</b:SourceType>
    <b:Guid>{DCC19C7F-CC6D-6342-A7DE-81D32B5CC771}</b:Guid>
    <b:Author>
      <b:Author>
        <b:Corporate>TransactiveADR Team</b:Corporate>
      </b:Author>
    </b:Author>
    <b:Title>NIST Transactive Energy Challenge</b:Title>
    <b:URL>https://pages.nist.gov/TEChallenge/community/</b:URL>
    <b:YearAccessed>2016</b:YearAccessed>
    <b:MonthAccessed>February</b:MonthAccessed>
    <b:DayAccessed>25</b:DayAccessed>
    <b:InternetSiteTitle>NIST Transactive Energy Challenge Collaborative Site</b:InternetSiteTitle>
    <b:ShortTitle>TransactiveADR</b:ShortTitle>
    <b:RefOrder>10</b:RefOrder>
  </b:Source>
  <b:Source>
    <b:Tag>Caz11</b:Tag>
    <b:SourceType>DocumentFromInternetSite</b:SourceType>
    <b:Guid>{F89891B5-6B64-6B42-8FB9-61856D43CA41}</b:Guid>
    <b:Title>Automated Transactive Energy (TeMIX)</b:Title>
    <b:Year>2011</b:Year>
    <b:ConferenceName>Grid-Interop 2011</b:ConferenceName>
    <b:Publisher>GridWise Architecture Council</b:Publisher>
    <b:Author>
      <b:Author>
        <b:NameList>
          <b:Person>
            <b:Last>Cazalet</b:Last>
            <b:Middle>G.</b:Middle>
            <b:First>Edward</b:First>
          </b:Person>
        </b:NameList>
      </b:Author>
    </b:Author>
    <b:InternetSiteTitle>GridWise Architecture Council Grid-Interop 2011</b:InternetSiteTitle>
    <b:URL>http://www.gridwiseac.org/pdfs/forum_papers11/cazalet_paper_gi11.pdf</b:URL>
    <b:YearAccessed>2016</b:YearAccessed>
    <b:MonthAccessed>February</b:MonthAccessed>
    <b:DayAccessed>26</b:DayAccessed>
    <b:RefOrder>22</b:RefOrder>
  </b:Source>
  <b:Source>
    <b:Tag>Org06</b:Tag>
    <b:SourceType>DocumentFromInternetSite</b:SourceType>
    <b:Guid>{3DFE6A6B-07F4-B04E-BD6F-BFD0C3766611}</b:Guid>
    <b:Author>
      <b:Author>
        <b:Corporate>OASIS</b:Corporate>
      </b:Author>
      <b:ProducerName>
        <b:NameList>
          <b:Person>
            <b:Last>(OASIS)</b:Last>
            <b:First>Organization</b:First>
            <b:Middle>for the Advancement of Structured Information Standards</b:Middle>
          </b:Person>
        </b:NameList>
      </b:ProducerName>
      <b:Editor>
        <b:NameList>
          <b:Person>
            <b:Last>MacKenzie</b:Last>
            <b:First>C.</b:First>
            <b:Middle>Matthew</b:Middle>
          </b:Person>
          <b:Person>
            <b:Last>Laskey</b:Last>
            <b:First>Ken</b:First>
          </b:Person>
          <b:Person>
            <b:Last>McCabe</b:Last>
            <b:First>Francis</b:First>
          </b:Person>
          <b:Person>
            <b:Last>Brown</b:Last>
            <b:First>Peter</b:First>
            <b:Middle>F</b:Middle>
          </b:Person>
          <b:Person>
            <b:Last>Metz</b:Last>
            <b:First>Rebekah</b:First>
          </b:Person>
        </b:NameList>
      </b:Editor>
    </b:Author>
    <b:Year>2006</b:Year>
    <b:Comments>http://docs.oasis-open.org/soa-rm/v1.0/soa-rm.html</b:Comments>
    <b:URL>http://docs.oasis-open.org/soa-rm/v1.0/soa-rm.html</b:URL>
    <b:InternetSiteTitle>Reference Model for Service Oriented Architecture 1.0 (OASIS Standard)</b:InternetSiteTitle>
    <b:Institution>OASIS</b:Institution>
    <b:RefOrder>30</b:RefOrder>
  </b:Source>
  <b:Source>
    <b:Tag>ASH16</b:Tag>
    <b:SourceType>Report</b:SourceType>
    <b:Guid>{72D40A18-9E47-8944-BB9D-0EC8F05C8247}</b:Guid>
    <b:Title>Facility Smart Grid Information Model</b:Title>
    <b:Year>2016</b:Year>
    <b:ShortTitle>201</b:ShortTitle>
    <b:StandardNumber>ASHRAE 201</b:StandardNumber>
    <b:Author>
      <b:Author>
        <b:Corporate>ASHRAE</b:Corporate>
      </b:Author>
    </b:Author>
    <b:Institution>In Press</b:Institution>
    <b:RefOrder>31</b:RefOrder>
  </b:Source>
  <b:Source>
    <b:Tag>Gri08</b:Tag>
    <b:SourceType>DocumentFromInternetSite</b:SourceType>
    <b:Guid>{F4ABC067-D456-0945-A2D5-C6B632A0897E}</b:Guid>
    <b:Author>
      <b:Author>
        <b:Corporate>GridWise Architecture Council</b:Corporate>
      </b:Author>
    </b:Author>
    <b:Institution>GridWise Architecture Council</b:Institution>
    <b:Year>2008</b:Year>
    <b:ShortTitle>context-setting framework</b:ShortTitle>
    <b:InternetSiteTitle>Interoperability Context-Setting Framework</b:InternetSiteTitle>
    <b:URL>http://www.gridwiseac.org/pdfs/interopframework_v1_1.pdf</b:URL>
    <b:Month>March</b:Month>
    <b:YearAccessed>2016</b:YearAccessed>
    <b:MonthAccessed>February</b:MonthAccessed>
    <b:DayAccessed>25</b:DayAccessed>
    <b:RefOrder>13</b:RefOrder>
  </b:Source>
  <b:Source>
    <b:Tag>Gri13</b:Tag>
    <b:SourceType>InternetSite</b:SourceType>
    <b:Guid>{A4B6ACC5-A13E-1246-BBC9-70BEFB70EF95}</b:Guid>
    <b:Title>Transactive Energy Conference</b:Title>
    <b:Year>2013</b:Year>
    <b:Author>
      <b:Author>
        <b:Corporate>GridWise Architecture Council</b:Corporate>
      </b:Author>
    </b:Author>
    <b:URL>http://www.gridwiseac.org/pdfs/gwac_tec_052313/tec_2013_proceedings_pnnl_sa_96361.pdf</b:URL>
    <b:RefOrder>32</b:RefOrder>
  </b:Source>
  <b:Source>
    <b:Tag>Lib04</b:Tag>
    <b:SourceType>Report</b:SourceType>
    <b:Guid>{726AB2E6-043A-F946-8D1B-73A5FC663D5C}</b:Guid>
    <b:Title>The AMIS Approach to Systems Integration: An Overview</b:Title>
    <b:Institution>National Institute of Standards and Technology</b:Institution>
    <b:Year>2004</b:Year>
    <b:StandardNumber>NISTIR 7101</b:StandardNumber>
    <b:Author>
      <b:Author>
        <b:NameList>
          <b:Person>
            <b:Last>Libes</b:Last>
            <b:First>Don</b:First>
          </b:Person>
          <b:Person>
            <b:Last>Barkmeyer</b:Last>
            <b:Middle>J.</b:Middle>
            <b:First>Edward</b:First>
          </b:Person>
          <b:Person>
            <b:Last>Denno</b:Last>
            <b:First>Peter</b:First>
          </b:Person>
          <b:Person>
            <b:Last>Flater</b:Last>
            <b:First>David</b:First>
          </b:Person>
          <b:Person>
            <b:Last>Steves</b:Last>
            <b:Middle>Potts</b:Middle>
            <b:First>Michelle</b:First>
          </b:Person>
          <b:Person>
            <b:Last>Wallace</b:Last>
            <b:First>Evan</b:First>
          </b:Person>
          <b:Person>
            <b:Last>Feeney</b:Last>
            <b:Middle>Barnard</b:Middle>
            <b:First>Allison</b:First>
          </b:Person>
        </b:NameList>
      </b:Author>
    </b:Author>
    <b:RefOrder>33</b:RefOrder>
  </b:Source>
  <b:Source>
    <b:Tag>OAS12</b:Tag>
    <b:SourceType>DocumentFromInternetSite</b:SourceType>
    <b:Guid>{369CE049-21E5-3D4F-AB17-5382517677EA}</b:Guid>
    <b:Author>
      <b:Author>
        <b:Corporate>OASIS</b:Corporate>
      </b:Author>
      <b:Editor>
        <b:NameList>
          <b:Person>
            <b:Last>Considine</b:Last>
            <b:First>Toby</b:First>
          </b:Person>
        </b:NameList>
      </b:Editor>
    </b:Author>
    <b:Title>Energy Market Information Exchange Version 1.0</b:Title>
    <b:Year>2012</b:Year>
    <b:ShortTitle>EMIX</b:ShortTitle>
    <b:URL>http://docs.oasis-open.org/emix/emix/v1.0/emix-v1.0.html</b:URL>
    <b:Month>January</b:Month>
    <b:Day>11</b:Day>
    <b:Comments>http://docs.oasis-open.org/emix/emix/v1.0/emix-v1.0.html</b:Comments>
    <b:Version>1.0 CS02</b:Version>
    <b:RefOrder>9</b:RefOrder>
  </b:Source>
  <b:Source>
    <b:Tag>Cox132</b:Tag>
    <b:SourceType>DocumentFromInternetSite</b:SourceType>
    <b:Guid>{EC631C44-2A08-AE41-A4AF-771629845A52}</b:Guid>
    <b:Title>Towards a Taxonomy of Transactive Energy</b:Title>
    <b:Year>2013</b:Year>
    <b:ShortTitle>Taxonomy</b:ShortTitle>
    <b:Comments>In 2013 Transactive Energy Conference</b:Comments>
    <b:InternetSiteTitle>Cox Software Architects LLC</b:InternetSiteTitle>
    <b:URL>http://coxsoftwarearchitects.com/Resources/TEC2013/Taxonomy_Transactive_Energy_Cox_20130523.pdf</b:URL>
    <b:Month>May</b:Month>
    <b:Day>23</b:Day>
    <b:YearAccessed>2016</b:YearAccessed>
    <b:MonthAccessed>Feburary</b:MonthAccessed>
    <b:DayAccessed>24</b:DayAccessed>
    <b:Author>
      <b:Author>
        <b:NameList>
          <b:Person>
            <b:Last>Cox</b:Last>
            <b:First>William</b:First>
          </b:Person>
        </b:NameList>
      </b:Author>
    </b:Author>
    <b:RefOrder>34</b:RefOrder>
  </b:Source>
  <b:Source>
    <b:Tag>Gam94</b:Tag>
    <b:SourceType>Book</b:SourceType>
    <b:Guid>{C87CD3A0-6795-C940-9E17-A4ABA7234DE4}</b:Guid>
    <b:Title>Design Patterns: Elements of Reusable Object-Oriented Software</b:Title>
    <b:Year>1994</b:Year>
    <b:Author>
      <b:Author>
        <b:NameList>
          <b:Person>
            <b:Last>Gamma</b:Last>
          </b:Person>
          <b:Person>
            <b:Last>Gamma</b:Last>
            <b:First>E</b:First>
          </b:Person>
          <b:Person>
            <b:Last>Helm</b:Last>
            <b:First>R</b:First>
          </b:Person>
          <b:Person>
            <b:Last>Vissides</b:Last>
            <b:First>J</b:First>
          </b:Person>
        </b:NameList>
      </b:Author>
    </b:Author>
    <b:Publisher>Addison-Wesley Professional</b:Publisher>
    <b:ShortTitle>Design Patterns</b:ShortTitle>
    <b:RefOrder>14</b:RefOrder>
  </b:Source>
  <b:Source>
    <b:Tag>Bat15</b:Tag>
    <b:SourceType>DocumentFromInternetSite</b:SourceType>
    <b:Guid>{ECD2C94C-4AFB-8341-BD8D-BD7E681B8189}</b:Guid>
    <b:Author>
      <b:Author>
        <b:Corporate>Battelle Memorial Institute</b:Corporate>
        <b:NameList>
          <b:Person>
            <b:Last>Hammerstrom</b:Last>
            <b:First>D</b:First>
          </b:Person>
        </b:NameList>
      </b:Author>
    </b:Author>
    <b:Title>Pacific Northwest GSmart Grid Demonstration Project Technology Performance Report</b:Title>
    <b:InternetSiteTitle>SmartGrid.gov</b:InternetSiteTitle>
    <b:URL>https://www.smartgrid.gov/document/Pacific_Northwest_Smart_Grid_Technology_Performance.html</b:URL>
    <b:Year>2015</b:Year>
    <b:Month>June</b:Month>
    <b:YearAccessed>2016</b:YearAccessed>
    <b:MonthAccessed>February</b:MonthAccessed>
    <b:DayAccessed>24</b:DayAccessed>
    <b:ShortTitle>PNW</b:ShortTitle>
    <b:ProductionCompany>Battelle Memorial Institute</b:ProductionCompany>
    <b:RefOrder>7</b:RefOrder>
  </b:Source>
  <b:Source>
    <b:Tag>Ham</b:Tag>
    <b:SourceType>Report</b:SourceType>
    <b:Guid>{CA689BE2-099D-B944-8781-8675960E7213}</b:Guid>
    <b:Author>
      <b:Author>
        <b:NameList>
          <b:Person>
            <b:Last>Hammerstrom</b:Last>
            <b:First>Donald</b:First>
          </b:Person>
        </b:NameList>
      </b:Author>
    </b:Author>
    <b:Title>Pacific Northwest Smart Grid Demonstration Transactive Coordination Signals</b:Title>
    <b:Institution>Batelle Memorial Institute</b:Institution>
    <b:Department>Pacific Northwest Division</b:Department>
    <b:ThesisType>Technical Report</b:ThesisType>
    <b:Year>2013</b:Year>
    <b:StandardNumber>PNWD-4402 Rev. X.</b:StandardNumber>
    <b:City>Richland WA</b:City>
    <b:Comments>Available at http://www.pnwsmartgrid.org/docs/Transactive_Coordination_Signals.pdf</b:Comments>
    <b:RefOrder>18</b:RefOrder>
  </b:Source>
  <b:Source>
    <b:Tag>Ham15</b:Tag>
    <b:SourceType>Report</b:SourceType>
    <b:Guid>{0FFF09BE-DD1B-674F-93BD-A8422BC76A58}</b:Guid>
    <b:Title>Transactive Node Framework and Toolkit Library Functions, Version 1.0</b:Title>
    <b:Institution>Battelle Memorial Institute</b:Institution>
    <b:Department>Pacific Northwest Division</b:Department>
    <b:ThesisType>Technical Report</b:ThesisType>
    <b:Year>2015</b:Year>
    <b:StandardNumber>PNWD-4449</b:StandardNumber>
    <b:Author>
      <b:Author>
        <b:NameList>
          <b:Person>
            <b:Last>Hammerstrom</b:Last>
            <b:First>Donald</b:First>
          </b:Person>
          <b:Person>
            <b:Last>Esram</b:Last>
            <b:First>Trhishan</b:First>
          </b:Person>
        </b:NameList>
      </b:Author>
    </b:Author>
    <b:City>Richland WA</b:City>
    <b:Comments>Available at http://www.pnwsmartgrid.org/docs/Transactive_Node_Toolkit_Framework_Version_2-0.pdf</b:Comments>
    <b:RefOrder>19</b:RefOrder>
  </b:Source>
  <b:Source>
    <b:Tag>Ham13</b:Tag>
    <b:SourceType>Report</b:SourceType>
    <b:Guid>{D8ABD1A7-7CE3-444E-A5FA-EC0CA3664795}</b:Guid>
    <b:URL>http://www.pnwsmartgrid.org/docs/PNWSGDP_MBRP_Revision_3.2.pdf</b:URL>
    <b:ProductionCompany>Battelle Memorial Institute Pacific Northwest Division</b:ProductionCompany>
    <b:Year>2013</b:Year>
    <b:Month>07</b:Month>
    <b:Day>31</b:Day>
    <b:Author>
      <b:Author>
        <b:NameList>
          <b:Person>
            <b:Last>Hammerstrom</b:Last>
            <b:First>D</b:First>
          </b:Person>
          <b:Person>
            <b:Last>Melton</b:Last>
            <b:Middle>B</b:Middle>
            <b:First>R</b:First>
          </b:Person>
          <b:Person>
            <b:Last>Elbert</b:Last>
            <b:Middle>T</b:Middle>
            <b:First>S</b:First>
          </b:Person>
          <b:Person>
            <b:Last>Faber</b:Last>
            <b:Middle>R</b:Middle>
            <b:First>A</b:First>
          </b:Person>
          <b:Person>
            <b:Last>Esram</b:Last>
            <b:First>T</b:First>
          </b:Person>
          <b:Person>
            <b:Last>Singh</b:Last>
            <b:First>R</b:First>
          </b:Person>
          <b:Person>
            <b:Last>Boyd</b:Last>
            <b:Middle>A</b:Middle>
            <b:First>P</b:First>
          </b:Person>
        </b:NameList>
      </b:Author>
    </b:Author>
    <b:Title>Pacific Northwest Smart Grid Demonstration Project: Metrics and Benefits Reporting Plan</b:Title>
    <b:StandardNumber>PNW-SGDP-MB-001 Revision 3.2</b:StandardNumber>
    <b:Comments>Available at http://www.pnwsmartgrid.org/docs/PNWSGDP_MBRP_Revision_3.2.pdf</b:Comments>
    <b:Institution>Battell Memorial Institute</b:Institution>
    <b:Department>Pacific Northwest Division</b:Department>
    <b:City>Richland WA</b:City>
    <b:RefOrder>35</b:RefOrder>
  </b:Source>
  <b:Source>
    <b:Tag>Kuc15</b:Tag>
    <b:SourceType>Report</b:SourceType>
    <b:Guid>{206EDE02-1847-EA41-B7CB-394BA74EE923}</b:Guid>
    <b:Title>Transactive Signal Schema</b:Title>
    <b:Institution>Pacific Northwest National Laboratory</b:Institution>
    <b:City>Richland WA</b:City>
    <b:ThesisType>Technical report</b:ThesisType>
    <b:Year>2015</b:Year>
    <b:StandardNumber>PNNL-24744</b:StandardNumber>
    <b:Author>
      <b:Author>
        <b:NameList>
          <b:Person>
            <b:Last>Kuchar</b:Last>
            <b:First>Olga</b:First>
          </b:Person>
          <b:Person>
            <b:Last>Elbert</b:Last>
            <b:First>Stephen</b:First>
          </b:Person>
          <b:Person>
            <b:Last>Hammerstrom</b:Last>
            <b:First>Donald</b:First>
          </b:Person>
          <b:Person>
            <b:Last>Connell</b:Last>
            <b:First>Linda</b:First>
          </b:Person>
        </b:NameList>
      </b:Author>
    </b:Author>
    <b:Comments>Available at http://www.pnwsmartgrid.org/docs/TransactiveSignalSchema.pdf</b:Comments>
    <b:RefOrder>20</b:RefOrder>
  </b:Source>
  <b:Source>
    <b:Tag>Kuc151</b:Tag>
    <b:SourceType>Report</b:SourceType>
    <b:Guid>{F1E6D9D8-3D92-BA43-951D-C84F7C7DC131}</b:Guid>
    <b:Title>PNWSGD Data Colletion: Non-Transactive Data: XML Schema and Examples</b:Title>
    <b:Institution>Pacific Northwest National Laboratory</b:Institution>
    <b:Year>2015</b:Year>
    <b:StandardNumber>PNNL-25140 Rel 3.0</b:StandardNumber>
    <b:Comments>Available at http://www.pnwsmartgrid.org/docs/NonTransactiveSchema.pdf</b:Comments>
    <b:Author>
      <b:Author>
        <b:NameList>
          <b:Person>
            <b:Last>Kuchar</b:Last>
            <b:Middle>A</b:Middle>
            <b:First>Olga</b:First>
          </b:Person>
          <b:Person>
            <b:Last>Elbert</b:Last>
            <b:Middle>T</b:Middle>
            <b:First>Stephen</b:First>
          </b:Person>
          <b:Person>
            <b:Last>Marinovici</b:Last>
            <b:First>Cristina</b:First>
          </b:Person>
        </b:NameList>
      </b:Author>
    </b:Author>
    <b:RefOrder>36</b:RefOrder>
  </b:Source>
  <b:Source>
    <b:Tag>Ham1</b:Tag>
    <b:SourceType>Misc</b:SourceType>
    <b:Guid>{48EC53E5-1242-4C47-8426-F733941EDC06}</b:Guid>
    <b:Title>Private communication</b:Title>
    <b:Author>
      <b:Author>
        <b:NameList>
          <b:Person>
            <b:Last>Hammerstrom</b:Last>
            <b:First>Donald</b:First>
          </b:Person>
        </b:NameList>
      </b:Author>
    </b:Author>
    <b:RefOrder>21</b:RefOrder>
  </b:Source>
</b:Sources>
</file>

<file path=customXml/item4.xml><?xml version="1.0" encoding="utf-8"?>
<b:Sources xmlns:b="http://schemas.openxmlformats.org/officeDocument/2006/bibliography" xmlns="http://schemas.openxmlformats.org/officeDocument/2006/bibliography" SelectedStyle="/IEEE_Reference.XSL" StyleName="IEEE - Reference Order" Version="2006">
  <b:Source>
    <b:Tag>Gri15</b:Tag>
    <b:SourceType>DocumentFromInternetSite</b:SourceType>
    <b:Guid>{45C1E5F3-CD62-6346-8FCD-0BFA62ADCE3F}</b:Guid>
    <b:Author>
      <b:Author>
        <b:Corporate>GridWise Architecture Council</b:Corporate>
      </b:Author>
    </b:Author>
    <b:Title>GridWise Transactive Energy Framework Version 1.0</b:Title>
    <b:Year>2015</b:Year>
    <b:URL>http://www.gridwiseac.org/pdfs/te_framework_report_pnnl-22946.pdf</b:URL>
    <b:Month>01</b:Month>
    <b:RefOrder>15</b:RefOrder>
  </b:Source>
  <b:Source>
    <b:Tag>Gri14</b:Tag>
    <b:SourceType>DocumentFromInternetSite</b:SourceType>
    <b:Guid>{C675093F-B540-CD41-A738-757B9AF27016}</b:Guid>
    <b:Author>
      <b:Author>
        <b:Corporate>GridWise Architecture Council</b:Corporate>
      </b:Author>
    </b:Author>
    <b:URL>http://www.gridwiseac.org/pdfs/te_principles_slide_pnnl_sa_103625.pdf</b:URL>
    <b:Year>2014</b:Year>
    <b:Month>07</b:Month>
    <b:Title>Transactive Energy Principles</b:Title>
    <b:RefOrder>3</b:RefOrder>
  </b:Source>
  <b:Source>
    <b:Tag>Pow16</b:Tag>
    <b:SourceType>DocumentFromInternetSite</b:SourceType>
    <b:Guid>{54CE5123-096D-0946-939F-34350D85CD64}</b:Guid>
    <b:Author>
      <b:Author>
        <b:Corporate>FlexiblePower Alliance Network</b:Corporate>
      </b:Author>
    </b:Author>
    <b:InternetSiteTitle>The PowerMatcher Suite</b:InternetSiteTitle>
    <b:URL>http://flexiblepower.github.io/</b:URL>
    <b:Year>2016</b:Year>
    <b:YearAccessed>2016</b:YearAccessed>
    <b:MonthAccessed>Feb</b:MonthAccessed>
    <b:DayAccessed>24</b:DayAccessed>
    <b:RefOrder>6</b:RefOrder>
  </b:Source>
  <b:Source>
    <b:Tag>Pow161</b:Tag>
    <b:SourceType>DocumentFromInternetSite</b:SourceType>
    <b:Guid>{88280DF3-EC34-3C42-8C7A-5C6AF938FA06}</b:Guid>
    <b:Author>
      <b:Author>
        <b:Corporate>FlexiblePower Alliance Network</b:Corporate>
      </b:Author>
    </b:Author>
    <b:InternetSiteTitle>PowerMatcher Documentation</b:InternetSiteTitle>
    <b:URL>http://fpai-ci.sensorlab.tno.nl/builds/powermatcher-documentation/master/html/</b:URL>
    <b:Year>2016</b:Year>
    <b:YearAccessed>2016</b:YearAccessed>
    <b:MonthAccessed>Feb</b:MonthAccessed>
    <b:DayAccessed>24</b:DayAccessed>
    <b:RefOrder>5</b:RefOrder>
  </b:Source>
  <b:Source>
    <b:Tag>Int16</b:Tag>
    <b:SourceType>DocumentFromInternetSite</b:SourceType>
    <b:Guid>{D30310EC-F659-BB4C-BD51-FF0DCBF3E710}</b:Guid>
    <b:Author>
      <b:Author>
        <b:Corporate>International Electrotechnical Commission</b:Corporate>
      </b:Author>
    </b:Author>
    <b:Title>IEC 62325</b:Title>
    <b:InternetSiteTitle>IEC Webstore</b:InternetSiteTitle>
    <b:URL>https://webstore.iec.ch/searchform&amp;q=62325</b:URL>
    <b:Year>2016</b:Year>
    <b:Month>Feb</b:Month>
    <b:YearAccessed>2016</b:YearAccessed>
    <b:MonthAccessed>Feb</b:MonthAccessed>
    <b:DayAccessed>24</b:DayAccessed>
    <b:RefOrder>8</b:RefOrder>
  </b:Source>
  <b:Source>
    <b:Tag>Org12</b:Tag>
    <b:SourceType>DocumentFromInternetSite</b:SourceType>
    <b:Guid>{6DAD04BC-EBC9-E541-BFC7-D6BA82C2517C}</b:Guid>
    <b:Title>Energy Interoperation 1.0 OASIS Standard</b:Title>
    <b:Year>2011-2014</b:Year>
    <b:ShortTitle>Energy Interoperation</b:ShortTitle>
    <b:Author>
      <b:Author>
        <b:Corporate>OASIS</b:Corporate>
      </b:Author>
      <b:Editor>
        <b:NameList>
          <b:Person>
            <b:Last>Considine</b:Last>
            <b:First>Toby</b:First>
          </b:Person>
        </b:NameList>
      </b:Editor>
    </b:Author>
    <b:Medium>Web Page</b:Medium>
    <b:Month>February</b:Month>
    <b:Day>18</b:Day>
    <b:URL>http://docs.oasis-open.org/energyinterop/ei/v1.0/energyinterop-v1.0.html</b:URL>
    <b:PublicationTitle>Energy Interoperation 1.0</b:PublicationTitle>
    <b:YearAccessed>2016</b:YearAccessed>
    <b:MonthAccessed>February</b:MonthAccessed>
    <b:DayAccessed>24</b:DayAccessed>
    <b:RefOrder>4</b:RefOrder>
  </b:Source>
  <b:Source>
    <b:Tag>Nat141</b:Tag>
    <b:SourceType>DocumentFromInternetSite</b:SourceType>
    <b:Guid>{3761DEE7-3B21-B840-B83D-DC8FAEF48548}</b:Guid>
    <b:Author>
      <b:Author>
        <b:Corporate>National Institute of Standards and Technology</b:Corporate>
      </b:Author>
    </b:Author>
    <b:Title>NIST Framework and Roadmap for Smart Grid Interoperability Standards, Release 3.0</b:Title>
    <b:URL>http://nist.gov/smartgrid/upload/NIST-SP-1108r3.pdf</b:URL>
    <b:Year>2014</b:Year>
    <b:Month>September</b:Month>
    <b:YearAccessed>2016</b:YearAccessed>
    <b:MonthAccessed>February</b:MonthAccessed>
    <b:DayAccessed>24</b:DayAccessed>
    <b:ShortTitle>Smartgrid3</b:ShortTitle>
    <b:Version>3.0</b:Version>
    <b:RefOrder>2</b:RefOrder>
  </b:Source>
  <b:Source>
    <b:Tag>OAS15</b:Tag>
    <b:SourceType>DocumentFromInternetSite</b:SourceType>
    <b:Guid>{49A87015-F805-4844-951A-4D87372B8192}</b:Guid>
    <b:Author>
      <b:Author>
        <b:Corporate>OASIS</b:Corporate>
      </b:Author>
      <b:Editor>
        <b:NameList>
          <b:Person>
            <b:Last>Cox</b:Last>
            <b:First>William</b:First>
          </b:Person>
          <b:Person>
            <b:Last>Considine</b:Last>
            <b:First>Toby</b:First>
          </b:Person>
        </b:NameList>
      </b:Editor>
    </b:Author>
    <b:Title>OASIS WS-Calendar Platform Independent Model (PIM) Version 1.0</b:Title>
    <b:URL>http://docs.oasis-open.org/ws-calendar/ws-calendar-pim/v1.0/cs02/ws-calendar-pim-v1.0-cs02.html</b:URL>
    <b:Year>2015</b:Year>
    <b:Month>August</b:Month>
    <b:Day>21</b:Day>
    <b:YearAccessed>2016</b:YearAccessed>
    <b:MonthAccessed>February</b:MonthAccessed>
    <b:DayAccessed>24</b:DayAccessed>
    <b:Comments>PDF is authoritative</b:Comments>
    <b:RefOrder>25</b:RefOrder>
  </b:Source>
  <b:Source>
    <b:Tag>Hol14</b:Tag>
    <b:SourceType>DocumentFromInternetSite</b:SourceType>
    <b:Guid>{6B8205D5-5149-064F-B161-5141985DA467}</b:Guid>
    <b:Author>
      <b:Author>
        <b:NameList>
          <b:Person>
            <b:Last>Holmberg</b:Last>
            <b:First>David</b:First>
            <b:Middle>G.</b:Middle>
          </b:Person>
          <b:Person>
            <b:Last>Hardin</b:Last>
            <b:First>David</b:First>
            <b:Middle>B.</b:Middle>
          </b:Person>
          <b:Person>
            <b:Last>Bushby</b:Last>
            <b:First>Steven</b:First>
            <b:Middle>T.</b:Middle>
          </b:Person>
        </b:NameList>
      </b:Author>
    </b:Author>
    <b:Title>Facility Smart Grid Interface and a Demand Response Conceptual Model</b:Title>
    <b:URL>http://nvlpubs.nist.gov/nistpubs/TechnicalNotes/NIST.TN.1832.pdf</b:URL>
    <b:ProductionCompany>National Institute of Standards and Technology</b:ProductionCompany>
    <b:Year>2014</b:Year>
    <b:Month>August</b:Month>
    <b:YearAccessed>2016</b:YearAccessed>
    <b:MonthAccessed>February</b:MonthAccessed>
    <b:DayAccessed>24</b:DayAccessed>
    <b:ShortTitle>FSGI</b:ShortTitle>
    <b:Comments>NIST TN 1832</b:Comments>
    <b:RefOrder>26</b:RefOrder>
  </b:Source>
  <b:Source>
    <b:Tag>Int14</b:Tag>
    <b:SourceType>DocumentFromInternetSite</b:SourceType>
    <b:Guid>{BFC53DB4-EA51-964E-B626-8FCCDC5AB383}</b:Guid>
    <b:Author>
      <b:Author>
        <b:Corporate>International Electrotechnical Commission</b:Corporate>
      </b:Author>
    </b:Author>
    <b:Title>Smart grid user interface - Part 1: Interface overview and country perspectives</b:Title>
    <b:URL>https://webstore.iec.ch/publication/7478</b:URL>
    <b:Year>2014</b:Year>
    <b:Month>November</b:Month>
    <b:Day>17</b:Day>
    <b:YearAccessed>2016</b:YearAccessed>
    <b:MonthAccessed>February</b:MonthAccessed>
    <b:DayAccessed>24</b:DayAccessed>
    <b:ShortTitle>SGUI TR</b:ShortTitle>
    <b:StandardNumber>IEC TR 62939-1:2014</b:StandardNumber>
    <b:RefOrder>1</b:RefOrder>
  </b:Source>
  <b:Source>
    <b:Tag>Alb</b:Tag>
    <b:SourceType>ConferenceProceedings</b:SourceType>
    <b:Guid>{155A341E-0657-0B43-95B9-4E7BBF285F82}</b:Guid>
    <b:Author>
      <b:Author>
        <b:NameList>
          <b:Person>
            <b:Last>Albuyeh</b:Last>
            <b:First>Farrokh</b:First>
          </b:Person>
          <b:Person>
            <b:Last>Rahimi</b:Last>
            <b:First>Farrokh</b:First>
          </b:Person>
        </b:NameList>
      </b:Author>
    </b:Author>
    <b:Title>Applying Lessons Learned from Transmission/Bulk Power Deregulation to Transactive Energy at the Distribution/Retail Level </b:Title>
    <b:ConferenceName>Submitted to Transactive Energy Systems Conference</b:ConferenceName>
    <b:City>Portland</b:City>
    <b:Year>2016</b:Year>
    <b:RefOrder>17</b:RefOrder>
  </b:Source>
  <b:Source>
    <b:Tag>Hay45</b:Tag>
    <b:SourceType>JournalArticle</b:SourceType>
    <b:Guid>{E1F4418A-3141-C244-A6F3-A22C18E5B2AE}</b:Guid>
    <b:Author>
      <b:Author>
        <b:NameList>
          <b:Person>
            <b:Last>Hayek</b:Last>
            <b:First>F.</b:First>
            <b:Middle>A.</b:Middle>
          </b:Person>
        </b:NameList>
      </b:Author>
    </b:Author>
    <b:Title>The Use of Knowledge in Society</b:Title>
    <b:JournalName>The American Economic Review</b:JournalName>
    <b:Year>1945</b:Year>
    <b:Pages>519-530</b:Pages>
    <b:Volume>35</b:Volume>
    <b:Issue>4</b:Issue>
    <b:RefOrder>27</b:RefOrder>
  </b:Source>
  <b:Source>
    <b:Tag>OAS09</b:Tag>
    <b:SourceType>DocumentFromInternetSite</b:SourceType>
    <b:Guid>{532D29E5-75F3-6949-9A2E-1337024E7979}</b:Guid>
    <b:Author>
      <b:Author>
        <b:Corporate>OASIS</b:Corporate>
      </b:Author>
      <b:Editor>
        <b:NameList>
          <b:Person>
            <b:Last>Freund</b:Last>
            <b:First>Tom</b:First>
          </b:Person>
          <b:Person>
            <b:Last>Little</b:Last>
            <b:First>Mark</b:First>
          </b:Person>
        </b:NameList>
      </b:Editor>
    </b:Author>
    <b:Title>Web Services Business Activity (WS-BusinessActivity) Version 1.2</b:Title>
    <b:Year>2009</b:Year>
    <b:ShortTitle>WS-BA</b:ShortTitle>
    <b:Comments>OASIS Standard</b:Comments>
    <b:URL>http://docs.oasis-open.org/ws-tx/wstx-wsba-1.2-spec.html</b:URL>
    <b:Month>February</b:Month>
    <b:Day>02</b:Day>
    <b:YearAccessed>2016</b:YearAccessed>
    <b:MonthAccessed>February</b:MonthAccessed>
    <b:DayAccessed>24</b:DayAccessed>
    <b:RefOrder>28</b:RefOrder>
  </b:Source>
  <b:Source>
    <b:Tag>Gra93</b:Tag>
    <b:SourceType>Book</b:SourceType>
    <b:Guid>{CB52F8DC-3227-1344-8032-3938F039E61C}</b:Guid>
    <b:Title>Transaction Processing: Concepts and Techniques</b:Title>
    <b:Year>1993</b:Year>
    <b:Publisher>Morgan Kaufmann</b:Publisher>
    <b:Author>
      <b:Author>
        <b:NameList>
          <b:Person>
            <b:Last>Gray</b:Last>
            <b:First>J</b:First>
          </b:Person>
          <b:Person>
            <b:Last>Reuter</b:Last>
            <b:First>Andreas</b:First>
          </b:Person>
        </b:NameList>
      </b:Author>
    </b:Author>
    <b:RefOrder>29</b:RefOrder>
  </b:Source>
  <b:Source>
    <b:Tag>Int141</b:Tag>
    <b:SourceType>DocumentFromInternetSite</b:SourceType>
    <b:Guid>{7F69F92F-BF35-1C43-A695-FF937B477811}</b:Guid>
    <b:Author>
      <b:Author>
        <b:Corporate>International Electrotechnical Commission</b:Corporate>
      </b:Author>
    </b:Author>
    <b:Title>Systems interface between customer energy management system and the power management system - Part 10-1: Open Automated Demand Response (OpenADR 2.0b Profile Specification) </b:Title>
    <b:URL>https://webstore.iec.ch/publication/7570</b:URL>
    <b:Year>2014</b:Year>
    <b:Month>February</b:Month>
    <b:Day>19</b:Day>
    <b:YearAccessed>2016</b:YearAccessed>
    <b:MonthAccessed>February</b:MonthAccessed>
    <b:DayAccessed>24</b:DayAccessed>
    <b:StandardNumber>IEC PAS 62746-10-1:2014</b:StandardNumber>
    <b:Comments>Link to webstore page for standard</b:Comments>
    <b:RefOrder>23</b:RefOrder>
  </b:Source>
  <b:Source>
    <b:Tag>Bej14</b:Tag>
    <b:SourceType>JournalArticle</b:SourceType>
    <b:Guid>{955D3987-D49A-AE4F-BA92-5F910CB99666}</b:Guid>
    <b:Title>A Hierarchical Transactive Control Architecture for Renewables Integration in Smart Grids: Analytical Modeling and Stability</b:Title>
    <b:Year>2014</b:Year>
    <b:Pages>2054-2065</b:Pages>
    <b:ShortTitle>MIT1</b:ShortTitle>
    <b:JournalName>IEEE Transactions on Smart Grid</b:JournalName>
    <b:Month>July</b:Month>
    <b:Volume>5</b:Volume>
    <b:Issue>4</b:Issue>
    <b:Author>
      <b:Author>
        <b:NameList>
          <b:Person>
            <b:Last>Bejestani</b:Last>
            <b:First>A.</b:First>
            <b:Middle>Kiani</b:Middle>
          </b:Person>
          <b:Person>
            <b:Last>Annaswamy</b:Last>
            <b:First>A.</b:First>
          </b:Person>
          <b:Person>
            <b:Last>Samad</b:Last>
            <b:First>T.</b:First>
          </b:Person>
        </b:NameList>
      </b:Author>
    </b:Author>
    <b:RefOrder>11</b:RefOrder>
  </b:Source>
  <b:Source>
    <b:Tag>Knu15</b:Tag>
    <b:SourceType>JournalArticle</b:SourceType>
    <b:Guid>{64DA0340-C893-7446-8F78-8F10E9760FB2}</b:Guid>
    <b:Title>A Dynamic Market Mechanism for the Integration of Renewables and Demand Response</b:Title>
    <b:JournalName>IEEE Transactions on Control Systems Technology</b:JournalName>
    <b:Publisher>(IEEE Xplore Early Access)</b:Publisher>
    <b:Year>2015</b:Year>
    <b:Pages>1-16</b:Pages>
    <b:Author>
      <b:Author>
        <b:NameList>
          <b:Person>
            <b:Last>Knudsen</b:Last>
            <b:First>J.</b:First>
          </b:Person>
          <b:Person>
            <b:Last>Hansen</b:Last>
            <b:First>J.</b:First>
          </b:Person>
          <b:Person>
            <b:Last>Annaswamy</b:Last>
            <b:Middle>M.</b:Middle>
            <b:First>A.</b:First>
          </b:Person>
        </b:NameList>
      </b:Author>
    </b:Author>
    <b:RefOrder>12</b:RefOrder>
  </b:Source>
  <b:Source>
    <b:Tag>Tra16</b:Tag>
    <b:SourceType>DocumentFromInternetSite</b:SourceType>
    <b:Guid>{58736BBC-6336-2A44-AACD-4C464FE7FBEF}</b:Guid>
    <b:Author>
      <b:Author>
        <b:Corporate>Transactive Energy Associatiion</b:Corporate>
      </b:Author>
    </b:Author>
    <b:Title>Transactive Energy Description and Benefits</b:Title>
    <b:InternetSiteTitle>TEA - Transactive Energy Association</b:InternetSiteTitle>
    <b:URL>https://www.linkedin.com/groups/4778076/4778076-199816061</b:URL>
    <b:YearAccessed>2016</b:YearAccessed>
    <b:MonthAccessed>February</b:MonthAccessed>
    <b:DayAccessed>27</b:DayAccessed>
    <b:RefOrder>16</b:RefOrder>
  </b:Source>
  <b:Source>
    <b:Tag>Tra1</b:Tag>
    <b:SourceType>DocumentFromInternetSite</b:SourceType>
    <b:Guid>{013A29A9-A49A-934B-B97E-3933D4A548B6}</b:Guid>
    <b:Author>
      <b:Author>
        <b:Corporate>Transactive Microgrid Team</b:Corporate>
      </b:Author>
    </b:Author>
    <b:Title>NIST Transactive Energy Challenge</b:Title>
    <b:InternetSiteTitle>NIST Transactive Energy Challenge Collaborative Site</b:InternetSiteTitle>
    <b:URL>https://pages.nist.gov/TEChallenge/community/</b:URL>
    <b:RefOrder>24</b:RefOrder>
  </b:Source>
  <b:Source>
    <b:Tag>NIS16</b:Tag>
    <b:SourceType>DocumentFromInternetSite</b:SourceType>
    <b:Guid>{DCC19C7F-CC6D-6342-A7DE-81D32B5CC771}</b:Guid>
    <b:Author>
      <b:Author>
        <b:Corporate>TransactiveADR Team</b:Corporate>
      </b:Author>
    </b:Author>
    <b:Title>NIST Transactive Energy Challenge</b:Title>
    <b:URL>https://pages.nist.gov/TEChallenge/community/</b:URL>
    <b:YearAccessed>2016</b:YearAccessed>
    <b:MonthAccessed>February</b:MonthAccessed>
    <b:DayAccessed>25</b:DayAccessed>
    <b:InternetSiteTitle>NIST Transactive Energy Challenge Collaborative Site</b:InternetSiteTitle>
    <b:ShortTitle>TransactiveADR</b:ShortTitle>
    <b:RefOrder>10</b:RefOrder>
  </b:Source>
  <b:Source>
    <b:Tag>Caz11</b:Tag>
    <b:SourceType>DocumentFromInternetSite</b:SourceType>
    <b:Guid>{F89891B5-6B64-6B42-8FB9-61856D43CA41}</b:Guid>
    <b:Title>Automated Transactive Energy (TeMIX)</b:Title>
    <b:Year>2011</b:Year>
    <b:ConferenceName>Grid-Interop 2011</b:ConferenceName>
    <b:Publisher>GridWise Architecture Council</b:Publisher>
    <b:Author>
      <b:Author>
        <b:NameList>
          <b:Person>
            <b:Last>Cazalet</b:Last>
            <b:Middle>G.</b:Middle>
            <b:First>Edward</b:First>
          </b:Person>
        </b:NameList>
      </b:Author>
    </b:Author>
    <b:InternetSiteTitle>GridWise Architecture Council Grid-Interop 2011</b:InternetSiteTitle>
    <b:URL>http://www.gridwiseac.org/pdfs/forum_papers11/cazalet_paper_gi11.pdf</b:URL>
    <b:YearAccessed>2016</b:YearAccessed>
    <b:MonthAccessed>February</b:MonthAccessed>
    <b:DayAccessed>26</b:DayAccessed>
    <b:RefOrder>22</b:RefOrder>
  </b:Source>
  <b:Source>
    <b:Tag>Org06</b:Tag>
    <b:SourceType>DocumentFromInternetSite</b:SourceType>
    <b:Guid>{3DFE6A6B-07F4-B04E-BD6F-BFD0C3766611}</b:Guid>
    <b:Author>
      <b:Author>
        <b:Corporate>OASIS</b:Corporate>
      </b:Author>
      <b:ProducerName>
        <b:NameList>
          <b:Person>
            <b:Last>(OASIS)</b:Last>
            <b:First>Organization</b:First>
            <b:Middle>for the Advancement of Structured Information Standards</b:Middle>
          </b:Person>
        </b:NameList>
      </b:ProducerName>
      <b:Editor>
        <b:NameList>
          <b:Person>
            <b:Last>MacKenzie</b:Last>
            <b:First>C.</b:First>
            <b:Middle>Matthew</b:Middle>
          </b:Person>
          <b:Person>
            <b:Last>Laskey</b:Last>
            <b:First>Ken</b:First>
          </b:Person>
          <b:Person>
            <b:Last>McCabe</b:Last>
            <b:First>Francis</b:First>
          </b:Person>
          <b:Person>
            <b:Last>Brown</b:Last>
            <b:First>Peter</b:First>
            <b:Middle>F</b:Middle>
          </b:Person>
          <b:Person>
            <b:Last>Metz</b:Last>
            <b:First>Rebekah</b:First>
          </b:Person>
        </b:NameList>
      </b:Editor>
    </b:Author>
    <b:Year>2006</b:Year>
    <b:Comments>http://docs.oasis-open.org/soa-rm/v1.0/soa-rm.html</b:Comments>
    <b:URL>http://docs.oasis-open.org/soa-rm/v1.0/soa-rm.html</b:URL>
    <b:InternetSiteTitle>Reference Model for Service Oriented Architecture 1.0 (OASIS Standard)</b:InternetSiteTitle>
    <b:Institution>OASIS</b:Institution>
    <b:RefOrder>30</b:RefOrder>
  </b:Source>
  <b:Source>
    <b:Tag>ASH16</b:Tag>
    <b:SourceType>Report</b:SourceType>
    <b:Guid>{72D40A18-9E47-8944-BB9D-0EC8F05C8247}</b:Guid>
    <b:Title>Facility Smart Grid Information Model</b:Title>
    <b:Year>2016</b:Year>
    <b:ShortTitle>201</b:ShortTitle>
    <b:StandardNumber>ASHRAE 201</b:StandardNumber>
    <b:Author>
      <b:Author>
        <b:Corporate>ASHRAE</b:Corporate>
      </b:Author>
    </b:Author>
    <b:Institution>In Press</b:Institution>
    <b:RefOrder>31</b:RefOrder>
  </b:Source>
  <b:Source>
    <b:Tag>Gri08</b:Tag>
    <b:SourceType>DocumentFromInternetSite</b:SourceType>
    <b:Guid>{F4ABC067-D456-0945-A2D5-C6B632A0897E}</b:Guid>
    <b:Author>
      <b:Author>
        <b:Corporate>GridWise Architecture Council</b:Corporate>
      </b:Author>
    </b:Author>
    <b:Institution>GridWise Architecture Council</b:Institution>
    <b:Year>2008</b:Year>
    <b:ShortTitle>context-setting framework</b:ShortTitle>
    <b:InternetSiteTitle>Interoperability Context-Setting Framework</b:InternetSiteTitle>
    <b:URL>http://www.gridwiseac.org/pdfs/interopframework_v1_1.pdf</b:URL>
    <b:Month>March</b:Month>
    <b:YearAccessed>2016</b:YearAccessed>
    <b:MonthAccessed>February</b:MonthAccessed>
    <b:DayAccessed>25</b:DayAccessed>
    <b:RefOrder>13</b:RefOrder>
  </b:Source>
  <b:Source>
    <b:Tag>Gri13</b:Tag>
    <b:SourceType>InternetSite</b:SourceType>
    <b:Guid>{A4B6ACC5-A13E-1246-BBC9-70BEFB70EF95}</b:Guid>
    <b:Title>Transactive Energy Conference</b:Title>
    <b:Year>2013</b:Year>
    <b:Author>
      <b:Author>
        <b:Corporate>GridWise Architecture Council</b:Corporate>
      </b:Author>
    </b:Author>
    <b:URL>http://www.gridwiseac.org/pdfs/gwac_tec_052313/tec_2013_proceedings_pnnl_sa_96361.pdf</b:URL>
    <b:RefOrder>32</b:RefOrder>
  </b:Source>
  <b:Source>
    <b:Tag>Lib04</b:Tag>
    <b:SourceType>Report</b:SourceType>
    <b:Guid>{726AB2E6-043A-F946-8D1B-73A5FC663D5C}</b:Guid>
    <b:Title>The AMIS Approach to Systems Integration: An Overview</b:Title>
    <b:Institution>National Institute of Standards and Technology</b:Institution>
    <b:Year>2004</b:Year>
    <b:StandardNumber>NISTIR 7101</b:StandardNumber>
    <b:Author>
      <b:Author>
        <b:NameList>
          <b:Person>
            <b:Last>Libes</b:Last>
            <b:First>Don</b:First>
          </b:Person>
          <b:Person>
            <b:Last>Barkmeyer</b:Last>
            <b:Middle>J.</b:Middle>
            <b:First>Edward</b:First>
          </b:Person>
          <b:Person>
            <b:Last>Denno</b:Last>
            <b:First>Peter</b:First>
          </b:Person>
          <b:Person>
            <b:Last>Flater</b:Last>
            <b:First>David</b:First>
          </b:Person>
          <b:Person>
            <b:Last>Steves</b:Last>
            <b:Middle>Potts</b:Middle>
            <b:First>Michelle</b:First>
          </b:Person>
          <b:Person>
            <b:Last>Wallace</b:Last>
            <b:First>Evan</b:First>
          </b:Person>
          <b:Person>
            <b:Last>Feeney</b:Last>
            <b:Middle>Barnard</b:Middle>
            <b:First>Allison</b:First>
          </b:Person>
        </b:NameList>
      </b:Author>
    </b:Author>
    <b:RefOrder>33</b:RefOrder>
  </b:Source>
  <b:Source>
    <b:Tag>OAS12</b:Tag>
    <b:SourceType>DocumentFromInternetSite</b:SourceType>
    <b:Guid>{369CE049-21E5-3D4F-AB17-5382517677EA}</b:Guid>
    <b:Author>
      <b:Author>
        <b:Corporate>OASIS</b:Corporate>
      </b:Author>
      <b:Editor>
        <b:NameList>
          <b:Person>
            <b:Last>Considine</b:Last>
            <b:First>Toby</b:First>
          </b:Person>
        </b:NameList>
      </b:Editor>
    </b:Author>
    <b:Title>Energy Market Information Exchange Version 1.0</b:Title>
    <b:Year>2012</b:Year>
    <b:ShortTitle>EMIX</b:ShortTitle>
    <b:URL>http://docs.oasis-open.org/emix/emix/v1.0/emix-v1.0.html</b:URL>
    <b:Month>January</b:Month>
    <b:Day>11</b:Day>
    <b:Comments>http://docs.oasis-open.org/emix/emix/v1.0/emix-v1.0.html</b:Comments>
    <b:Version>1.0 CS02</b:Version>
    <b:RefOrder>9</b:RefOrder>
  </b:Source>
  <b:Source>
    <b:Tag>Cox132</b:Tag>
    <b:SourceType>DocumentFromInternetSite</b:SourceType>
    <b:Guid>{EC631C44-2A08-AE41-A4AF-771629845A52}</b:Guid>
    <b:Title>Towards a Taxonomy of Transactive Energy</b:Title>
    <b:Year>2013</b:Year>
    <b:ShortTitle>Taxonomy</b:ShortTitle>
    <b:Comments>In 2013 Transactive Energy Conference</b:Comments>
    <b:InternetSiteTitle>Cox Software Architects LLC</b:InternetSiteTitle>
    <b:URL>http://coxsoftwarearchitects.com/Resources/TEC2013/Taxonomy_Transactive_Energy_Cox_20130523.pdf</b:URL>
    <b:Month>May</b:Month>
    <b:Day>23</b:Day>
    <b:YearAccessed>2016</b:YearAccessed>
    <b:MonthAccessed>Feburary</b:MonthAccessed>
    <b:DayAccessed>24</b:DayAccessed>
    <b:Author>
      <b:Author>
        <b:NameList>
          <b:Person>
            <b:Last>Cox</b:Last>
            <b:First>William</b:First>
          </b:Person>
        </b:NameList>
      </b:Author>
    </b:Author>
    <b:RefOrder>34</b:RefOrder>
  </b:Source>
  <b:Source>
    <b:Tag>Gam94</b:Tag>
    <b:SourceType>Book</b:SourceType>
    <b:Guid>{C87CD3A0-6795-C940-9E17-A4ABA7234DE4}</b:Guid>
    <b:Title>Design Patterns: Elements of Reusable Object-Oriented Software</b:Title>
    <b:Year>1994</b:Year>
    <b:Author>
      <b:Author>
        <b:NameList>
          <b:Person>
            <b:Last>Gamma</b:Last>
          </b:Person>
          <b:Person>
            <b:Last>Gamma</b:Last>
            <b:First>E</b:First>
          </b:Person>
          <b:Person>
            <b:Last>Helm</b:Last>
            <b:First>R</b:First>
          </b:Person>
          <b:Person>
            <b:Last>Vissides</b:Last>
            <b:First>J</b:First>
          </b:Person>
        </b:NameList>
      </b:Author>
    </b:Author>
    <b:Publisher>Addison-Wesley Professional</b:Publisher>
    <b:ShortTitle>Design Patterns</b:ShortTitle>
    <b:RefOrder>14</b:RefOrder>
  </b:Source>
  <b:Source>
    <b:Tag>Bat15</b:Tag>
    <b:SourceType>DocumentFromInternetSite</b:SourceType>
    <b:Guid>{ECD2C94C-4AFB-8341-BD8D-BD7E681B8189}</b:Guid>
    <b:Author>
      <b:Author>
        <b:Corporate>Battelle Memorial Institute</b:Corporate>
        <b:NameList>
          <b:Person>
            <b:Last>Hammerstrom</b:Last>
            <b:First>D</b:First>
          </b:Person>
        </b:NameList>
      </b:Author>
    </b:Author>
    <b:Title>Pacific Northwest GSmart Grid Demonstration Project Technology Performance Report</b:Title>
    <b:InternetSiteTitle>SmartGrid.gov</b:InternetSiteTitle>
    <b:URL>https://www.smartgrid.gov/document/Pacific_Northwest_Smart_Grid_Technology_Performance.html</b:URL>
    <b:Year>2015</b:Year>
    <b:Month>June</b:Month>
    <b:YearAccessed>2016</b:YearAccessed>
    <b:MonthAccessed>February</b:MonthAccessed>
    <b:DayAccessed>24</b:DayAccessed>
    <b:ShortTitle>PNW</b:ShortTitle>
    <b:ProductionCompany>Battelle Memorial Institute</b:ProductionCompany>
    <b:RefOrder>7</b:RefOrder>
  </b:Source>
  <b:Source>
    <b:Tag>Ham</b:Tag>
    <b:SourceType>Report</b:SourceType>
    <b:Guid>{CA689BE2-099D-B944-8781-8675960E7213}</b:Guid>
    <b:Author>
      <b:Author>
        <b:NameList>
          <b:Person>
            <b:Last>Hammerstrom</b:Last>
            <b:First>Donald</b:First>
          </b:Person>
        </b:NameList>
      </b:Author>
    </b:Author>
    <b:Title>Pacific Northwest Smart Grid Demonstration Transactive Coordination Signals</b:Title>
    <b:Institution>Batelle Memorial Institute</b:Institution>
    <b:Department>Pacific Northwest Division</b:Department>
    <b:ThesisType>Technical Report</b:ThesisType>
    <b:Year>2013</b:Year>
    <b:StandardNumber>PNWD-4402 Rev. X.</b:StandardNumber>
    <b:City>Richland WA</b:City>
    <b:Comments>Available at http://www.pnwsmartgrid.org/docs/Transactive_Coordination_Signals.pdf</b:Comments>
    <b:RefOrder>18</b:RefOrder>
  </b:Source>
  <b:Source>
    <b:Tag>Ham15</b:Tag>
    <b:SourceType>Report</b:SourceType>
    <b:Guid>{0FFF09BE-DD1B-674F-93BD-A8422BC76A58}</b:Guid>
    <b:Title>Transactive Node Framework and Toolkit Library Functions, Version 1.0</b:Title>
    <b:Institution>Battelle Memorial Institute</b:Institution>
    <b:Department>Pacific Northwest Division</b:Department>
    <b:ThesisType>Technical Report</b:ThesisType>
    <b:Year>2015</b:Year>
    <b:StandardNumber>PNWD-4449</b:StandardNumber>
    <b:Author>
      <b:Author>
        <b:NameList>
          <b:Person>
            <b:Last>Hammerstrom</b:Last>
            <b:First>Donald</b:First>
          </b:Person>
          <b:Person>
            <b:Last>Esram</b:Last>
            <b:First>Trhishan</b:First>
          </b:Person>
        </b:NameList>
      </b:Author>
    </b:Author>
    <b:City>Richland WA</b:City>
    <b:Comments>Available at http://www.pnwsmartgrid.org/docs/Transactive_Node_Toolkit_Framework_Version_2-0.pdf</b:Comments>
    <b:RefOrder>19</b:RefOrder>
  </b:Source>
  <b:Source>
    <b:Tag>Ham13</b:Tag>
    <b:SourceType>Report</b:SourceType>
    <b:Guid>{D8ABD1A7-7CE3-444E-A5FA-EC0CA3664795}</b:Guid>
    <b:URL>http://www.pnwsmartgrid.org/docs/PNWSGDP_MBRP_Revision_3.2.pdf</b:URL>
    <b:ProductionCompany>Battelle Memorial Institute Pacific Northwest Division</b:ProductionCompany>
    <b:Year>2013</b:Year>
    <b:Month>07</b:Month>
    <b:Day>31</b:Day>
    <b:Author>
      <b:Author>
        <b:NameList>
          <b:Person>
            <b:Last>Hammerstrom</b:Last>
            <b:First>D</b:First>
          </b:Person>
          <b:Person>
            <b:Last>Melton</b:Last>
            <b:Middle>B</b:Middle>
            <b:First>R</b:First>
          </b:Person>
          <b:Person>
            <b:Last>Elbert</b:Last>
            <b:Middle>T</b:Middle>
            <b:First>S</b:First>
          </b:Person>
          <b:Person>
            <b:Last>Faber</b:Last>
            <b:Middle>R</b:Middle>
            <b:First>A</b:First>
          </b:Person>
          <b:Person>
            <b:Last>Esram</b:Last>
            <b:First>T</b:First>
          </b:Person>
          <b:Person>
            <b:Last>Singh</b:Last>
            <b:First>R</b:First>
          </b:Person>
          <b:Person>
            <b:Last>Boyd</b:Last>
            <b:Middle>A</b:Middle>
            <b:First>P</b:First>
          </b:Person>
        </b:NameList>
      </b:Author>
    </b:Author>
    <b:Title>Pacific Northwest Smart Grid Demonstration Project: Metrics and Benefits Reporting Plan</b:Title>
    <b:StandardNumber>PNW-SGDP-MB-001 Revision 3.2</b:StandardNumber>
    <b:Comments>Available at http://www.pnwsmartgrid.org/docs/PNWSGDP_MBRP_Revision_3.2.pdf</b:Comments>
    <b:Institution>Battell Memorial Institute</b:Institution>
    <b:Department>Pacific Northwest Division</b:Department>
    <b:City>Richland WA</b:City>
    <b:RefOrder>35</b:RefOrder>
  </b:Source>
  <b:Source>
    <b:Tag>Kuc15</b:Tag>
    <b:SourceType>Report</b:SourceType>
    <b:Guid>{206EDE02-1847-EA41-B7CB-394BA74EE923}</b:Guid>
    <b:Title>Transactive Signal Schema</b:Title>
    <b:Institution>Pacific Northwest National Laboratory</b:Institution>
    <b:City>Richland WA</b:City>
    <b:ThesisType>Technical report</b:ThesisType>
    <b:Year>2015</b:Year>
    <b:StandardNumber>PNNL-24744</b:StandardNumber>
    <b:Author>
      <b:Author>
        <b:NameList>
          <b:Person>
            <b:Last>Kuchar</b:Last>
            <b:First>Olga</b:First>
          </b:Person>
          <b:Person>
            <b:Last>Elbert</b:Last>
            <b:First>Stephen</b:First>
          </b:Person>
          <b:Person>
            <b:Last>Hammerstrom</b:Last>
            <b:First>Donald</b:First>
          </b:Person>
          <b:Person>
            <b:Last>Connell</b:Last>
            <b:First>Linda</b:First>
          </b:Person>
        </b:NameList>
      </b:Author>
    </b:Author>
    <b:Comments>Available at http://www.pnwsmartgrid.org/docs/TransactiveSignalSchema.pdf</b:Comments>
    <b:RefOrder>20</b:RefOrder>
  </b:Source>
  <b:Source>
    <b:Tag>Kuc151</b:Tag>
    <b:SourceType>Report</b:SourceType>
    <b:Guid>{F1E6D9D8-3D92-BA43-951D-C84F7C7DC131}</b:Guid>
    <b:Title>PNWSGD Data Colletion: Non-Transactive Data: XML Schema and Examples</b:Title>
    <b:Institution>Pacific Northwest National Laboratory</b:Institution>
    <b:Year>2015</b:Year>
    <b:StandardNumber>PNNL-25140 Rel 3.0</b:StandardNumber>
    <b:Comments>Available at http://www.pnwsmartgrid.org/docs/NonTransactiveSchema.pdf</b:Comments>
    <b:Author>
      <b:Author>
        <b:NameList>
          <b:Person>
            <b:Last>Kuchar</b:Last>
            <b:Middle>A</b:Middle>
            <b:First>Olga</b:First>
          </b:Person>
          <b:Person>
            <b:Last>Elbert</b:Last>
            <b:Middle>T</b:Middle>
            <b:First>Stephen</b:First>
          </b:Person>
          <b:Person>
            <b:Last>Marinovici</b:Last>
            <b:First>Cristina</b:First>
          </b:Person>
        </b:NameList>
      </b:Author>
    </b:Author>
    <b:RefOrder>36</b:RefOrder>
  </b:Source>
  <b:Source>
    <b:Tag>Ham1</b:Tag>
    <b:SourceType>Misc</b:SourceType>
    <b:Guid>{48EC53E5-1242-4C47-8426-F733941EDC06}</b:Guid>
    <b:Title>Private communication</b:Title>
    <b:Author>
      <b:Author>
        <b:NameList>
          <b:Person>
            <b:Last>Hammerstrom</b:Last>
            <b:First>Donald</b:First>
          </b:Person>
        </b:NameList>
      </b:Author>
    </b:Author>
    <b:RefOrder>21</b:RefOrder>
  </b:Source>
</b:Sources>
</file>

<file path=customXml/item5.xml><?xml version="1.0" encoding="utf-8"?>
<b:Sources xmlns:b="http://schemas.openxmlformats.org/officeDocument/2006/bibliography" xmlns="http://schemas.openxmlformats.org/officeDocument/2006/bibliography" SelectedStyle="/IEEE_Reference.XSL" StyleName="IEEE - Reference Order" Version="2006">
  <b:Source>
    <b:Tag>Gri15</b:Tag>
    <b:SourceType>DocumentFromInternetSite</b:SourceType>
    <b:Guid>{45C1E5F3-CD62-6346-8FCD-0BFA62ADCE3F}</b:Guid>
    <b:Author>
      <b:Author>
        <b:Corporate>GridWise Architecture Council</b:Corporate>
      </b:Author>
    </b:Author>
    <b:Title>GridWise Transactive Energy Framework Version 1.0</b:Title>
    <b:Year>2015</b:Year>
    <b:URL>http://www.gridwiseac.org/pdfs/te_framework_report_pnnl-22946.pdf</b:URL>
    <b:Month>01</b:Month>
    <b:RefOrder>15</b:RefOrder>
  </b:Source>
  <b:Source>
    <b:Tag>Gri14</b:Tag>
    <b:SourceType>DocumentFromInternetSite</b:SourceType>
    <b:Guid>{C675093F-B540-CD41-A738-757B9AF27016}</b:Guid>
    <b:Author>
      <b:Author>
        <b:Corporate>GridWise Architecture Council</b:Corporate>
      </b:Author>
    </b:Author>
    <b:URL>http://www.gridwiseac.org/pdfs/te_principles_slide_pnnl_sa_103625.pdf</b:URL>
    <b:Year>2014</b:Year>
    <b:Month>07</b:Month>
    <b:Title>Transactive Energy Principles</b:Title>
    <b:RefOrder>3</b:RefOrder>
  </b:Source>
  <b:Source>
    <b:Tag>Pow16</b:Tag>
    <b:SourceType>DocumentFromInternetSite</b:SourceType>
    <b:Guid>{54CE5123-096D-0946-939F-34350D85CD64}</b:Guid>
    <b:Author>
      <b:Author>
        <b:Corporate>FlexiblePower Alliance Network</b:Corporate>
      </b:Author>
    </b:Author>
    <b:InternetSiteTitle>The PowerMatcher Suite</b:InternetSiteTitle>
    <b:URL>http://flexiblepower.github.io/</b:URL>
    <b:Year>2016</b:Year>
    <b:YearAccessed>2016</b:YearAccessed>
    <b:MonthAccessed>Feb</b:MonthAccessed>
    <b:DayAccessed>24</b:DayAccessed>
    <b:RefOrder>6</b:RefOrder>
  </b:Source>
  <b:Source>
    <b:Tag>Pow161</b:Tag>
    <b:SourceType>DocumentFromInternetSite</b:SourceType>
    <b:Guid>{88280DF3-EC34-3C42-8C7A-5C6AF938FA06}</b:Guid>
    <b:Author>
      <b:Author>
        <b:Corporate>FlexiblePower Alliance Network</b:Corporate>
      </b:Author>
    </b:Author>
    <b:InternetSiteTitle>PowerMatcher Documentation</b:InternetSiteTitle>
    <b:URL>http://fpai-ci.sensorlab.tno.nl/builds/powermatcher-documentation/master/html/</b:URL>
    <b:Year>2016</b:Year>
    <b:YearAccessed>2016</b:YearAccessed>
    <b:MonthAccessed>Feb</b:MonthAccessed>
    <b:DayAccessed>24</b:DayAccessed>
    <b:RefOrder>5</b:RefOrder>
  </b:Source>
  <b:Source>
    <b:Tag>Int16</b:Tag>
    <b:SourceType>DocumentFromInternetSite</b:SourceType>
    <b:Guid>{D30310EC-F659-BB4C-BD51-FF0DCBF3E710}</b:Guid>
    <b:Author>
      <b:Author>
        <b:Corporate>International Electrotechnical Commission</b:Corporate>
      </b:Author>
    </b:Author>
    <b:Title>IEC 62325</b:Title>
    <b:InternetSiteTitle>IEC Webstore</b:InternetSiteTitle>
    <b:URL>https://webstore.iec.ch/searchform&amp;q=62325</b:URL>
    <b:Year>2016</b:Year>
    <b:Month>Feb</b:Month>
    <b:YearAccessed>2016</b:YearAccessed>
    <b:MonthAccessed>Feb</b:MonthAccessed>
    <b:DayAccessed>24</b:DayAccessed>
    <b:RefOrder>8</b:RefOrder>
  </b:Source>
  <b:Source>
    <b:Tag>Org12</b:Tag>
    <b:SourceType>DocumentFromInternetSite</b:SourceType>
    <b:Guid>{6DAD04BC-EBC9-E541-BFC7-D6BA82C2517C}</b:Guid>
    <b:Title>Energy Interoperation 1.0 OASIS Standard</b:Title>
    <b:Year>2011-2014</b:Year>
    <b:ShortTitle>Energy Interoperation</b:ShortTitle>
    <b:Author>
      <b:Author>
        <b:Corporate>OASIS</b:Corporate>
      </b:Author>
      <b:Editor>
        <b:NameList>
          <b:Person>
            <b:Last>Considine</b:Last>
            <b:First>Toby</b:First>
          </b:Person>
        </b:NameList>
      </b:Editor>
    </b:Author>
    <b:Medium>Web Page</b:Medium>
    <b:Month>February</b:Month>
    <b:Day>18</b:Day>
    <b:URL>http://docs.oasis-open.org/energyinterop/ei/v1.0/energyinterop-v1.0.html</b:URL>
    <b:PublicationTitle>Energy Interoperation 1.0</b:PublicationTitle>
    <b:YearAccessed>2016</b:YearAccessed>
    <b:MonthAccessed>February</b:MonthAccessed>
    <b:DayAccessed>24</b:DayAccessed>
    <b:RefOrder>4</b:RefOrder>
  </b:Source>
  <b:Source>
    <b:Tag>Nat141</b:Tag>
    <b:SourceType>DocumentFromInternetSite</b:SourceType>
    <b:Guid>{3761DEE7-3B21-B840-B83D-DC8FAEF48548}</b:Guid>
    <b:Author>
      <b:Author>
        <b:Corporate>National Institute of Standards and Technology</b:Corporate>
      </b:Author>
    </b:Author>
    <b:Title>NIST Framework and Roadmap for Smart Grid Interoperability Standards, Release 3.0</b:Title>
    <b:URL>http://nist.gov/smartgrid/upload/NIST-SP-1108r3.pdf</b:URL>
    <b:Year>2014</b:Year>
    <b:Month>September</b:Month>
    <b:YearAccessed>2016</b:YearAccessed>
    <b:MonthAccessed>February</b:MonthAccessed>
    <b:DayAccessed>24</b:DayAccessed>
    <b:ShortTitle>Smartgrid3</b:ShortTitle>
    <b:Version>3.0</b:Version>
    <b:RefOrder>2</b:RefOrder>
  </b:Source>
  <b:Source>
    <b:Tag>OAS15</b:Tag>
    <b:SourceType>DocumentFromInternetSite</b:SourceType>
    <b:Guid>{49A87015-F805-4844-951A-4D87372B8192}</b:Guid>
    <b:Author>
      <b:Author>
        <b:Corporate>OASIS</b:Corporate>
      </b:Author>
      <b:Editor>
        <b:NameList>
          <b:Person>
            <b:Last>Cox</b:Last>
            <b:First>William</b:First>
          </b:Person>
          <b:Person>
            <b:Last>Considine</b:Last>
            <b:First>Toby</b:First>
          </b:Person>
        </b:NameList>
      </b:Editor>
    </b:Author>
    <b:Title>OASIS WS-Calendar Platform Independent Model (PIM) Version 1.0</b:Title>
    <b:URL>http://docs.oasis-open.org/ws-calendar/ws-calendar-pim/v1.0/cs02/ws-calendar-pim-v1.0-cs02.html</b:URL>
    <b:Year>2015</b:Year>
    <b:Month>August</b:Month>
    <b:Day>21</b:Day>
    <b:YearAccessed>2016</b:YearAccessed>
    <b:MonthAccessed>February</b:MonthAccessed>
    <b:DayAccessed>24</b:DayAccessed>
    <b:Comments>PDF is authoritative</b:Comments>
    <b:RefOrder>25</b:RefOrder>
  </b:Source>
  <b:Source>
    <b:Tag>Hol14</b:Tag>
    <b:SourceType>DocumentFromInternetSite</b:SourceType>
    <b:Guid>{6B8205D5-5149-064F-B161-5141985DA467}</b:Guid>
    <b:Author>
      <b:Author>
        <b:NameList>
          <b:Person>
            <b:Last>Holmberg</b:Last>
            <b:First>David</b:First>
            <b:Middle>G.</b:Middle>
          </b:Person>
          <b:Person>
            <b:Last>Hardin</b:Last>
            <b:First>David</b:First>
            <b:Middle>B.</b:Middle>
          </b:Person>
          <b:Person>
            <b:Last>Bushby</b:Last>
            <b:First>Steven</b:First>
            <b:Middle>T.</b:Middle>
          </b:Person>
        </b:NameList>
      </b:Author>
    </b:Author>
    <b:Title>Facility Smart Grid Interface and a Demand Response Conceptual Model</b:Title>
    <b:URL>http://nvlpubs.nist.gov/nistpubs/TechnicalNotes/NIST.TN.1832.pdf</b:URL>
    <b:ProductionCompany>National Institute of Standards and Technology</b:ProductionCompany>
    <b:Year>2014</b:Year>
    <b:Month>August</b:Month>
    <b:YearAccessed>2016</b:YearAccessed>
    <b:MonthAccessed>February</b:MonthAccessed>
    <b:DayAccessed>24</b:DayAccessed>
    <b:ShortTitle>FSGI</b:ShortTitle>
    <b:Comments>NIST TN 1832</b:Comments>
    <b:RefOrder>26</b:RefOrder>
  </b:Source>
  <b:Source>
    <b:Tag>Int14</b:Tag>
    <b:SourceType>DocumentFromInternetSite</b:SourceType>
    <b:Guid>{BFC53DB4-EA51-964E-B626-8FCCDC5AB383}</b:Guid>
    <b:Author>
      <b:Author>
        <b:Corporate>International Electrotechnical Commission</b:Corporate>
      </b:Author>
    </b:Author>
    <b:Title>Smart grid user interface - Part 1: Interface overview and country perspectives</b:Title>
    <b:URL>https://webstore.iec.ch/publication/7478</b:URL>
    <b:Year>2014</b:Year>
    <b:Month>November</b:Month>
    <b:Day>17</b:Day>
    <b:YearAccessed>2016</b:YearAccessed>
    <b:MonthAccessed>February</b:MonthAccessed>
    <b:DayAccessed>24</b:DayAccessed>
    <b:ShortTitle>SGUI TR</b:ShortTitle>
    <b:StandardNumber>IEC TR 62939-1:2014</b:StandardNumber>
    <b:RefOrder>1</b:RefOrder>
  </b:Source>
  <b:Source>
    <b:Tag>Alb</b:Tag>
    <b:SourceType>ConferenceProceedings</b:SourceType>
    <b:Guid>{155A341E-0657-0B43-95B9-4E7BBF285F82}</b:Guid>
    <b:Author>
      <b:Author>
        <b:NameList>
          <b:Person>
            <b:Last>Albuyeh</b:Last>
            <b:First>Farrokh</b:First>
          </b:Person>
          <b:Person>
            <b:Last>Rahimi</b:Last>
            <b:First>Farrokh</b:First>
          </b:Person>
        </b:NameList>
      </b:Author>
    </b:Author>
    <b:Title>Applying Lessons Learned from Transmission/Bulk Power Deregulation to Transactive Energy at the Distribution/Retail Level </b:Title>
    <b:ConferenceName>Submitted to Transactive Energy Systems Conference</b:ConferenceName>
    <b:City>Portland</b:City>
    <b:Year>2016</b:Year>
    <b:RefOrder>17</b:RefOrder>
  </b:Source>
  <b:Source>
    <b:Tag>Hay45</b:Tag>
    <b:SourceType>JournalArticle</b:SourceType>
    <b:Guid>{E1F4418A-3141-C244-A6F3-A22C18E5B2AE}</b:Guid>
    <b:Author>
      <b:Author>
        <b:NameList>
          <b:Person>
            <b:Last>Hayek</b:Last>
            <b:First>F.</b:First>
            <b:Middle>A.</b:Middle>
          </b:Person>
        </b:NameList>
      </b:Author>
    </b:Author>
    <b:Title>The Use of Knowledge in Society</b:Title>
    <b:JournalName>The American Economic Review</b:JournalName>
    <b:Year>1945</b:Year>
    <b:Pages>519-530</b:Pages>
    <b:Volume>35</b:Volume>
    <b:Issue>4</b:Issue>
    <b:RefOrder>27</b:RefOrder>
  </b:Source>
  <b:Source>
    <b:Tag>OAS09</b:Tag>
    <b:SourceType>DocumentFromInternetSite</b:SourceType>
    <b:Guid>{532D29E5-75F3-6949-9A2E-1337024E7979}</b:Guid>
    <b:Author>
      <b:Author>
        <b:Corporate>OASIS</b:Corporate>
      </b:Author>
      <b:Editor>
        <b:NameList>
          <b:Person>
            <b:Last>Freund</b:Last>
            <b:First>Tom</b:First>
          </b:Person>
          <b:Person>
            <b:Last>Little</b:Last>
            <b:First>Mark</b:First>
          </b:Person>
        </b:NameList>
      </b:Editor>
    </b:Author>
    <b:Title>Web Services Business Activity (WS-BusinessActivity) Version 1.2</b:Title>
    <b:Year>2009</b:Year>
    <b:ShortTitle>WS-BA</b:ShortTitle>
    <b:Comments>OASIS Standard</b:Comments>
    <b:URL>http://docs.oasis-open.org/ws-tx/wstx-wsba-1.2-spec.html</b:URL>
    <b:Month>February</b:Month>
    <b:Day>02</b:Day>
    <b:YearAccessed>2016</b:YearAccessed>
    <b:MonthAccessed>February</b:MonthAccessed>
    <b:DayAccessed>24</b:DayAccessed>
    <b:RefOrder>28</b:RefOrder>
  </b:Source>
  <b:Source>
    <b:Tag>Gra93</b:Tag>
    <b:SourceType>Book</b:SourceType>
    <b:Guid>{CB52F8DC-3227-1344-8032-3938F039E61C}</b:Guid>
    <b:Title>Transaction Processing: Concepts and Techniques</b:Title>
    <b:Year>1993</b:Year>
    <b:Publisher>Morgan Kaufmann</b:Publisher>
    <b:Author>
      <b:Author>
        <b:NameList>
          <b:Person>
            <b:Last>Gray</b:Last>
            <b:First>J</b:First>
          </b:Person>
          <b:Person>
            <b:Last>Reuter</b:Last>
            <b:First>Andreas</b:First>
          </b:Person>
        </b:NameList>
      </b:Author>
    </b:Author>
    <b:RefOrder>29</b:RefOrder>
  </b:Source>
  <b:Source>
    <b:Tag>Int141</b:Tag>
    <b:SourceType>DocumentFromInternetSite</b:SourceType>
    <b:Guid>{7F69F92F-BF35-1C43-A695-FF937B477811}</b:Guid>
    <b:Author>
      <b:Author>
        <b:Corporate>International Electrotechnical Commission</b:Corporate>
      </b:Author>
    </b:Author>
    <b:Title>Systems interface between customer energy management system and the power management system - Part 10-1: Open Automated Demand Response (OpenADR 2.0b Profile Specification) </b:Title>
    <b:URL>https://webstore.iec.ch/publication/7570</b:URL>
    <b:Year>2014</b:Year>
    <b:Month>February</b:Month>
    <b:Day>19</b:Day>
    <b:YearAccessed>2016</b:YearAccessed>
    <b:MonthAccessed>February</b:MonthAccessed>
    <b:DayAccessed>24</b:DayAccessed>
    <b:StandardNumber>IEC PAS 62746-10-1:2014</b:StandardNumber>
    <b:Comments>Link to webstore page for standard</b:Comments>
    <b:RefOrder>23</b:RefOrder>
  </b:Source>
  <b:Source>
    <b:Tag>Bej14</b:Tag>
    <b:SourceType>JournalArticle</b:SourceType>
    <b:Guid>{955D3987-D49A-AE4F-BA92-5F910CB99666}</b:Guid>
    <b:Title>A Hierarchical Transactive Control Architecture for Renewables Integration in Smart Grids: Analytical Modeling and Stability</b:Title>
    <b:Year>2014</b:Year>
    <b:Pages>2054-2065</b:Pages>
    <b:ShortTitle>MIT1</b:ShortTitle>
    <b:JournalName>IEEE Transactions on Smart Grid</b:JournalName>
    <b:Month>July</b:Month>
    <b:Volume>5</b:Volume>
    <b:Issue>4</b:Issue>
    <b:Author>
      <b:Author>
        <b:NameList>
          <b:Person>
            <b:Last>Bejestani</b:Last>
            <b:First>A.</b:First>
            <b:Middle>Kiani</b:Middle>
          </b:Person>
          <b:Person>
            <b:Last>Annaswamy</b:Last>
            <b:First>A.</b:First>
          </b:Person>
          <b:Person>
            <b:Last>Samad</b:Last>
            <b:First>T.</b:First>
          </b:Person>
        </b:NameList>
      </b:Author>
    </b:Author>
    <b:RefOrder>11</b:RefOrder>
  </b:Source>
  <b:Source>
    <b:Tag>Knu15</b:Tag>
    <b:SourceType>JournalArticle</b:SourceType>
    <b:Guid>{64DA0340-C893-7446-8F78-8F10E9760FB2}</b:Guid>
    <b:Title>A Dynamic Market Mechanism for the Integration of Renewables and Demand Response</b:Title>
    <b:JournalName>IEEE Transactions on Control Systems Technology</b:JournalName>
    <b:Publisher>(IEEE Xplore Early Access)</b:Publisher>
    <b:Year>2015</b:Year>
    <b:Pages>1-16</b:Pages>
    <b:Author>
      <b:Author>
        <b:NameList>
          <b:Person>
            <b:Last>Knudsen</b:Last>
            <b:First>J.</b:First>
          </b:Person>
          <b:Person>
            <b:Last>Hansen</b:Last>
            <b:First>J.</b:First>
          </b:Person>
          <b:Person>
            <b:Last>Annaswamy</b:Last>
            <b:Middle>M.</b:Middle>
            <b:First>A.</b:First>
          </b:Person>
        </b:NameList>
      </b:Author>
    </b:Author>
    <b:RefOrder>12</b:RefOrder>
  </b:Source>
  <b:Source>
    <b:Tag>Tra16</b:Tag>
    <b:SourceType>DocumentFromInternetSite</b:SourceType>
    <b:Guid>{58736BBC-6336-2A44-AACD-4C464FE7FBEF}</b:Guid>
    <b:Author>
      <b:Author>
        <b:Corporate>Transactive Energy Associatiion</b:Corporate>
      </b:Author>
    </b:Author>
    <b:Title>Transactive Energy Description and Benefits</b:Title>
    <b:InternetSiteTitle>TEA - Transactive Energy Association</b:InternetSiteTitle>
    <b:URL>https://www.linkedin.com/groups/4778076/4778076-199816061</b:URL>
    <b:YearAccessed>2016</b:YearAccessed>
    <b:MonthAccessed>February</b:MonthAccessed>
    <b:DayAccessed>27</b:DayAccessed>
    <b:RefOrder>16</b:RefOrder>
  </b:Source>
  <b:Source>
    <b:Tag>Tra1</b:Tag>
    <b:SourceType>DocumentFromInternetSite</b:SourceType>
    <b:Guid>{013A29A9-A49A-934B-B97E-3933D4A548B6}</b:Guid>
    <b:Author>
      <b:Author>
        <b:Corporate>Transactive Microgrid Team</b:Corporate>
      </b:Author>
    </b:Author>
    <b:Title>NIST Transactive Energy Challenge</b:Title>
    <b:InternetSiteTitle>NIST Transactive Energy Challenge Collaborative Site</b:InternetSiteTitle>
    <b:URL>https://pages.nist.gov/TEChallenge/community/</b:URL>
    <b:RefOrder>24</b:RefOrder>
  </b:Source>
  <b:Source>
    <b:Tag>NIS16</b:Tag>
    <b:SourceType>DocumentFromInternetSite</b:SourceType>
    <b:Guid>{DCC19C7F-CC6D-6342-A7DE-81D32B5CC771}</b:Guid>
    <b:Author>
      <b:Author>
        <b:Corporate>TransactiveADR Team</b:Corporate>
      </b:Author>
    </b:Author>
    <b:Title>NIST Transactive Energy Challenge</b:Title>
    <b:URL>https://pages.nist.gov/TEChallenge/community/</b:URL>
    <b:YearAccessed>2016</b:YearAccessed>
    <b:MonthAccessed>February</b:MonthAccessed>
    <b:DayAccessed>25</b:DayAccessed>
    <b:InternetSiteTitle>NIST Transactive Energy Challenge Collaborative Site</b:InternetSiteTitle>
    <b:ShortTitle>TransactiveADR</b:ShortTitle>
    <b:RefOrder>10</b:RefOrder>
  </b:Source>
  <b:Source>
    <b:Tag>Caz11</b:Tag>
    <b:SourceType>DocumentFromInternetSite</b:SourceType>
    <b:Guid>{F89891B5-6B64-6B42-8FB9-61856D43CA41}</b:Guid>
    <b:Title>Automated Transactive Energy (TeMIX)</b:Title>
    <b:Year>2011</b:Year>
    <b:ConferenceName>Grid-Interop 2011</b:ConferenceName>
    <b:Publisher>GridWise Architecture Council</b:Publisher>
    <b:Author>
      <b:Author>
        <b:NameList>
          <b:Person>
            <b:Last>Cazalet</b:Last>
            <b:Middle>G.</b:Middle>
            <b:First>Edward</b:First>
          </b:Person>
        </b:NameList>
      </b:Author>
    </b:Author>
    <b:InternetSiteTitle>GridWise Architecture Council Grid-Interop 2011</b:InternetSiteTitle>
    <b:URL>http://www.gridwiseac.org/pdfs/forum_papers11/cazalet_paper_gi11.pdf</b:URL>
    <b:YearAccessed>2016</b:YearAccessed>
    <b:MonthAccessed>February</b:MonthAccessed>
    <b:DayAccessed>26</b:DayAccessed>
    <b:RefOrder>22</b:RefOrder>
  </b:Source>
  <b:Source>
    <b:Tag>Org06</b:Tag>
    <b:SourceType>DocumentFromInternetSite</b:SourceType>
    <b:Guid>{3DFE6A6B-07F4-B04E-BD6F-BFD0C3766611}</b:Guid>
    <b:Author>
      <b:Author>
        <b:Corporate>OASIS</b:Corporate>
      </b:Author>
      <b:ProducerName>
        <b:NameList>
          <b:Person>
            <b:Last>(OASIS)</b:Last>
            <b:First>Organization</b:First>
            <b:Middle>for the Advancement of Structured Information Standards</b:Middle>
          </b:Person>
        </b:NameList>
      </b:ProducerName>
      <b:Editor>
        <b:NameList>
          <b:Person>
            <b:Last>MacKenzie</b:Last>
            <b:First>C.</b:First>
            <b:Middle>Matthew</b:Middle>
          </b:Person>
          <b:Person>
            <b:Last>Laskey</b:Last>
            <b:First>Ken</b:First>
          </b:Person>
          <b:Person>
            <b:Last>McCabe</b:Last>
            <b:First>Francis</b:First>
          </b:Person>
          <b:Person>
            <b:Last>Brown</b:Last>
            <b:First>Peter</b:First>
            <b:Middle>F</b:Middle>
          </b:Person>
          <b:Person>
            <b:Last>Metz</b:Last>
            <b:First>Rebekah</b:First>
          </b:Person>
        </b:NameList>
      </b:Editor>
    </b:Author>
    <b:Year>2006</b:Year>
    <b:Comments>http://docs.oasis-open.org/soa-rm/v1.0/soa-rm.html</b:Comments>
    <b:URL>http://docs.oasis-open.org/soa-rm/v1.0/soa-rm.html</b:URL>
    <b:InternetSiteTitle>Reference Model for Service Oriented Architecture 1.0 (OASIS Standard)</b:InternetSiteTitle>
    <b:Institution>OASIS</b:Institution>
    <b:RefOrder>30</b:RefOrder>
  </b:Source>
  <b:Source>
    <b:Tag>ASH16</b:Tag>
    <b:SourceType>Report</b:SourceType>
    <b:Guid>{72D40A18-9E47-8944-BB9D-0EC8F05C8247}</b:Guid>
    <b:Title>Facility Smart Grid Information Model</b:Title>
    <b:Year>2016</b:Year>
    <b:ShortTitle>201</b:ShortTitle>
    <b:StandardNumber>ASHRAE 201</b:StandardNumber>
    <b:Author>
      <b:Author>
        <b:Corporate>ASHRAE</b:Corporate>
      </b:Author>
    </b:Author>
    <b:Institution>In Press</b:Institution>
    <b:RefOrder>31</b:RefOrder>
  </b:Source>
  <b:Source>
    <b:Tag>Gri08</b:Tag>
    <b:SourceType>DocumentFromInternetSite</b:SourceType>
    <b:Guid>{F4ABC067-D456-0945-A2D5-C6B632A0897E}</b:Guid>
    <b:Author>
      <b:Author>
        <b:Corporate>GridWise Architecture Council</b:Corporate>
      </b:Author>
    </b:Author>
    <b:Institution>GridWise Architecture Council</b:Institution>
    <b:Year>2008</b:Year>
    <b:ShortTitle>context-setting framework</b:ShortTitle>
    <b:InternetSiteTitle>Interoperability Context-Setting Framework</b:InternetSiteTitle>
    <b:URL>http://www.gridwiseac.org/pdfs/interopframework_v1_1.pdf</b:URL>
    <b:Month>March</b:Month>
    <b:YearAccessed>2016</b:YearAccessed>
    <b:MonthAccessed>February</b:MonthAccessed>
    <b:DayAccessed>25</b:DayAccessed>
    <b:RefOrder>13</b:RefOrder>
  </b:Source>
  <b:Source>
    <b:Tag>Gri13</b:Tag>
    <b:SourceType>InternetSite</b:SourceType>
    <b:Guid>{A4B6ACC5-A13E-1246-BBC9-70BEFB70EF95}</b:Guid>
    <b:Title>Transactive Energy Conference</b:Title>
    <b:Year>2013</b:Year>
    <b:Author>
      <b:Author>
        <b:Corporate>GridWise Architecture Council</b:Corporate>
      </b:Author>
    </b:Author>
    <b:URL>http://www.gridwiseac.org/pdfs/gwac_tec_052313/tec_2013_proceedings_pnnl_sa_96361.pdf</b:URL>
    <b:RefOrder>32</b:RefOrder>
  </b:Source>
  <b:Source>
    <b:Tag>Lib04</b:Tag>
    <b:SourceType>Report</b:SourceType>
    <b:Guid>{726AB2E6-043A-F946-8D1B-73A5FC663D5C}</b:Guid>
    <b:Title>The AMIS Approach to Systems Integration: An Overview</b:Title>
    <b:Institution>National Institute of Standards and Technology</b:Institution>
    <b:Year>2004</b:Year>
    <b:StandardNumber>NISTIR 7101</b:StandardNumber>
    <b:Author>
      <b:Author>
        <b:NameList>
          <b:Person>
            <b:Last>Libes</b:Last>
            <b:First>Don</b:First>
          </b:Person>
          <b:Person>
            <b:Last>Barkmeyer</b:Last>
            <b:Middle>J.</b:Middle>
            <b:First>Edward</b:First>
          </b:Person>
          <b:Person>
            <b:Last>Denno</b:Last>
            <b:First>Peter</b:First>
          </b:Person>
          <b:Person>
            <b:Last>Flater</b:Last>
            <b:First>David</b:First>
          </b:Person>
          <b:Person>
            <b:Last>Steves</b:Last>
            <b:Middle>Potts</b:Middle>
            <b:First>Michelle</b:First>
          </b:Person>
          <b:Person>
            <b:Last>Wallace</b:Last>
            <b:First>Evan</b:First>
          </b:Person>
          <b:Person>
            <b:Last>Feeney</b:Last>
            <b:Middle>Barnard</b:Middle>
            <b:First>Allison</b:First>
          </b:Person>
        </b:NameList>
      </b:Author>
    </b:Author>
    <b:RefOrder>33</b:RefOrder>
  </b:Source>
  <b:Source>
    <b:Tag>OAS12</b:Tag>
    <b:SourceType>DocumentFromInternetSite</b:SourceType>
    <b:Guid>{369CE049-21E5-3D4F-AB17-5382517677EA}</b:Guid>
    <b:Author>
      <b:Author>
        <b:Corporate>OASIS</b:Corporate>
      </b:Author>
      <b:Editor>
        <b:NameList>
          <b:Person>
            <b:Last>Considine</b:Last>
            <b:First>Toby</b:First>
          </b:Person>
        </b:NameList>
      </b:Editor>
    </b:Author>
    <b:Title>Energy Market Information Exchange Version 1.0</b:Title>
    <b:Year>2012</b:Year>
    <b:ShortTitle>EMIX</b:ShortTitle>
    <b:URL>http://docs.oasis-open.org/emix/emix/v1.0/emix-v1.0.html</b:URL>
    <b:Month>January</b:Month>
    <b:Day>11</b:Day>
    <b:Comments>http://docs.oasis-open.org/emix/emix/v1.0/emix-v1.0.html</b:Comments>
    <b:Version>1.0 CS02</b:Version>
    <b:RefOrder>9</b:RefOrder>
  </b:Source>
  <b:Source>
    <b:Tag>Cox132</b:Tag>
    <b:SourceType>DocumentFromInternetSite</b:SourceType>
    <b:Guid>{EC631C44-2A08-AE41-A4AF-771629845A52}</b:Guid>
    <b:Title>Towards a Taxonomy of Transactive Energy</b:Title>
    <b:Year>2013</b:Year>
    <b:ShortTitle>Taxonomy</b:ShortTitle>
    <b:Comments>In 2013 Transactive Energy Conference</b:Comments>
    <b:InternetSiteTitle>Cox Software Architects LLC</b:InternetSiteTitle>
    <b:URL>http://coxsoftwarearchitects.com/Resources/TEC2013/Taxonomy_Transactive_Energy_Cox_20130523.pdf</b:URL>
    <b:Month>May</b:Month>
    <b:Day>23</b:Day>
    <b:YearAccessed>2016</b:YearAccessed>
    <b:MonthAccessed>Feburary</b:MonthAccessed>
    <b:DayAccessed>24</b:DayAccessed>
    <b:Author>
      <b:Author>
        <b:NameList>
          <b:Person>
            <b:Last>Cox</b:Last>
            <b:First>William</b:First>
          </b:Person>
        </b:NameList>
      </b:Author>
    </b:Author>
    <b:RefOrder>34</b:RefOrder>
  </b:Source>
  <b:Source>
    <b:Tag>Gam94</b:Tag>
    <b:SourceType>Book</b:SourceType>
    <b:Guid>{C87CD3A0-6795-C940-9E17-A4ABA7234DE4}</b:Guid>
    <b:Title>Design Patterns: Elements of Reusable Object-Oriented Software</b:Title>
    <b:Year>1994</b:Year>
    <b:Author>
      <b:Author>
        <b:NameList>
          <b:Person>
            <b:Last>Gamma</b:Last>
          </b:Person>
          <b:Person>
            <b:Last>Gamma</b:Last>
            <b:First>E</b:First>
          </b:Person>
          <b:Person>
            <b:Last>Helm</b:Last>
            <b:First>R</b:First>
          </b:Person>
          <b:Person>
            <b:Last>Vissides</b:Last>
            <b:First>J</b:First>
          </b:Person>
        </b:NameList>
      </b:Author>
    </b:Author>
    <b:Publisher>Addison-Wesley Professional</b:Publisher>
    <b:ShortTitle>Design Patterns</b:ShortTitle>
    <b:RefOrder>14</b:RefOrder>
  </b:Source>
  <b:Source>
    <b:Tag>Bat15</b:Tag>
    <b:SourceType>DocumentFromInternetSite</b:SourceType>
    <b:Guid>{ECD2C94C-4AFB-8341-BD8D-BD7E681B8189}</b:Guid>
    <b:Author>
      <b:Author>
        <b:Corporate>Battelle Memorial Institute</b:Corporate>
        <b:NameList>
          <b:Person>
            <b:Last>Hammerstrom</b:Last>
            <b:First>D</b:First>
          </b:Person>
        </b:NameList>
      </b:Author>
    </b:Author>
    <b:Title>Pacific Northwest GSmart Grid Demonstration Project Technology Performance Report</b:Title>
    <b:InternetSiteTitle>SmartGrid.gov</b:InternetSiteTitle>
    <b:URL>https://www.smartgrid.gov/document/Pacific_Northwest_Smart_Grid_Technology_Performance.html</b:URL>
    <b:Year>2015</b:Year>
    <b:Month>June</b:Month>
    <b:YearAccessed>2016</b:YearAccessed>
    <b:MonthAccessed>February</b:MonthAccessed>
    <b:DayAccessed>24</b:DayAccessed>
    <b:ShortTitle>PNW</b:ShortTitle>
    <b:ProductionCompany>Battelle Memorial Institute</b:ProductionCompany>
    <b:RefOrder>7</b:RefOrder>
  </b:Source>
  <b:Source>
    <b:Tag>Ham</b:Tag>
    <b:SourceType>Report</b:SourceType>
    <b:Guid>{CA689BE2-099D-B944-8781-8675960E7213}</b:Guid>
    <b:Author>
      <b:Author>
        <b:NameList>
          <b:Person>
            <b:Last>Hammerstrom</b:Last>
            <b:First>Donald</b:First>
          </b:Person>
        </b:NameList>
      </b:Author>
    </b:Author>
    <b:Title>Pacific Northwest Smart Grid Demonstration Transactive Coordination Signals</b:Title>
    <b:Institution>Batelle Memorial Institute</b:Institution>
    <b:Department>Pacific Northwest Division</b:Department>
    <b:ThesisType>Technical Report</b:ThesisType>
    <b:Year>2013</b:Year>
    <b:StandardNumber>PNWD-4402 Rev. X.</b:StandardNumber>
    <b:City>Richland WA</b:City>
    <b:Comments>Available at http://www.pnwsmartgrid.org/docs/Transactive_Coordination_Signals.pdf</b:Comments>
    <b:RefOrder>18</b:RefOrder>
  </b:Source>
  <b:Source>
    <b:Tag>Ham15</b:Tag>
    <b:SourceType>Report</b:SourceType>
    <b:Guid>{0FFF09BE-DD1B-674F-93BD-A8422BC76A58}</b:Guid>
    <b:Title>Transactive Node Framework and Toolkit Library Functions, Version 1.0</b:Title>
    <b:Institution>Battelle Memorial Institute</b:Institution>
    <b:Department>Pacific Northwest Division</b:Department>
    <b:ThesisType>Technical Report</b:ThesisType>
    <b:Year>2015</b:Year>
    <b:StandardNumber>PNWD-4449</b:StandardNumber>
    <b:Author>
      <b:Author>
        <b:NameList>
          <b:Person>
            <b:Last>Hammerstrom</b:Last>
            <b:First>Donald</b:First>
          </b:Person>
          <b:Person>
            <b:Last>Esram</b:Last>
            <b:First>Trhishan</b:First>
          </b:Person>
        </b:NameList>
      </b:Author>
    </b:Author>
    <b:City>Richland WA</b:City>
    <b:Comments>Available at http://www.pnwsmartgrid.org/docs/Transactive_Node_Toolkit_Framework_Version_2-0.pdf</b:Comments>
    <b:RefOrder>19</b:RefOrder>
  </b:Source>
  <b:Source>
    <b:Tag>Ham13</b:Tag>
    <b:SourceType>Report</b:SourceType>
    <b:Guid>{D8ABD1A7-7CE3-444E-A5FA-EC0CA3664795}</b:Guid>
    <b:URL>http://www.pnwsmartgrid.org/docs/PNWSGDP_MBRP_Revision_3.2.pdf</b:URL>
    <b:ProductionCompany>Battelle Memorial Institute Pacific Northwest Division</b:ProductionCompany>
    <b:Year>2013</b:Year>
    <b:Month>07</b:Month>
    <b:Day>31</b:Day>
    <b:Author>
      <b:Author>
        <b:NameList>
          <b:Person>
            <b:Last>Hammerstrom</b:Last>
            <b:First>D</b:First>
          </b:Person>
          <b:Person>
            <b:Last>Melton</b:Last>
            <b:Middle>B</b:Middle>
            <b:First>R</b:First>
          </b:Person>
          <b:Person>
            <b:Last>Elbert</b:Last>
            <b:Middle>T</b:Middle>
            <b:First>S</b:First>
          </b:Person>
          <b:Person>
            <b:Last>Faber</b:Last>
            <b:Middle>R</b:Middle>
            <b:First>A</b:First>
          </b:Person>
          <b:Person>
            <b:Last>Esram</b:Last>
            <b:First>T</b:First>
          </b:Person>
          <b:Person>
            <b:Last>Singh</b:Last>
            <b:First>R</b:First>
          </b:Person>
          <b:Person>
            <b:Last>Boyd</b:Last>
            <b:Middle>A</b:Middle>
            <b:First>P</b:First>
          </b:Person>
        </b:NameList>
      </b:Author>
    </b:Author>
    <b:Title>Pacific Northwest Smart Grid Demonstration Project: Metrics and Benefits Reporting Plan</b:Title>
    <b:StandardNumber>PNW-SGDP-MB-001 Revision 3.2</b:StandardNumber>
    <b:Comments>Available at http://www.pnwsmartgrid.org/docs/PNWSGDP_MBRP_Revision_3.2.pdf</b:Comments>
    <b:Institution>Battell Memorial Institute</b:Institution>
    <b:Department>Pacific Northwest Division</b:Department>
    <b:City>Richland WA</b:City>
    <b:RefOrder>35</b:RefOrder>
  </b:Source>
  <b:Source>
    <b:Tag>Kuc15</b:Tag>
    <b:SourceType>Report</b:SourceType>
    <b:Guid>{206EDE02-1847-EA41-B7CB-394BA74EE923}</b:Guid>
    <b:Title>Transactive Signal Schema</b:Title>
    <b:Institution>Pacific Northwest National Laboratory</b:Institution>
    <b:City>Richland WA</b:City>
    <b:ThesisType>Technical report</b:ThesisType>
    <b:Year>2015</b:Year>
    <b:StandardNumber>PNNL-24744</b:StandardNumber>
    <b:Author>
      <b:Author>
        <b:NameList>
          <b:Person>
            <b:Last>Kuchar</b:Last>
            <b:First>Olga</b:First>
          </b:Person>
          <b:Person>
            <b:Last>Elbert</b:Last>
            <b:First>Stephen</b:First>
          </b:Person>
          <b:Person>
            <b:Last>Hammerstrom</b:Last>
            <b:First>Donald</b:First>
          </b:Person>
          <b:Person>
            <b:Last>Connell</b:Last>
            <b:First>Linda</b:First>
          </b:Person>
        </b:NameList>
      </b:Author>
    </b:Author>
    <b:Comments>Available at http://www.pnwsmartgrid.org/docs/TransactiveSignalSchema.pdf</b:Comments>
    <b:RefOrder>20</b:RefOrder>
  </b:Source>
  <b:Source>
    <b:Tag>Kuc151</b:Tag>
    <b:SourceType>Report</b:SourceType>
    <b:Guid>{F1E6D9D8-3D92-BA43-951D-C84F7C7DC131}</b:Guid>
    <b:Title>PNWSGD Data Colletion: Non-Transactive Data: XML Schema and Examples</b:Title>
    <b:Institution>Pacific Northwest National Laboratory</b:Institution>
    <b:Year>2015</b:Year>
    <b:StandardNumber>PNNL-25140 Rel 3.0</b:StandardNumber>
    <b:Comments>Available at http://www.pnwsmartgrid.org/docs/NonTransactiveSchema.pdf</b:Comments>
    <b:Author>
      <b:Author>
        <b:NameList>
          <b:Person>
            <b:Last>Kuchar</b:Last>
            <b:Middle>A</b:Middle>
            <b:First>Olga</b:First>
          </b:Person>
          <b:Person>
            <b:Last>Elbert</b:Last>
            <b:Middle>T</b:Middle>
            <b:First>Stephen</b:First>
          </b:Person>
          <b:Person>
            <b:Last>Marinovici</b:Last>
            <b:First>Cristina</b:First>
          </b:Person>
        </b:NameList>
      </b:Author>
    </b:Author>
    <b:RefOrder>36</b:RefOrder>
  </b:Source>
  <b:Source>
    <b:Tag>Ham1</b:Tag>
    <b:SourceType>Misc</b:SourceType>
    <b:Guid>{48EC53E5-1242-4C47-8426-F733941EDC06}</b:Guid>
    <b:Title>Private communication</b:Title>
    <b:Author>
      <b:Author>
        <b:NameList>
          <b:Person>
            <b:Last>Hammerstrom</b:Last>
            <b:First>Donald</b:First>
          </b:Person>
        </b:NameList>
      </b:Author>
    </b:Author>
    <b:RefOrder>21</b:RefOrder>
  </b:Source>
</b:Sources>
</file>

<file path=customXml/item6.xml><?xml version="1.0" encoding="utf-8"?>
<b:Sources xmlns:b="http://schemas.openxmlformats.org/officeDocument/2006/bibliography" xmlns="http://schemas.openxmlformats.org/officeDocument/2006/bibliography" SelectedStyle="/IEEE_Reference.XSL" StyleName="IEEE - Reference Order" Version="2006">
  <b:Source>
    <b:Tag>Gri15</b:Tag>
    <b:SourceType>DocumentFromInternetSite</b:SourceType>
    <b:Guid>{45C1E5F3-CD62-6346-8FCD-0BFA62ADCE3F}</b:Guid>
    <b:Author>
      <b:Author>
        <b:Corporate>GridWise Architecture Council</b:Corporate>
      </b:Author>
    </b:Author>
    <b:Title>GridWise Transactive Energy Framework Version 1.0</b:Title>
    <b:Year>2015</b:Year>
    <b:URL>http://www.gridwiseac.org/pdfs/te_framework_report_pnnl-22946.pdf</b:URL>
    <b:Month>01</b:Month>
    <b:RefOrder>15</b:RefOrder>
  </b:Source>
  <b:Source>
    <b:Tag>Gri14</b:Tag>
    <b:SourceType>DocumentFromInternetSite</b:SourceType>
    <b:Guid>{C675093F-B540-CD41-A738-757B9AF27016}</b:Guid>
    <b:Author>
      <b:Author>
        <b:Corporate>GridWise Architecture Council</b:Corporate>
      </b:Author>
    </b:Author>
    <b:URL>http://www.gridwiseac.org/pdfs/te_principles_slide_pnnl_sa_103625.pdf</b:URL>
    <b:Year>2014</b:Year>
    <b:Month>07</b:Month>
    <b:Title>Transactive Energy Principles</b:Title>
    <b:RefOrder>3</b:RefOrder>
  </b:Source>
  <b:Source>
    <b:Tag>Pow16</b:Tag>
    <b:SourceType>DocumentFromInternetSite</b:SourceType>
    <b:Guid>{54CE5123-096D-0946-939F-34350D85CD64}</b:Guid>
    <b:Author>
      <b:Author>
        <b:Corporate>FlexiblePower Alliance Network</b:Corporate>
      </b:Author>
    </b:Author>
    <b:InternetSiteTitle>The PowerMatcher Suite</b:InternetSiteTitle>
    <b:URL>http://flexiblepower.github.io/</b:URL>
    <b:Year>2016</b:Year>
    <b:YearAccessed>2016</b:YearAccessed>
    <b:MonthAccessed>Feb</b:MonthAccessed>
    <b:DayAccessed>24</b:DayAccessed>
    <b:RefOrder>6</b:RefOrder>
  </b:Source>
  <b:Source>
    <b:Tag>Pow161</b:Tag>
    <b:SourceType>DocumentFromInternetSite</b:SourceType>
    <b:Guid>{88280DF3-EC34-3C42-8C7A-5C6AF938FA06}</b:Guid>
    <b:Author>
      <b:Author>
        <b:Corporate>FlexiblePower Alliance Network</b:Corporate>
      </b:Author>
    </b:Author>
    <b:InternetSiteTitle>PowerMatcher Documentation</b:InternetSiteTitle>
    <b:URL>http://fpai-ci.sensorlab.tno.nl/builds/powermatcher-documentation/master/html/</b:URL>
    <b:Year>2016</b:Year>
    <b:YearAccessed>2016</b:YearAccessed>
    <b:MonthAccessed>Feb</b:MonthAccessed>
    <b:DayAccessed>24</b:DayAccessed>
    <b:RefOrder>5</b:RefOrder>
  </b:Source>
  <b:Source>
    <b:Tag>Int16</b:Tag>
    <b:SourceType>DocumentFromInternetSite</b:SourceType>
    <b:Guid>{D30310EC-F659-BB4C-BD51-FF0DCBF3E710}</b:Guid>
    <b:Author>
      <b:Author>
        <b:Corporate>International Electrotechnical Commission</b:Corporate>
      </b:Author>
    </b:Author>
    <b:Title>IEC 62325</b:Title>
    <b:InternetSiteTitle>IEC Webstore</b:InternetSiteTitle>
    <b:URL>https://webstore.iec.ch/searchform&amp;q=62325</b:URL>
    <b:Year>2016</b:Year>
    <b:Month>Feb</b:Month>
    <b:YearAccessed>2016</b:YearAccessed>
    <b:MonthAccessed>Feb</b:MonthAccessed>
    <b:DayAccessed>24</b:DayAccessed>
    <b:RefOrder>8</b:RefOrder>
  </b:Source>
  <b:Source>
    <b:Tag>Org12</b:Tag>
    <b:SourceType>DocumentFromInternetSite</b:SourceType>
    <b:Guid>{6DAD04BC-EBC9-E541-BFC7-D6BA82C2517C}</b:Guid>
    <b:Title>Energy Interoperation 1.0 OASIS Standard</b:Title>
    <b:Year>2011-2014</b:Year>
    <b:ShortTitle>Energy Interoperation</b:ShortTitle>
    <b:Author>
      <b:Author>
        <b:Corporate>OASIS</b:Corporate>
      </b:Author>
      <b:Editor>
        <b:NameList>
          <b:Person>
            <b:Last>Considine</b:Last>
            <b:First>Toby</b:First>
          </b:Person>
        </b:NameList>
      </b:Editor>
    </b:Author>
    <b:Medium>Web Page</b:Medium>
    <b:Month>February</b:Month>
    <b:Day>18</b:Day>
    <b:URL>http://docs.oasis-open.org/energyinterop/ei/v1.0/energyinterop-v1.0.html</b:URL>
    <b:PublicationTitle>Energy Interoperation 1.0</b:PublicationTitle>
    <b:YearAccessed>2016</b:YearAccessed>
    <b:MonthAccessed>February</b:MonthAccessed>
    <b:DayAccessed>24</b:DayAccessed>
    <b:RefOrder>4</b:RefOrder>
  </b:Source>
  <b:Source>
    <b:Tag>Nat141</b:Tag>
    <b:SourceType>DocumentFromInternetSite</b:SourceType>
    <b:Guid>{3761DEE7-3B21-B840-B83D-DC8FAEF48548}</b:Guid>
    <b:Author>
      <b:Author>
        <b:Corporate>National Institute of Standards and Technology</b:Corporate>
      </b:Author>
    </b:Author>
    <b:Title>NIST Framework and Roadmap for Smart Grid Interoperability Standards, Release 3.0</b:Title>
    <b:URL>http://nist.gov/smartgrid/upload/NIST-SP-1108r3.pdf</b:URL>
    <b:Year>2014</b:Year>
    <b:Month>September</b:Month>
    <b:YearAccessed>2016</b:YearAccessed>
    <b:MonthAccessed>February</b:MonthAccessed>
    <b:DayAccessed>24</b:DayAccessed>
    <b:ShortTitle>Smartgrid3</b:ShortTitle>
    <b:Version>3.0</b:Version>
    <b:RefOrder>2</b:RefOrder>
  </b:Source>
  <b:Source>
    <b:Tag>OAS15</b:Tag>
    <b:SourceType>DocumentFromInternetSite</b:SourceType>
    <b:Guid>{49A87015-F805-4844-951A-4D87372B8192}</b:Guid>
    <b:Author>
      <b:Author>
        <b:Corporate>OASIS</b:Corporate>
      </b:Author>
      <b:Editor>
        <b:NameList>
          <b:Person>
            <b:Last>Cox</b:Last>
            <b:First>William</b:First>
          </b:Person>
          <b:Person>
            <b:Last>Considine</b:Last>
            <b:First>Toby</b:First>
          </b:Person>
        </b:NameList>
      </b:Editor>
    </b:Author>
    <b:Title>OASIS WS-Calendar Platform Independent Model (PIM) Version 1.0</b:Title>
    <b:URL>http://docs.oasis-open.org/ws-calendar/ws-calendar-pim/v1.0/cs02/ws-calendar-pim-v1.0-cs02.html</b:URL>
    <b:Year>2015</b:Year>
    <b:Month>August</b:Month>
    <b:Day>21</b:Day>
    <b:YearAccessed>2016</b:YearAccessed>
    <b:MonthAccessed>February</b:MonthAccessed>
    <b:DayAccessed>24</b:DayAccessed>
    <b:Comments>PDF is authoritative</b:Comments>
    <b:RefOrder>25</b:RefOrder>
  </b:Source>
  <b:Source>
    <b:Tag>Hol14</b:Tag>
    <b:SourceType>DocumentFromInternetSite</b:SourceType>
    <b:Guid>{6B8205D5-5149-064F-B161-5141985DA467}</b:Guid>
    <b:Author>
      <b:Author>
        <b:NameList>
          <b:Person>
            <b:Last>Holmberg</b:Last>
            <b:First>David</b:First>
            <b:Middle>G.</b:Middle>
          </b:Person>
          <b:Person>
            <b:Last>Hardin</b:Last>
            <b:First>David</b:First>
            <b:Middle>B.</b:Middle>
          </b:Person>
          <b:Person>
            <b:Last>Bushby</b:Last>
            <b:First>Steven</b:First>
            <b:Middle>T.</b:Middle>
          </b:Person>
        </b:NameList>
      </b:Author>
    </b:Author>
    <b:Title>Facility Smart Grid Interface and a Demand Response Conceptual Model</b:Title>
    <b:URL>http://nvlpubs.nist.gov/nistpubs/TechnicalNotes/NIST.TN.1832.pdf</b:URL>
    <b:ProductionCompany>National Institute of Standards and Technology</b:ProductionCompany>
    <b:Year>2014</b:Year>
    <b:Month>August</b:Month>
    <b:YearAccessed>2016</b:YearAccessed>
    <b:MonthAccessed>February</b:MonthAccessed>
    <b:DayAccessed>24</b:DayAccessed>
    <b:ShortTitle>FSGI</b:ShortTitle>
    <b:Comments>NIST TN 1832</b:Comments>
    <b:RefOrder>26</b:RefOrder>
  </b:Source>
  <b:Source>
    <b:Tag>Int14</b:Tag>
    <b:SourceType>DocumentFromInternetSite</b:SourceType>
    <b:Guid>{BFC53DB4-EA51-964E-B626-8FCCDC5AB383}</b:Guid>
    <b:Author>
      <b:Author>
        <b:Corporate>International Electrotechnical Commission</b:Corporate>
      </b:Author>
    </b:Author>
    <b:Title>Smart grid user interface - Part 1: Interface overview and country perspectives</b:Title>
    <b:URL>https://webstore.iec.ch/publication/7478</b:URL>
    <b:Year>2014</b:Year>
    <b:Month>November</b:Month>
    <b:Day>17</b:Day>
    <b:YearAccessed>2016</b:YearAccessed>
    <b:MonthAccessed>February</b:MonthAccessed>
    <b:DayAccessed>24</b:DayAccessed>
    <b:ShortTitle>SGUI TR</b:ShortTitle>
    <b:StandardNumber>IEC TR 62939-1:2014</b:StandardNumber>
    <b:RefOrder>1</b:RefOrder>
  </b:Source>
  <b:Source>
    <b:Tag>Alb</b:Tag>
    <b:SourceType>ConferenceProceedings</b:SourceType>
    <b:Guid>{155A341E-0657-0B43-95B9-4E7BBF285F82}</b:Guid>
    <b:Author>
      <b:Author>
        <b:NameList>
          <b:Person>
            <b:Last>Albuyeh</b:Last>
            <b:First>Farrokh</b:First>
          </b:Person>
          <b:Person>
            <b:Last>Rahimi</b:Last>
            <b:First>Farrokh</b:First>
          </b:Person>
        </b:NameList>
      </b:Author>
    </b:Author>
    <b:Title>Applying Lessons Learned from Transmission/Bulk Power Deregulation to Transactive Energy at the Distribution/Retail Level </b:Title>
    <b:ConferenceName>Submitted to Transactive Energy Systems Conference</b:ConferenceName>
    <b:City>Portland</b:City>
    <b:Year>2016</b:Year>
    <b:RefOrder>17</b:RefOrder>
  </b:Source>
  <b:Source>
    <b:Tag>Hay45</b:Tag>
    <b:SourceType>JournalArticle</b:SourceType>
    <b:Guid>{E1F4418A-3141-C244-A6F3-A22C18E5B2AE}</b:Guid>
    <b:Author>
      <b:Author>
        <b:NameList>
          <b:Person>
            <b:Last>Hayek</b:Last>
            <b:First>F.</b:First>
            <b:Middle>A.</b:Middle>
          </b:Person>
        </b:NameList>
      </b:Author>
    </b:Author>
    <b:Title>The Use of Knowledge in Society</b:Title>
    <b:JournalName>The American Economic Review</b:JournalName>
    <b:Year>1945</b:Year>
    <b:Pages>519-530</b:Pages>
    <b:Volume>35</b:Volume>
    <b:Issue>4</b:Issue>
    <b:RefOrder>27</b:RefOrder>
  </b:Source>
  <b:Source>
    <b:Tag>OAS09</b:Tag>
    <b:SourceType>DocumentFromInternetSite</b:SourceType>
    <b:Guid>{532D29E5-75F3-6949-9A2E-1337024E7979}</b:Guid>
    <b:Author>
      <b:Author>
        <b:Corporate>OASIS</b:Corporate>
      </b:Author>
      <b:Editor>
        <b:NameList>
          <b:Person>
            <b:Last>Freund</b:Last>
            <b:First>Tom</b:First>
          </b:Person>
          <b:Person>
            <b:Last>Little</b:Last>
            <b:First>Mark</b:First>
          </b:Person>
        </b:NameList>
      </b:Editor>
    </b:Author>
    <b:Title>Web Services Business Activity (WS-BusinessActivity) Version 1.2</b:Title>
    <b:Year>2009</b:Year>
    <b:ShortTitle>WS-BA</b:ShortTitle>
    <b:Comments>OASIS Standard</b:Comments>
    <b:URL>http://docs.oasis-open.org/ws-tx/wstx-wsba-1.2-spec.html</b:URL>
    <b:Month>February</b:Month>
    <b:Day>02</b:Day>
    <b:YearAccessed>2016</b:YearAccessed>
    <b:MonthAccessed>February</b:MonthAccessed>
    <b:DayAccessed>24</b:DayAccessed>
    <b:RefOrder>28</b:RefOrder>
  </b:Source>
  <b:Source>
    <b:Tag>Gra93</b:Tag>
    <b:SourceType>Book</b:SourceType>
    <b:Guid>{CB52F8DC-3227-1344-8032-3938F039E61C}</b:Guid>
    <b:Title>Transaction Processing: Concepts and Techniques</b:Title>
    <b:Year>1993</b:Year>
    <b:Publisher>Morgan Kaufmann</b:Publisher>
    <b:Author>
      <b:Author>
        <b:NameList>
          <b:Person>
            <b:Last>Gray</b:Last>
            <b:First>J</b:First>
          </b:Person>
          <b:Person>
            <b:Last>Reuter</b:Last>
            <b:First>Andreas</b:First>
          </b:Person>
        </b:NameList>
      </b:Author>
    </b:Author>
    <b:RefOrder>29</b:RefOrder>
  </b:Source>
  <b:Source>
    <b:Tag>Int141</b:Tag>
    <b:SourceType>DocumentFromInternetSite</b:SourceType>
    <b:Guid>{7F69F92F-BF35-1C43-A695-FF937B477811}</b:Guid>
    <b:Author>
      <b:Author>
        <b:Corporate>International Electrotechnical Commission</b:Corporate>
      </b:Author>
    </b:Author>
    <b:Title>Systems interface between customer energy management system and the power management system - Part 10-1: Open Automated Demand Response (OpenADR 2.0b Profile Specification) </b:Title>
    <b:URL>https://webstore.iec.ch/publication/7570</b:URL>
    <b:Year>2014</b:Year>
    <b:Month>February</b:Month>
    <b:Day>19</b:Day>
    <b:YearAccessed>2016</b:YearAccessed>
    <b:MonthAccessed>February</b:MonthAccessed>
    <b:DayAccessed>24</b:DayAccessed>
    <b:StandardNumber>IEC PAS 62746-10-1:2014</b:StandardNumber>
    <b:Comments>Link to webstore page for standard</b:Comments>
    <b:RefOrder>23</b:RefOrder>
  </b:Source>
  <b:Source>
    <b:Tag>Bej14</b:Tag>
    <b:SourceType>JournalArticle</b:SourceType>
    <b:Guid>{955D3987-D49A-AE4F-BA92-5F910CB99666}</b:Guid>
    <b:Title>A Hierarchical Transactive Control Architecture for Renewables Integration in Smart Grids: Analytical Modeling and Stability</b:Title>
    <b:Year>2014</b:Year>
    <b:Pages>2054-2065</b:Pages>
    <b:ShortTitle>MIT1</b:ShortTitle>
    <b:JournalName>IEEE Transactions on Smart Grid</b:JournalName>
    <b:Month>July</b:Month>
    <b:Volume>5</b:Volume>
    <b:Issue>4</b:Issue>
    <b:Author>
      <b:Author>
        <b:NameList>
          <b:Person>
            <b:Last>Bejestani</b:Last>
            <b:First>A.</b:First>
            <b:Middle>Kiani</b:Middle>
          </b:Person>
          <b:Person>
            <b:Last>Annaswamy</b:Last>
            <b:First>A.</b:First>
          </b:Person>
          <b:Person>
            <b:Last>Samad</b:Last>
            <b:First>T.</b:First>
          </b:Person>
        </b:NameList>
      </b:Author>
    </b:Author>
    <b:RefOrder>11</b:RefOrder>
  </b:Source>
  <b:Source>
    <b:Tag>Knu15</b:Tag>
    <b:SourceType>JournalArticle</b:SourceType>
    <b:Guid>{64DA0340-C893-7446-8F78-8F10E9760FB2}</b:Guid>
    <b:Title>A Dynamic Market Mechanism for the Integration of Renewables and Demand Response</b:Title>
    <b:JournalName>IEEE Transactions on Control Systems Technology</b:JournalName>
    <b:Publisher>(IEEE Xplore Early Access)</b:Publisher>
    <b:Year>2015</b:Year>
    <b:Pages>1-16</b:Pages>
    <b:Author>
      <b:Author>
        <b:NameList>
          <b:Person>
            <b:Last>Knudsen</b:Last>
            <b:First>J.</b:First>
          </b:Person>
          <b:Person>
            <b:Last>Hansen</b:Last>
            <b:First>J.</b:First>
          </b:Person>
          <b:Person>
            <b:Last>Annaswamy</b:Last>
            <b:Middle>M.</b:Middle>
            <b:First>A.</b:First>
          </b:Person>
        </b:NameList>
      </b:Author>
    </b:Author>
    <b:RefOrder>12</b:RefOrder>
  </b:Source>
  <b:Source>
    <b:Tag>Tra16</b:Tag>
    <b:SourceType>DocumentFromInternetSite</b:SourceType>
    <b:Guid>{58736BBC-6336-2A44-AACD-4C464FE7FBEF}</b:Guid>
    <b:Author>
      <b:Author>
        <b:Corporate>Transactive Energy Associatiion</b:Corporate>
      </b:Author>
    </b:Author>
    <b:Title>Transactive Energy Description and Benefits</b:Title>
    <b:InternetSiteTitle>TEA - Transactive Energy Association</b:InternetSiteTitle>
    <b:URL>https://www.linkedin.com/groups/4778076/4778076-199816061</b:URL>
    <b:YearAccessed>2016</b:YearAccessed>
    <b:MonthAccessed>February</b:MonthAccessed>
    <b:DayAccessed>27</b:DayAccessed>
    <b:RefOrder>16</b:RefOrder>
  </b:Source>
  <b:Source>
    <b:Tag>Tra1</b:Tag>
    <b:SourceType>DocumentFromInternetSite</b:SourceType>
    <b:Guid>{013A29A9-A49A-934B-B97E-3933D4A548B6}</b:Guid>
    <b:Author>
      <b:Author>
        <b:Corporate>Transactive Microgrid Team</b:Corporate>
      </b:Author>
    </b:Author>
    <b:Title>NIST Transactive Energy Challenge</b:Title>
    <b:InternetSiteTitle>NIST Transactive Energy Challenge Collaborative Site</b:InternetSiteTitle>
    <b:URL>https://pages.nist.gov/TEChallenge/community/</b:URL>
    <b:RefOrder>24</b:RefOrder>
  </b:Source>
  <b:Source>
    <b:Tag>NIS16</b:Tag>
    <b:SourceType>DocumentFromInternetSite</b:SourceType>
    <b:Guid>{DCC19C7F-CC6D-6342-A7DE-81D32B5CC771}</b:Guid>
    <b:Author>
      <b:Author>
        <b:Corporate>TransactiveADR Team</b:Corporate>
      </b:Author>
    </b:Author>
    <b:Title>NIST Transactive Energy Challenge</b:Title>
    <b:URL>https://pages.nist.gov/TEChallenge/community/</b:URL>
    <b:YearAccessed>2016</b:YearAccessed>
    <b:MonthAccessed>February</b:MonthAccessed>
    <b:DayAccessed>25</b:DayAccessed>
    <b:InternetSiteTitle>NIST Transactive Energy Challenge Collaborative Site</b:InternetSiteTitle>
    <b:ShortTitle>TransactiveADR</b:ShortTitle>
    <b:RefOrder>10</b:RefOrder>
  </b:Source>
  <b:Source>
    <b:Tag>Caz11</b:Tag>
    <b:SourceType>DocumentFromInternetSite</b:SourceType>
    <b:Guid>{F89891B5-6B64-6B42-8FB9-61856D43CA41}</b:Guid>
    <b:Title>Automated Transactive Energy (TeMIX)</b:Title>
    <b:Year>2011</b:Year>
    <b:ConferenceName>Grid-Interop 2011</b:ConferenceName>
    <b:Publisher>GridWise Architecture Council</b:Publisher>
    <b:Author>
      <b:Author>
        <b:NameList>
          <b:Person>
            <b:Last>Cazalet</b:Last>
            <b:Middle>G.</b:Middle>
            <b:First>Edward</b:First>
          </b:Person>
        </b:NameList>
      </b:Author>
    </b:Author>
    <b:InternetSiteTitle>GridWise Architecture Council Grid-Interop 2011</b:InternetSiteTitle>
    <b:URL>http://www.gridwiseac.org/pdfs/forum_papers11/cazalet_paper_gi11.pdf</b:URL>
    <b:YearAccessed>2016</b:YearAccessed>
    <b:MonthAccessed>February</b:MonthAccessed>
    <b:DayAccessed>26</b:DayAccessed>
    <b:RefOrder>22</b:RefOrder>
  </b:Source>
  <b:Source>
    <b:Tag>Org06</b:Tag>
    <b:SourceType>DocumentFromInternetSite</b:SourceType>
    <b:Guid>{3DFE6A6B-07F4-B04E-BD6F-BFD0C3766611}</b:Guid>
    <b:Author>
      <b:Author>
        <b:Corporate>OASIS</b:Corporate>
      </b:Author>
      <b:ProducerName>
        <b:NameList>
          <b:Person>
            <b:Last>(OASIS)</b:Last>
            <b:First>Organization</b:First>
            <b:Middle>for the Advancement of Structured Information Standards</b:Middle>
          </b:Person>
        </b:NameList>
      </b:ProducerName>
      <b:Editor>
        <b:NameList>
          <b:Person>
            <b:Last>MacKenzie</b:Last>
            <b:First>C.</b:First>
            <b:Middle>Matthew</b:Middle>
          </b:Person>
          <b:Person>
            <b:Last>Laskey</b:Last>
            <b:First>Ken</b:First>
          </b:Person>
          <b:Person>
            <b:Last>McCabe</b:Last>
            <b:First>Francis</b:First>
          </b:Person>
          <b:Person>
            <b:Last>Brown</b:Last>
            <b:First>Peter</b:First>
            <b:Middle>F</b:Middle>
          </b:Person>
          <b:Person>
            <b:Last>Metz</b:Last>
            <b:First>Rebekah</b:First>
          </b:Person>
        </b:NameList>
      </b:Editor>
    </b:Author>
    <b:Year>2006</b:Year>
    <b:Comments>http://docs.oasis-open.org/soa-rm/v1.0/soa-rm.html</b:Comments>
    <b:URL>http://docs.oasis-open.org/soa-rm/v1.0/soa-rm.html</b:URL>
    <b:InternetSiteTitle>Reference Model for Service Oriented Architecture 1.0 (OASIS Standard)</b:InternetSiteTitle>
    <b:Institution>OASIS</b:Institution>
    <b:RefOrder>30</b:RefOrder>
  </b:Source>
  <b:Source>
    <b:Tag>ASH16</b:Tag>
    <b:SourceType>Report</b:SourceType>
    <b:Guid>{72D40A18-9E47-8944-BB9D-0EC8F05C8247}</b:Guid>
    <b:Title>Facility Smart Grid Information Model</b:Title>
    <b:Year>2016</b:Year>
    <b:ShortTitle>201</b:ShortTitle>
    <b:StandardNumber>ASHRAE 201</b:StandardNumber>
    <b:Author>
      <b:Author>
        <b:Corporate>ASHRAE</b:Corporate>
      </b:Author>
    </b:Author>
    <b:Institution>In Press</b:Institution>
    <b:RefOrder>31</b:RefOrder>
  </b:Source>
  <b:Source>
    <b:Tag>Gri08</b:Tag>
    <b:SourceType>DocumentFromInternetSite</b:SourceType>
    <b:Guid>{F4ABC067-D456-0945-A2D5-C6B632A0897E}</b:Guid>
    <b:Author>
      <b:Author>
        <b:Corporate>GridWise Architecture Council</b:Corporate>
      </b:Author>
    </b:Author>
    <b:Institution>GridWise Architecture Council</b:Institution>
    <b:Year>2008</b:Year>
    <b:ShortTitle>context-setting framework</b:ShortTitle>
    <b:InternetSiteTitle>Interoperability Context-Setting Framework</b:InternetSiteTitle>
    <b:URL>http://www.gridwiseac.org/pdfs/interopframework_v1_1.pdf</b:URL>
    <b:Month>March</b:Month>
    <b:YearAccessed>2016</b:YearAccessed>
    <b:MonthAccessed>February</b:MonthAccessed>
    <b:DayAccessed>25</b:DayAccessed>
    <b:RefOrder>13</b:RefOrder>
  </b:Source>
  <b:Source>
    <b:Tag>Gri13</b:Tag>
    <b:SourceType>InternetSite</b:SourceType>
    <b:Guid>{A4B6ACC5-A13E-1246-BBC9-70BEFB70EF95}</b:Guid>
    <b:Title>Transactive Energy Conference</b:Title>
    <b:Year>2013</b:Year>
    <b:Author>
      <b:Author>
        <b:Corporate>GridWise Architecture Council</b:Corporate>
      </b:Author>
    </b:Author>
    <b:URL>http://www.gridwiseac.org/pdfs/gwac_tec_052313/tec_2013_proceedings_pnnl_sa_96361.pdf</b:URL>
    <b:RefOrder>32</b:RefOrder>
  </b:Source>
  <b:Source>
    <b:Tag>Lib04</b:Tag>
    <b:SourceType>Report</b:SourceType>
    <b:Guid>{726AB2E6-043A-F946-8D1B-73A5FC663D5C}</b:Guid>
    <b:Title>The AMIS Approach to Systems Integration: An Overview</b:Title>
    <b:Institution>National Institute of Standards and Technology</b:Institution>
    <b:Year>2004</b:Year>
    <b:StandardNumber>NISTIR 7101</b:StandardNumber>
    <b:Author>
      <b:Author>
        <b:NameList>
          <b:Person>
            <b:Last>Libes</b:Last>
            <b:First>Don</b:First>
          </b:Person>
          <b:Person>
            <b:Last>Barkmeyer</b:Last>
            <b:Middle>J.</b:Middle>
            <b:First>Edward</b:First>
          </b:Person>
          <b:Person>
            <b:Last>Denno</b:Last>
            <b:First>Peter</b:First>
          </b:Person>
          <b:Person>
            <b:Last>Flater</b:Last>
            <b:First>David</b:First>
          </b:Person>
          <b:Person>
            <b:Last>Steves</b:Last>
            <b:Middle>Potts</b:Middle>
            <b:First>Michelle</b:First>
          </b:Person>
          <b:Person>
            <b:Last>Wallace</b:Last>
            <b:First>Evan</b:First>
          </b:Person>
          <b:Person>
            <b:Last>Feeney</b:Last>
            <b:Middle>Barnard</b:Middle>
            <b:First>Allison</b:First>
          </b:Person>
        </b:NameList>
      </b:Author>
    </b:Author>
    <b:RefOrder>33</b:RefOrder>
  </b:Source>
  <b:Source>
    <b:Tag>OAS12</b:Tag>
    <b:SourceType>DocumentFromInternetSite</b:SourceType>
    <b:Guid>{369CE049-21E5-3D4F-AB17-5382517677EA}</b:Guid>
    <b:Author>
      <b:Author>
        <b:Corporate>OASIS</b:Corporate>
      </b:Author>
      <b:Editor>
        <b:NameList>
          <b:Person>
            <b:Last>Considine</b:Last>
            <b:First>Toby</b:First>
          </b:Person>
        </b:NameList>
      </b:Editor>
    </b:Author>
    <b:Title>Energy Market Information Exchange Version 1.0</b:Title>
    <b:Year>2012</b:Year>
    <b:ShortTitle>EMIX</b:ShortTitle>
    <b:URL>http://docs.oasis-open.org/emix/emix/v1.0/emix-v1.0.html</b:URL>
    <b:Month>January</b:Month>
    <b:Day>11</b:Day>
    <b:Comments>http://docs.oasis-open.org/emix/emix/v1.0/emix-v1.0.html</b:Comments>
    <b:Version>1.0 CS02</b:Version>
    <b:RefOrder>9</b:RefOrder>
  </b:Source>
  <b:Source>
    <b:Tag>Cox132</b:Tag>
    <b:SourceType>DocumentFromInternetSite</b:SourceType>
    <b:Guid>{EC631C44-2A08-AE41-A4AF-771629845A52}</b:Guid>
    <b:Title>Towards a Taxonomy of Transactive Energy</b:Title>
    <b:Year>2013</b:Year>
    <b:ShortTitle>Taxonomy</b:ShortTitle>
    <b:Comments>In 2013 Transactive Energy Conference</b:Comments>
    <b:InternetSiteTitle>Cox Software Architects LLC</b:InternetSiteTitle>
    <b:URL>http://coxsoftwarearchitects.com/Resources/TEC2013/Taxonomy_Transactive_Energy_Cox_20130523.pdf</b:URL>
    <b:Month>May</b:Month>
    <b:Day>23</b:Day>
    <b:YearAccessed>2016</b:YearAccessed>
    <b:MonthAccessed>Feburary</b:MonthAccessed>
    <b:DayAccessed>24</b:DayAccessed>
    <b:Author>
      <b:Author>
        <b:NameList>
          <b:Person>
            <b:Last>Cox</b:Last>
            <b:First>William</b:First>
          </b:Person>
        </b:NameList>
      </b:Author>
    </b:Author>
    <b:RefOrder>34</b:RefOrder>
  </b:Source>
  <b:Source>
    <b:Tag>Gam94</b:Tag>
    <b:SourceType>Book</b:SourceType>
    <b:Guid>{C87CD3A0-6795-C940-9E17-A4ABA7234DE4}</b:Guid>
    <b:Title>Design Patterns: Elements of Reusable Object-Oriented Software</b:Title>
    <b:Year>1994</b:Year>
    <b:Author>
      <b:Author>
        <b:NameList>
          <b:Person>
            <b:Last>Gamma</b:Last>
          </b:Person>
          <b:Person>
            <b:Last>Gamma</b:Last>
            <b:First>E</b:First>
          </b:Person>
          <b:Person>
            <b:Last>Helm</b:Last>
            <b:First>R</b:First>
          </b:Person>
          <b:Person>
            <b:Last>Vissides</b:Last>
            <b:First>J</b:First>
          </b:Person>
        </b:NameList>
      </b:Author>
    </b:Author>
    <b:Publisher>Addison-Wesley Professional</b:Publisher>
    <b:ShortTitle>Design Patterns</b:ShortTitle>
    <b:RefOrder>14</b:RefOrder>
  </b:Source>
  <b:Source>
    <b:Tag>Bat15</b:Tag>
    <b:SourceType>DocumentFromInternetSite</b:SourceType>
    <b:Guid>{ECD2C94C-4AFB-8341-BD8D-BD7E681B8189}</b:Guid>
    <b:Author>
      <b:Author>
        <b:Corporate>Battelle Memorial Institute</b:Corporate>
        <b:NameList>
          <b:Person>
            <b:Last>Hammerstrom</b:Last>
            <b:First>D</b:First>
          </b:Person>
        </b:NameList>
      </b:Author>
    </b:Author>
    <b:Title>Pacific Northwest GSmart Grid Demonstration Project Technology Performance Report</b:Title>
    <b:InternetSiteTitle>SmartGrid.gov</b:InternetSiteTitle>
    <b:URL>https://www.smartgrid.gov/document/Pacific_Northwest_Smart_Grid_Technology_Performance.html</b:URL>
    <b:Year>2015</b:Year>
    <b:Month>June</b:Month>
    <b:YearAccessed>2016</b:YearAccessed>
    <b:MonthAccessed>February</b:MonthAccessed>
    <b:DayAccessed>24</b:DayAccessed>
    <b:ShortTitle>PNW</b:ShortTitle>
    <b:ProductionCompany>Battelle Memorial Institute</b:ProductionCompany>
    <b:RefOrder>7</b:RefOrder>
  </b:Source>
  <b:Source>
    <b:Tag>Ham</b:Tag>
    <b:SourceType>Report</b:SourceType>
    <b:Guid>{CA689BE2-099D-B944-8781-8675960E7213}</b:Guid>
    <b:Author>
      <b:Author>
        <b:NameList>
          <b:Person>
            <b:Last>Hammerstrom</b:Last>
            <b:First>Donald</b:First>
          </b:Person>
        </b:NameList>
      </b:Author>
    </b:Author>
    <b:Title>Pacific Northwest Smart Grid Demonstration Transactive Coordination Signals</b:Title>
    <b:Institution>Batelle Memorial Institute</b:Institution>
    <b:Department>Pacific Northwest Division</b:Department>
    <b:ThesisType>Technical Report</b:ThesisType>
    <b:Year>2013</b:Year>
    <b:StandardNumber>PNWD-4402 Rev. X.</b:StandardNumber>
    <b:City>Richland WA</b:City>
    <b:Comments>Available at http://www.pnwsmartgrid.org/docs/Transactive_Coordination_Signals.pdf</b:Comments>
    <b:RefOrder>18</b:RefOrder>
  </b:Source>
  <b:Source>
    <b:Tag>Ham15</b:Tag>
    <b:SourceType>Report</b:SourceType>
    <b:Guid>{0FFF09BE-DD1B-674F-93BD-A8422BC76A58}</b:Guid>
    <b:Title>Transactive Node Framework and Toolkit Library Functions, Version 1.0</b:Title>
    <b:Institution>Battelle Memorial Institute</b:Institution>
    <b:Department>Pacific Northwest Division</b:Department>
    <b:ThesisType>Technical Report</b:ThesisType>
    <b:Year>2015</b:Year>
    <b:StandardNumber>PNWD-4449</b:StandardNumber>
    <b:Author>
      <b:Author>
        <b:NameList>
          <b:Person>
            <b:Last>Hammerstrom</b:Last>
            <b:First>Donald</b:First>
          </b:Person>
          <b:Person>
            <b:Last>Esram</b:Last>
            <b:First>Trhishan</b:First>
          </b:Person>
        </b:NameList>
      </b:Author>
    </b:Author>
    <b:City>Richland WA</b:City>
    <b:Comments>Available at http://www.pnwsmartgrid.org/docs/Transactive_Node_Toolkit_Framework_Version_2-0.pdf</b:Comments>
    <b:RefOrder>19</b:RefOrder>
  </b:Source>
  <b:Source>
    <b:Tag>Ham13</b:Tag>
    <b:SourceType>Report</b:SourceType>
    <b:Guid>{D8ABD1A7-7CE3-444E-A5FA-EC0CA3664795}</b:Guid>
    <b:URL>http://www.pnwsmartgrid.org/docs/PNWSGDP_MBRP_Revision_3.2.pdf</b:URL>
    <b:ProductionCompany>Battelle Memorial Institute Pacific Northwest Division</b:ProductionCompany>
    <b:Year>2013</b:Year>
    <b:Month>07</b:Month>
    <b:Day>31</b:Day>
    <b:Author>
      <b:Author>
        <b:NameList>
          <b:Person>
            <b:Last>Hammerstrom</b:Last>
            <b:First>D</b:First>
          </b:Person>
          <b:Person>
            <b:Last>Melton</b:Last>
            <b:Middle>B</b:Middle>
            <b:First>R</b:First>
          </b:Person>
          <b:Person>
            <b:Last>Elbert</b:Last>
            <b:Middle>T</b:Middle>
            <b:First>S</b:First>
          </b:Person>
          <b:Person>
            <b:Last>Faber</b:Last>
            <b:Middle>R</b:Middle>
            <b:First>A</b:First>
          </b:Person>
          <b:Person>
            <b:Last>Esram</b:Last>
            <b:First>T</b:First>
          </b:Person>
          <b:Person>
            <b:Last>Singh</b:Last>
            <b:First>R</b:First>
          </b:Person>
          <b:Person>
            <b:Last>Boyd</b:Last>
            <b:Middle>A</b:Middle>
            <b:First>P</b:First>
          </b:Person>
        </b:NameList>
      </b:Author>
    </b:Author>
    <b:Title>Pacific Northwest Smart Grid Demonstration Project: Metrics and Benefits Reporting Plan</b:Title>
    <b:StandardNumber>PNW-SGDP-MB-001 Revision 3.2</b:StandardNumber>
    <b:Comments>Available at http://www.pnwsmartgrid.org/docs/PNWSGDP_MBRP_Revision_3.2.pdf</b:Comments>
    <b:Institution>Battell Memorial Institute</b:Institution>
    <b:Department>Pacific Northwest Division</b:Department>
    <b:City>Richland WA</b:City>
    <b:RefOrder>35</b:RefOrder>
  </b:Source>
  <b:Source>
    <b:Tag>Kuc15</b:Tag>
    <b:SourceType>Report</b:SourceType>
    <b:Guid>{206EDE02-1847-EA41-B7CB-394BA74EE923}</b:Guid>
    <b:Title>Transactive Signal Schema</b:Title>
    <b:Institution>Pacific Northwest National Laboratory</b:Institution>
    <b:City>Richland WA</b:City>
    <b:ThesisType>Technical report</b:ThesisType>
    <b:Year>2015</b:Year>
    <b:StandardNumber>PNNL-24744</b:StandardNumber>
    <b:Author>
      <b:Author>
        <b:NameList>
          <b:Person>
            <b:Last>Kuchar</b:Last>
            <b:First>Olga</b:First>
          </b:Person>
          <b:Person>
            <b:Last>Elbert</b:Last>
            <b:First>Stephen</b:First>
          </b:Person>
          <b:Person>
            <b:Last>Hammerstrom</b:Last>
            <b:First>Donald</b:First>
          </b:Person>
          <b:Person>
            <b:Last>Connell</b:Last>
            <b:First>Linda</b:First>
          </b:Person>
        </b:NameList>
      </b:Author>
    </b:Author>
    <b:Comments>Available at http://www.pnwsmartgrid.org/docs/TransactiveSignalSchema.pdf</b:Comments>
    <b:RefOrder>20</b:RefOrder>
  </b:Source>
  <b:Source>
    <b:Tag>Kuc151</b:Tag>
    <b:SourceType>Report</b:SourceType>
    <b:Guid>{F1E6D9D8-3D92-BA43-951D-C84F7C7DC131}</b:Guid>
    <b:Title>PNWSGD Data Colletion: Non-Transactive Data: XML Schema and Examples</b:Title>
    <b:Institution>Pacific Northwest National Laboratory</b:Institution>
    <b:Year>2015</b:Year>
    <b:StandardNumber>PNNL-25140 Rel 3.0</b:StandardNumber>
    <b:Comments>Available at http://www.pnwsmartgrid.org/docs/NonTransactiveSchema.pdf</b:Comments>
    <b:Author>
      <b:Author>
        <b:NameList>
          <b:Person>
            <b:Last>Kuchar</b:Last>
            <b:Middle>A</b:Middle>
            <b:First>Olga</b:First>
          </b:Person>
          <b:Person>
            <b:Last>Elbert</b:Last>
            <b:Middle>T</b:Middle>
            <b:First>Stephen</b:First>
          </b:Person>
          <b:Person>
            <b:Last>Marinovici</b:Last>
            <b:First>Cristina</b:First>
          </b:Person>
        </b:NameList>
      </b:Author>
    </b:Author>
    <b:RefOrder>36</b:RefOrder>
  </b:Source>
  <b:Source>
    <b:Tag>Ham1</b:Tag>
    <b:SourceType>Misc</b:SourceType>
    <b:Guid>{48EC53E5-1242-4C47-8426-F733941EDC06}</b:Guid>
    <b:Title>Private communication</b:Title>
    <b:Author>
      <b:Author>
        <b:NameList>
          <b:Person>
            <b:Last>Hammerstrom</b:Last>
            <b:First>Donald</b:First>
          </b:Person>
        </b:NameList>
      </b:Author>
    </b:Author>
    <b:RefOrder>21</b:RefOrder>
  </b:Source>
</b:Sources>
</file>

<file path=customXml/itemProps1.xml><?xml version="1.0" encoding="utf-8"?>
<ds:datastoreItem xmlns:ds="http://schemas.openxmlformats.org/officeDocument/2006/customXml" ds:itemID="{91B0C1F7-2A11-414E-BB68-2DFA68643B0C}">
  <ds:schemaRefs>
    <ds:schemaRef ds:uri="http://schemas.openxmlformats.org/officeDocument/2006/bibliography"/>
  </ds:schemaRefs>
</ds:datastoreItem>
</file>

<file path=customXml/itemProps2.xml><?xml version="1.0" encoding="utf-8"?>
<ds:datastoreItem xmlns:ds="http://schemas.openxmlformats.org/officeDocument/2006/customXml" ds:itemID="{1D131532-F153-C14F-B971-DAE4D55BBB89}">
  <ds:schemaRefs>
    <ds:schemaRef ds:uri="http://schemas.openxmlformats.org/officeDocument/2006/bibliography"/>
  </ds:schemaRefs>
</ds:datastoreItem>
</file>

<file path=customXml/itemProps3.xml><?xml version="1.0" encoding="utf-8"?>
<ds:datastoreItem xmlns:ds="http://schemas.openxmlformats.org/officeDocument/2006/customXml" ds:itemID="{5C3B194A-240D-574A-837F-96BD8160D702}">
  <ds:schemaRefs>
    <ds:schemaRef ds:uri="http://schemas.openxmlformats.org/officeDocument/2006/bibliography"/>
  </ds:schemaRefs>
</ds:datastoreItem>
</file>

<file path=customXml/itemProps4.xml><?xml version="1.0" encoding="utf-8"?>
<ds:datastoreItem xmlns:ds="http://schemas.openxmlformats.org/officeDocument/2006/customXml" ds:itemID="{08E44C08-C526-CB48-945F-BE9555F8584A}">
  <ds:schemaRefs>
    <ds:schemaRef ds:uri="http://schemas.openxmlformats.org/officeDocument/2006/bibliography"/>
  </ds:schemaRefs>
</ds:datastoreItem>
</file>

<file path=customXml/itemProps5.xml><?xml version="1.0" encoding="utf-8"?>
<ds:datastoreItem xmlns:ds="http://schemas.openxmlformats.org/officeDocument/2006/customXml" ds:itemID="{96A95B0D-B19A-544A-8BAC-5409A7AE434F}">
  <ds:schemaRefs>
    <ds:schemaRef ds:uri="http://schemas.openxmlformats.org/officeDocument/2006/bibliography"/>
  </ds:schemaRefs>
</ds:datastoreItem>
</file>

<file path=customXml/itemProps6.xml><?xml version="1.0" encoding="utf-8"?>
<ds:datastoreItem xmlns:ds="http://schemas.openxmlformats.org/officeDocument/2006/customXml" ds:itemID="{061BE68C-1A21-6D4B-ABFD-3F3E23642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7324</Words>
  <Characters>45487</Characters>
  <Application>Microsoft Macintosh Word</Application>
  <DocSecurity>0</DocSecurity>
  <Lines>1299</Lines>
  <Paragraphs>507</Paragraphs>
  <ScaleCrop>false</ScaleCrop>
  <HeadingPairs>
    <vt:vector size="2" baseType="variant">
      <vt:variant>
        <vt:lpstr>Title</vt:lpstr>
      </vt:variant>
      <vt:variant>
        <vt:i4>1</vt:i4>
      </vt:variant>
    </vt:vector>
  </HeadingPairs>
  <TitlesOfParts>
    <vt:vector size="1" baseType="lpstr">
      <vt:lpstr>TEC Common Transactive Services Report</vt:lpstr>
    </vt:vector>
  </TitlesOfParts>
  <Manager/>
  <Company/>
  <LinksUpToDate>false</LinksUpToDate>
  <CharactersWithSpaces>52304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Common Transactive Services Report</dc:title>
  <dc:subject/>
  <dc:creator>Common Transactive Services Team</dc:creator>
  <cp:keywords/>
  <dc:description>CTS Report 20160502_x000d_Editor WTCox</dc:description>
  <cp:lastModifiedBy>William Cox</cp:lastModifiedBy>
  <cp:revision>4</cp:revision>
  <cp:lastPrinted>2016-04-29T13:22:00Z</cp:lastPrinted>
  <dcterms:created xsi:type="dcterms:W3CDTF">2016-05-03T01:51:00Z</dcterms:created>
  <dcterms:modified xsi:type="dcterms:W3CDTF">2016-05-03T01:58:00Z</dcterms:modified>
  <cp:category/>
</cp:coreProperties>
</file>