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40"/>
        <w:jc w:val="center"/>
      </w:pPr>
      <w:r>
        <w:rPr>
          <w:rFonts w:ascii="Times New Roman" w:hAnsi="Times New Roman" w:eastAsia="Noto Sans SC"/>
          <w:b/>
          <w:color w:val="000000"/>
          <w:sz w:val="50"/>
        </w:rPr>
        <w:t>共享单车大数据分析与可视化技术应用调研报告</w:t>
      </w:r>
    </w:p>
    <w:p>
      <w:pPr>
        <w:spacing w:before="320" w:after="1040"/>
        <w:jc w:val="center"/>
      </w:pPr>
      <w:r>
        <w:rPr>
          <w:rFonts w:ascii="Times New Roman" w:hAnsi="Times New Roman" w:eastAsia="Noto Sans SC"/>
          <w:color w:val="595959"/>
          <w:sz w:val="26"/>
        </w:rPr>
        <w:t>面向课程项目的技术路线  应用场景与合规性核查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Noto Sans SC"/>
                <w:b/>
                <w:color w:val="595959"/>
                <w:sz w:val="22"/>
              </w:rPr>
              <w:t>课程名称</w:t>
            </w:r>
          </w:p>
        </w:tc>
        <w:tc>
          <w:tcPr>
            <w:tcW w:type="dxa" w:w="57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22"/>
              </w:rPr>
              <w:t>软件开发实践1-25-26-2</w:t>
            </w:r>
          </w:p>
        </w:tc>
      </w:tr>
      <w:tr>
        <w:tc>
          <w:tcPr>
            <w:tcW w:type="dxa" w:w="192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Noto Sans SC"/>
                <w:b/>
                <w:color w:val="595959"/>
                <w:sz w:val="22"/>
              </w:rPr>
              <w:t>指导教师</w:t>
            </w:r>
          </w:p>
        </w:tc>
        <w:tc>
          <w:tcPr>
            <w:tcW w:type="dxa" w:w="57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22"/>
              </w:rPr>
              <w:t>葛瑞泉</w:t>
            </w:r>
          </w:p>
        </w:tc>
      </w:tr>
      <w:tr>
        <w:tc>
          <w:tcPr>
            <w:tcW w:type="dxa" w:w="192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Noto Sans SC"/>
                <w:b/>
                <w:color w:val="595959"/>
                <w:sz w:val="22"/>
              </w:rPr>
              <w:t>项目主题</w:t>
            </w:r>
          </w:p>
        </w:tc>
        <w:tc>
          <w:tcPr>
            <w:tcW w:type="dxa" w:w="57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22"/>
              </w:rPr>
              <w:t>共享单车租赁需求分析  数据库查询与可视化大屏系统</w:t>
            </w:r>
          </w:p>
        </w:tc>
      </w:tr>
      <w:tr>
        <w:tc>
          <w:tcPr>
            <w:tcW w:type="dxa" w:w="192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Noto Sans SC"/>
                <w:b/>
                <w:color w:val="595959"/>
                <w:sz w:val="22"/>
              </w:rPr>
              <w:t>项目小组</w:t>
            </w:r>
          </w:p>
        </w:tc>
        <w:tc>
          <w:tcPr>
            <w:tcW w:type="dxa" w:w="57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22"/>
              </w:rPr>
              <w:t>邹晓谦  赵轩逸  侯季南  高轩  王浩轩</w:t>
            </w:r>
          </w:p>
        </w:tc>
      </w:tr>
      <w:tr>
        <w:tc>
          <w:tcPr>
            <w:tcW w:type="dxa" w:w="192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Noto Sans SC"/>
                <w:b/>
                <w:color w:val="595959"/>
                <w:sz w:val="22"/>
              </w:rPr>
              <w:t>提交日期</w:t>
            </w:r>
          </w:p>
        </w:tc>
        <w:tc>
          <w:tcPr>
            <w:tcW w:type="dxa" w:w="57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22"/>
              </w:rPr>
              <w:t>2026年9月</w:t>
            </w:r>
          </w:p>
        </w:tc>
      </w:tr>
    </w:tbl>
    <w:p>
      <w:r>
        <w:br w:type="page"/>
      </w:r>
    </w:p>
    <w:p>
      <w:pPr>
        <w:pStyle w:val="Heading1"/>
        <w:spacing w:before="0" w:after="160"/>
      </w:pPr>
      <w:r>
        <w:rPr>
          <w:rFonts w:ascii="Times New Roman" w:hAnsi="Times New Roman" w:eastAsia="Noto Sans SC"/>
          <w:b/>
          <w:sz w:val="30"/>
        </w:rPr>
        <w:t>摘要</w:t>
      </w:r>
    </w:p>
    <w:p>
      <w:pPr>
        <w:spacing w:before="0" w:after="140" w:line="372" w:lineRule="auto"/>
        <w:ind w:firstLine="420"/>
        <w:jc w:val="both"/>
      </w:pPr>
      <w:r>
        <w:rPr>
          <w:rFonts w:ascii="Times New Roman" w:hAnsi="Times New Roman" w:eastAsia="Noto Sans SC"/>
          <w:sz w:val="22"/>
        </w:rPr>
        <w:t>本报告以共享单车租赁需求分析、数据库查询与可视化大屏系统为对象，围绕公开数据使用、数据处理、数据库查询、可视化展示及质量验证开展技术调研。项目采用 UCI Machine Learning Repository 发布的 Bike Sharing Dataset 作为小时级统计分析的主要数据来源，并将本地整理的 Kaggle Bike Sharing Demand 数据用于 SQLite 查询与前端演示。技术实现覆盖 pandas 与 NumPy 数据处理、SQLite 数据存储与查询接口、matplotlib 静态图表、ECharts 前端大屏以及 pytest 自动化测试。</w:t>
      </w:r>
    </w:p>
    <w:p>
      <w:pPr>
        <w:spacing w:before="0" w:after="180" w:line="372" w:lineRule="auto"/>
        <w:ind w:firstLine="420"/>
        <w:jc w:val="both"/>
      </w:pPr>
      <w:r>
        <w:rPr>
          <w:rFonts w:ascii="Times New Roman" w:hAnsi="Times New Roman" w:eastAsia="Noto Sans SC"/>
          <w:sz w:val="22"/>
        </w:rPr>
        <w:t>调研结果表明，小时粒度数据能够识别通勤高峰和天气条件下的租赁量差异；将分析模块、查询模块和展示模块分层，有利于课程项目的复现、测试和答辩说明。合规核查显示：当前课程项目仅处理公开、聚合的示例数据，不包含可直接识别个人身份的真实轨迹数据；但若未来接入真实订单、定位或用户数据，必须遵守个人信息保护、数据安全、数据授权和开源许可证等要求。</w:t>
      </w:r>
    </w:p>
    <w:p>
      <w:pPr>
        <w:spacing w:after="400"/>
      </w:pPr>
      <w:r>
        <w:rPr>
          <w:rFonts w:ascii="Times New Roman" w:hAnsi="Times New Roman" w:eastAsia="Noto Sans SC"/>
          <w:b/>
          <w:sz w:val="21"/>
        </w:rPr>
        <w:t>关键词：</w:t>
      </w:r>
      <w:r>
        <w:rPr>
          <w:rFonts w:ascii="Times New Roman" w:hAnsi="Times New Roman" w:eastAsia="Noto Sans SC"/>
          <w:sz w:val="21"/>
        </w:rPr>
        <w:t>共享单车；数据分析；SQLite；数据可视化；个人信息保护</w:t>
      </w:r>
    </w:p>
    <w:p>
      <w:pPr>
        <w:pStyle w:val="Heading1"/>
        <w:keepNext/>
        <w:pageBreakBefore w:val="0"/>
        <w:spacing w:before="300" w:after="120"/>
      </w:pPr>
      <w:r>
        <w:rPr>
          <w:rFonts w:ascii="Times New Roman" w:hAnsi="Times New Roman" w:eastAsia="Noto Sans SC"/>
          <w:b/>
          <w:color w:val="000000"/>
          <w:sz w:val="30"/>
        </w:rPr>
        <w:t>一、调研背景与目标</w:t>
      </w:r>
    </w:p>
    <w:p>
      <w:pPr>
        <w:pStyle w:val="Heading2"/>
        <w:keepNext/>
        <w:pageBreakBefore w:val="0"/>
        <w:spacing w:before="180" w:after="120"/>
      </w:pPr>
      <w:r>
        <w:rPr>
          <w:rFonts w:ascii="Times New Roman" w:hAnsi="Times New Roman" w:eastAsia="Noto Sans SC"/>
          <w:b/>
          <w:color w:val="000000"/>
          <w:sz w:val="24"/>
        </w:rPr>
        <w:t>1.1 调研背景</w:t>
      </w:r>
    </w:p>
    <w:p>
      <w:pPr>
        <w:spacing w:before="0" w:after="140" w:line="372" w:lineRule="auto"/>
        <w:ind w:firstLine="420"/>
        <w:jc w:val="both"/>
      </w:pPr>
      <w:r>
        <w:rPr>
          <w:rFonts w:ascii="Times New Roman" w:hAnsi="Times New Roman" w:eastAsia="Noto Sans SC"/>
          <w:sz w:val="22"/>
        </w:rPr>
        <w:t>共享单车是依托互联网平台提供分时租赁服务的城市慢行交通方式。其运行过程会形成时间、天气、使用频次、用户类型和车辆状态等多维数据。对这类数据进行规范处理，可以帮助研究者理解租赁需求的时间规律，并为运维调度、慢行交通规划和用户服务改进提供描述性依据。</w:t>
      </w:r>
    </w:p>
    <w:p>
      <w:pPr>
        <w:spacing w:before="0" w:after="140" w:line="372" w:lineRule="auto"/>
        <w:ind w:firstLine="420"/>
        <w:jc w:val="both"/>
      </w:pPr>
      <w:r>
        <w:rPr>
          <w:rFonts w:ascii="Times New Roman" w:hAnsi="Times New Roman" w:eastAsia="Noto Sans SC"/>
          <w:sz w:val="22"/>
        </w:rPr>
        <w:t>本调研不以单一平台的商业指标为结论依据，也不对企业运营能力作未经证实的评价；行业应用部分聚焦公开资料能够支持的技术能力与治理问题。</w:t>
      </w:r>
    </w:p>
    <w:p>
      <w:pPr>
        <w:pStyle w:val="Heading2"/>
        <w:keepNext/>
        <w:pageBreakBefore w:val="0"/>
        <w:spacing w:before="180" w:after="120"/>
      </w:pPr>
      <w:r>
        <w:rPr>
          <w:rFonts w:ascii="Times New Roman" w:hAnsi="Times New Roman" w:eastAsia="Noto Sans SC"/>
          <w:b/>
          <w:color w:val="000000"/>
          <w:sz w:val="24"/>
        </w:rPr>
        <w:t>1.2 调研目标与边界</w:t>
      </w:r>
    </w:p>
    <w:p>
      <w:pPr>
        <w:pStyle w:val="ListBullet"/>
        <w:spacing w:after="80" w:line="324" w:lineRule="auto"/>
        <w:ind w:left="397" w:hanging="210"/>
      </w:pPr>
      <w:r>
        <w:rPr>
          <w:rFonts w:ascii="Times New Roman" w:hAnsi="Times New Roman" w:eastAsia="Noto Sans SC"/>
          <w:sz w:val="21"/>
        </w:rPr>
        <w:t>梳理共享单车数据从采集、清洗、存储、查询到可视化展示的实现链路。</w:t>
      </w:r>
    </w:p>
    <w:p>
      <w:pPr>
        <w:pStyle w:val="ListBullet"/>
        <w:spacing w:after="80" w:line="324" w:lineRule="auto"/>
        <w:ind w:left="397" w:hanging="210"/>
      </w:pPr>
      <w:r>
        <w:rPr>
          <w:rFonts w:ascii="Times New Roman" w:hAnsi="Times New Roman" w:eastAsia="Noto Sans SC"/>
          <w:sz w:val="21"/>
        </w:rPr>
        <w:t>说明本课程项目所采用的数据来源、字段范围、分析方法与测试方式。</w:t>
      </w:r>
    </w:p>
    <w:p>
      <w:pPr>
        <w:pStyle w:val="ListBullet"/>
        <w:spacing w:after="80" w:line="324" w:lineRule="auto"/>
        <w:ind w:left="397" w:hanging="210"/>
      </w:pPr>
      <w:r>
        <w:rPr>
          <w:rFonts w:ascii="Times New Roman" w:hAnsi="Times New Roman" w:eastAsia="Noto Sans SC"/>
          <w:sz w:val="21"/>
        </w:rPr>
        <w:t>以项目统计结果为基础，区分描述性发现、合理解释和后续扩展方向，避免将相关性表述为因果关系。</w:t>
      </w:r>
    </w:p>
    <w:p>
      <w:pPr>
        <w:pStyle w:val="ListBullet"/>
        <w:spacing w:after="80" w:line="324" w:lineRule="auto"/>
        <w:ind w:left="397" w:hanging="210"/>
      </w:pPr>
      <w:r>
        <w:rPr>
          <w:rFonts w:ascii="Times New Roman" w:hAnsi="Times New Roman" w:eastAsia="Noto Sans SC"/>
          <w:sz w:val="21"/>
        </w:rPr>
        <w:t>核查数据来源、个人信息处理、平台素材与开源组件在课程项目场景下的主要合规要求。</w:t>
      </w:r>
    </w:p>
    <w:p>
      <w:pPr>
        <w:pStyle w:val="Heading1"/>
        <w:keepNext/>
        <w:pageBreakBefore w:val="0"/>
        <w:spacing w:before="300" w:after="120"/>
      </w:pPr>
      <w:r>
        <w:rPr>
          <w:rFonts w:ascii="Times New Roman" w:hAnsi="Times New Roman" w:eastAsia="Noto Sans SC"/>
          <w:b/>
          <w:color w:val="000000"/>
          <w:sz w:val="30"/>
        </w:rPr>
        <w:t>二、数据来源与研究方法</w:t>
      </w:r>
    </w:p>
    <w:p>
      <w:pPr>
        <w:pStyle w:val="Heading2"/>
        <w:keepNext/>
        <w:pageBreakBefore w:val="0"/>
        <w:spacing w:before="180" w:after="120"/>
      </w:pPr>
      <w:r>
        <w:rPr>
          <w:rFonts w:ascii="Times New Roman" w:hAnsi="Times New Roman" w:eastAsia="Noto Sans SC"/>
          <w:b/>
          <w:color w:val="000000"/>
          <w:sz w:val="24"/>
        </w:rPr>
        <w:t>2.1 数据来源及使用范围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81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20"/>
              </w:rPr>
              <w:t>数据集</w:t>
            </w:r>
          </w:p>
        </w:tc>
        <w:tc>
          <w:tcPr>
            <w:tcW w:type="dxa" w:w="249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20"/>
              </w:rPr>
              <w:t>记录规模与字段</w:t>
            </w:r>
          </w:p>
        </w:tc>
        <w:tc>
          <w:tcPr>
            <w:tcW w:type="dxa" w:w="2041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20"/>
              </w:rPr>
              <w:t>在项目中的用途</w:t>
            </w:r>
          </w:p>
        </w:tc>
        <w:tc>
          <w:tcPr>
            <w:tcW w:type="dxa" w:w="2381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20"/>
              </w:rPr>
              <w:t>授权或使用注意事项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UCI Bike Sharing Dataset</w:t>
            </w:r>
          </w:p>
        </w:tc>
        <w:tc>
          <w:tcPr>
            <w:tcW w:type="dxa" w:w="24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hour.csv 本地文件 17,379 条；含小时、季节、工作日、天气、温湿度、临时用户、注册用户和总租车量。</w:t>
            </w:r>
          </w:p>
        </w:tc>
        <w:tc>
          <w:tcPr>
            <w:tcW w:type="dxa" w:w="204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用于清洗、分组统计和静态图表。</w:t>
            </w:r>
          </w:p>
        </w:tc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UCI 页面标注为 CC BY 4.0；提交报告与代码时保留来源及署名。</w:t>
            </w:r>
          </w:p>
        </w:tc>
      </w:tr>
      <w:tr>
        <w:tc>
          <w:tcPr>
            <w:tcW w:type="dxa" w:w="1814"/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Kaggle Bike Sharing Demand</w:t>
            </w:r>
          </w:p>
        </w:tc>
        <w:tc>
          <w:tcPr>
            <w:tcW w:type="dxa" w:w="2494"/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bike_data.csv 本地文件 10,886 条；含时间、季节、天气、温湿度和租车量等字段。</w:t>
            </w:r>
          </w:p>
        </w:tc>
        <w:tc>
          <w:tcPr>
            <w:tcW w:type="dxa" w:w="2041"/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用于 SQLite 建库、查询接口和前端 JSON 演示。</w:t>
            </w:r>
          </w:p>
        </w:tc>
        <w:tc>
          <w:tcPr>
            <w:tcW w:type="dxa" w:w="2381"/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仅按课程演示范围使用；对外发布前应以原数据页面的许可和竞赛规则为准。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180" w:after="120"/>
      </w:pPr>
      <w:r>
        <w:rPr>
          <w:rFonts w:ascii="Times New Roman" w:hAnsi="Times New Roman" w:eastAsia="Noto Sans SC"/>
          <w:b/>
          <w:color w:val="000000"/>
          <w:sz w:val="24"/>
        </w:rPr>
        <w:t>2.2 数据处理与统计方法</w:t>
      </w:r>
    </w:p>
    <w:p>
      <w:pPr>
        <w:spacing w:before="0" w:after="140" w:line="372" w:lineRule="auto"/>
        <w:ind w:firstLine="420"/>
        <w:jc w:val="both"/>
      </w:pPr>
      <w:r>
        <w:rPr>
          <w:rFonts w:ascii="Times New Roman" w:hAnsi="Times New Roman" w:eastAsia="Noto Sans SC"/>
          <w:sz w:val="22"/>
        </w:rPr>
        <w:t>数据处理遵循“读取与字段校验—缺失值和异常值检查—衍生时间字段—分组聚合—结果复核”的流程。针对 UCI 小时数据，以 hr、workingday、weathersit、casual、registered 和 cnt 等字段作为核心分析变量；针对 Kaggle 数据，以 datetime、weather、temp、casual、registered 和 count 等字段支撑数据库查询与大屏指标。</w:t>
      </w:r>
    </w:p>
    <w:p>
      <w:pPr>
        <w:spacing w:before="0" w:after="140" w:line="372" w:lineRule="auto"/>
        <w:ind w:firstLine="420"/>
        <w:jc w:val="both"/>
      </w:pPr>
      <w:r>
        <w:rPr>
          <w:rFonts w:ascii="Times New Roman" w:hAnsi="Times New Roman" w:eastAsia="Noto Sans SC"/>
          <w:sz w:val="22"/>
        </w:rPr>
        <w:t>统计方法以描述性分析为主：按小时计算平均租车量，按天气编码比较租赁量均值，并比较工作日与非工作日、注册用户与临时用户的构成差异。结果仅反映样本内分布，不用于推断因果关系或直接外推至其他城市。</w:t>
      </w:r>
    </w:p>
    <w:p>
      <w:pPr>
        <w:pStyle w:val="Heading2"/>
        <w:keepNext/>
        <w:pageBreakBefore w:val="0"/>
        <w:spacing w:before="180" w:after="120"/>
      </w:pPr>
      <w:r>
        <w:rPr>
          <w:rFonts w:ascii="Times New Roman" w:hAnsi="Times New Roman" w:eastAsia="Noto Sans SC"/>
          <w:b/>
          <w:color w:val="000000"/>
          <w:sz w:val="24"/>
        </w:rPr>
        <w:t>2.3 项目技术路线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247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49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20"/>
              </w:rPr>
              <w:t>主要技术</w:t>
            </w:r>
          </w:p>
        </w:tc>
        <w:tc>
          <w:tcPr>
            <w:tcW w:type="dxa" w:w="4989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20"/>
              </w:rPr>
              <w:t>职责与交付</w:t>
            </w:r>
          </w:p>
        </w:tc>
      </w:tr>
      <w:tr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分析层</w:t>
            </w:r>
          </w:p>
        </w:tc>
        <w:tc>
          <w:tcPr>
            <w:tcW w:type="dxa" w:w="24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Python、pandas、NumPy、matplotlib</w:t>
            </w:r>
          </w:p>
        </w:tc>
        <w:tc>
          <w:tcPr>
            <w:tcW w:type="dxa" w:w="498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完成 CSV 读取、字段校验、清洗、统计指标与 PNG 图表输出。</w:t>
            </w:r>
          </w:p>
        </w:tc>
      </w:tr>
      <w:tr>
        <w:tc>
          <w:tcPr>
            <w:tcW w:type="dxa" w:w="1247"/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数据服务层</w:t>
            </w:r>
          </w:p>
        </w:tc>
        <w:tc>
          <w:tcPr>
            <w:tcW w:type="dxa" w:w="2494"/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SQLite、Python 查询模块</w:t>
            </w:r>
          </w:p>
        </w:tc>
        <w:tc>
          <w:tcPr>
            <w:tcW w:type="dxa" w:w="4989"/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创建 bike_usage 表及索引，提供 KPI、天气和小时维度查询结果。</w:t>
            </w:r>
          </w:p>
        </w:tc>
      </w:tr>
      <w:tr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展示层</w:t>
            </w:r>
          </w:p>
        </w:tc>
        <w:tc>
          <w:tcPr>
            <w:tcW w:type="dxa" w:w="24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HTML、CSS、JavaScript、ECharts</w:t>
            </w:r>
          </w:p>
        </w:tc>
        <w:tc>
          <w:tcPr>
            <w:tcW w:type="dxa" w:w="498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将处理后的 data.json 渲染为指标卡片和趋势图表。</w:t>
            </w:r>
          </w:p>
        </w:tc>
      </w:tr>
      <w:tr>
        <w:tc>
          <w:tcPr>
            <w:tcW w:type="dxa" w:w="1247"/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质量保障层</w:t>
            </w:r>
          </w:p>
        </w:tc>
        <w:tc>
          <w:tcPr>
            <w:tcW w:type="dxa" w:w="2494"/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pytest</w:t>
            </w:r>
          </w:p>
        </w:tc>
        <w:tc>
          <w:tcPr>
            <w:tcW w:type="dxa" w:w="4989"/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验证数据读取、清洗后记录数、统计指标与数据库导入流程。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300" w:after="120"/>
      </w:pPr>
      <w:r>
        <w:rPr>
          <w:rFonts w:ascii="Times New Roman" w:hAnsi="Times New Roman" w:eastAsia="Noto Sans SC"/>
          <w:b/>
          <w:color w:val="000000"/>
          <w:sz w:val="30"/>
        </w:rPr>
        <w:t>三、关键技术与系统实现</w:t>
      </w:r>
    </w:p>
    <w:p>
      <w:pPr>
        <w:pStyle w:val="Heading2"/>
        <w:keepNext/>
        <w:pageBreakBefore w:val="0"/>
        <w:spacing w:before="180" w:after="120"/>
      </w:pPr>
      <w:r>
        <w:rPr>
          <w:rFonts w:ascii="Times New Roman" w:hAnsi="Times New Roman" w:eastAsia="Noto Sans SC"/>
          <w:b/>
          <w:color w:val="000000"/>
          <w:sz w:val="24"/>
        </w:rPr>
        <w:t>3.1 数据清洗与统计分析</w:t>
      </w:r>
    </w:p>
    <w:p>
      <w:pPr>
        <w:spacing w:before="0" w:after="140" w:line="372" w:lineRule="auto"/>
        <w:ind w:firstLine="420"/>
        <w:jc w:val="both"/>
      </w:pPr>
      <w:r>
        <w:rPr>
          <w:rFonts w:ascii="Times New Roman" w:hAnsi="Times New Roman" w:eastAsia="Noto Sans SC"/>
          <w:sz w:val="22"/>
        </w:rPr>
        <w:t>pandas 提供适用于结构化表格数据的 DataFrame 结构，可完成 CSV 读取、类型转换、分组聚合和结果导出；NumPy 为数值计算提供基础支持。项目将数据清洗与指标计算拆分为独立函数，以减少前端展示逻辑与分析逻辑的耦合。</w:t>
      </w:r>
    </w:p>
    <w:p>
      <w:pPr>
        <w:pStyle w:val="Heading2"/>
        <w:keepNext/>
        <w:pageBreakBefore w:val="0"/>
        <w:spacing w:before="180" w:after="120"/>
      </w:pPr>
      <w:r>
        <w:rPr>
          <w:rFonts w:ascii="Times New Roman" w:hAnsi="Times New Roman" w:eastAsia="Noto Sans SC"/>
          <w:b/>
          <w:color w:val="000000"/>
          <w:sz w:val="24"/>
        </w:rPr>
        <w:t>3.2 SQLite 建库与查询接口</w:t>
      </w:r>
    </w:p>
    <w:p>
      <w:pPr>
        <w:spacing w:before="0" w:after="140" w:line="372" w:lineRule="auto"/>
        <w:ind w:firstLine="420"/>
        <w:jc w:val="both"/>
      </w:pPr>
      <w:r>
        <w:rPr>
          <w:rFonts w:ascii="Times New Roman" w:hAnsi="Times New Roman" w:eastAsia="Noto Sans SC"/>
          <w:sz w:val="22"/>
        </w:rPr>
        <w:t>项目将 Kaggle 整理数据导入 SQLite 的 bike_usage 表，并围绕答辩展示设计三类查询：总租车量、注册用户量和平均温度等 KPI 汇总；按天气编码聚合租车量；按小时计算平均租车量。查询结果以 Python 字典或 JSON 结构返回，便于前端复用。</w:t>
      </w:r>
    </w:p>
    <w:p>
      <w:pPr>
        <w:pStyle w:val="Heading2"/>
        <w:keepNext/>
        <w:pageBreakBefore w:val="0"/>
        <w:spacing w:before="180" w:after="120"/>
      </w:pPr>
      <w:r>
        <w:rPr>
          <w:rFonts w:ascii="Times New Roman" w:hAnsi="Times New Roman" w:eastAsia="Noto Sans SC"/>
          <w:b/>
          <w:color w:val="000000"/>
          <w:sz w:val="24"/>
        </w:rPr>
        <w:t>3.3 可视化与测试</w:t>
      </w:r>
    </w:p>
    <w:p>
      <w:pPr>
        <w:spacing w:before="0" w:after="140" w:line="372" w:lineRule="auto"/>
        <w:ind w:firstLine="420"/>
        <w:jc w:val="both"/>
      </w:pPr>
      <w:r>
        <w:rPr>
          <w:rFonts w:ascii="Times New Roman" w:hAnsi="Times New Roman" w:eastAsia="Noto Sans SC"/>
          <w:sz w:val="22"/>
        </w:rPr>
        <w:t>matplotlib 负责生成适合报告引用的静态折线图和柱状图；ECharts 负责浏览器端数据大屏。pytest 用于核对输入数据、清洗结果和关键指标，使从原始 CSV 到图表或接口结果的过程可重复执行。</w:t>
      </w:r>
    </w:p>
    <w:p>
      <w:pPr>
        <w:pStyle w:val="Heading1"/>
        <w:keepNext/>
        <w:pageBreakBefore w:val="0"/>
        <w:spacing w:before="300" w:after="120"/>
      </w:pPr>
      <w:r>
        <w:rPr>
          <w:rFonts w:ascii="Times New Roman" w:hAnsi="Times New Roman" w:eastAsia="Noto Sans SC"/>
          <w:b/>
          <w:color w:val="000000"/>
          <w:sz w:val="30"/>
        </w:rPr>
        <w:t>四、分析结果与专业解读</w:t>
      </w:r>
    </w:p>
    <w:p>
      <w:pPr>
        <w:pStyle w:val="Heading2"/>
        <w:keepNext/>
        <w:pageBreakBefore w:val="0"/>
        <w:spacing w:before="180" w:after="120"/>
      </w:pPr>
      <w:r>
        <w:rPr>
          <w:rFonts w:ascii="Times New Roman" w:hAnsi="Times New Roman" w:eastAsia="Noto Sans SC"/>
          <w:b/>
          <w:color w:val="000000"/>
          <w:sz w:val="24"/>
        </w:rPr>
        <w:t>4.1 主要统计发现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417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20"/>
              </w:rPr>
              <w:t>分析维度</w:t>
            </w:r>
          </w:p>
        </w:tc>
        <w:tc>
          <w:tcPr>
            <w:tcW w:type="dxa" w:w="362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20"/>
              </w:rPr>
              <w:t>项目结果</w:t>
            </w:r>
          </w:p>
        </w:tc>
        <w:tc>
          <w:tcPr>
            <w:tcW w:type="dxa" w:w="3685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20"/>
              </w:rPr>
              <w:t>解读边界</w:t>
            </w:r>
          </w:p>
        </w:tc>
      </w:tr>
      <w:t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小时需求</w:t>
            </w:r>
          </w:p>
        </w:tc>
        <w:tc>
          <w:tcPr>
            <w:tcW w:type="dxa" w:w="36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17 时平均租车量约 461.45 次，为样本内最高时段。</w:t>
            </w:r>
          </w:p>
        </w:tc>
        <w:tc>
          <w:tcPr>
            <w:tcW w:type="dxa" w:w="368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反映本数据集中的通勤高峰特征，不代表所有城市或所有季节。</w:t>
            </w:r>
          </w:p>
        </w:tc>
      </w:tr>
      <w:tr>
        <w:tc>
          <w:tcPr>
            <w:tcW w:type="dxa" w:w="1417"/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天气差异</w:t>
            </w:r>
          </w:p>
        </w:tc>
        <w:tc>
          <w:tcPr>
            <w:tcW w:type="dxa" w:w="3628"/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天气编码从 1 到 4 时，平均租车量约为 204.87、175.17、111.58、74.33 次。</w:t>
            </w:r>
          </w:p>
        </w:tc>
        <w:tc>
          <w:tcPr>
            <w:tcW w:type="dxa" w:w="3685"/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天气越差的分组租车量越低，属于描述性关联，未控制节假日、季节等变量。</w:t>
            </w:r>
          </w:p>
        </w:tc>
      </w:tr>
      <w:t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用户结构</w:t>
            </w:r>
          </w:p>
        </w:tc>
        <w:tc>
          <w:tcPr>
            <w:tcW w:type="dxa" w:w="36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注册用户租赁量占比约 81.17%。</w:t>
            </w:r>
          </w:p>
        </w:tc>
        <w:tc>
          <w:tcPr>
            <w:tcW w:type="dxa" w:w="368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表明样本中注册用户贡献更高；不能据此推断用户偏好或用户价值。</w:t>
            </w:r>
          </w:p>
        </w:tc>
      </w:tr>
      <w:tr>
        <w:tc>
          <w:tcPr>
            <w:tcW w:type="dxa" w:w="1417"/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工作日差异</w:t>
            </w:r>
          </w:p>
        </w:tc>
        <w:tc>
          <w:tcPr>
            <w:tcW w:type="dxa" w:w="3628"/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工作日平均租车量约 193.21 次，非工作日约 181.41 次。</w:t>
            </w:r>
          </w:p>
        </w:tc>
        <w:tc>
          <w:tcPr>
            <w:tcW w:type="dxa" w:w="3685"/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差异需要结合城市、天气与时间段进一步检验。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180" w:after="120"/>
      </w:pPr>
      <w:r>
        <w:rPr>
          <w:rFonts w:ascii="Times New Roman" w:hAnsi="Times New Roman" w:eastAsia="Noto Sans SC"/>
          <w:b/>
          <w:color w:val="000000"/>
          <w:sz w:val="24"/>
        </w:rPr>
        <w:t>4.2 对系统设计的启示</w:t>
      </w:r>
    </w:p>
    <w:p>
      <w:pPr>
        <w:spacing w:before="0" w:after="140" w:line="372" w:lineRule="auto"/>
        <w:ind w:firstLine="420"/>
        <w:jc w:val="both"/>
      </w:pPr>
      <w:r>
        <w:rPr>
          <w:rFonts w:ascii="Times New Roman" w:hAnsi="Times New Roman" w:eastAsia="Noto Sans SC"/>
          <w:sz w:val="22"/>
        </w:rPr>
        <w:t>分析结果说明，面向运营展示的指标至少应同时提供时间维度、天气维度和用户结构维度。系统将“静态分析—数据库查询—前端展示”分层实现，使分析脚本可独立复跑，查询接口可独立测试，展示页面可直接消费 JSON 数据。该结构更适合作为后续需求预测、异常检测和实时数据接入的基础。</w:t>
      </w:r>
    </w:p>
    <w:p>
      <w:pPr>
        <w:pStyle w:val="Heading1"/>
        <w:keepNext/>
        <w:pageBreakBefore w:val="0"/>
        <w:spacing w:before="300" w:after="120"/>
      </w:pPr>
      <w:r>
        <w:rPr>
          <w:rFonts w:ascii="Times New Roman" w:hAnsi="Times New Roman" w:eastAsia="Noto Sans SC"/>
          <w:b/>
          <w:color w:val="000000"/>
          <w:sz w:val="30"/>
        </w:rPr>
        <w:t>五、应用场景与技术发展方向</w:t>
      </w:r>
    </w:p>
    <w:p>
      <w:pPr>
        <w:pStyle w:val="Heading2"/>
        <w:keepNext/>
        <w:pageBreakBefore w:val="0"/>
        <w:spacing w:before="180" w:after="120"/>
      </w:pPr>
      <w:r>
        <w:rPr>
          <w:rFonts w:ascii="Times New Roman" w:hAnsi="Times New Roman" w:eastAsia="Noto Sans SC"/>
          <w:b/>
          <w:color w:val="000000"/>
          <w:sz w:val="24"/>
        </w:rPr>
        <w:t>5.1 可落地的应用场景</w:t>
      </w:r>
    </w:p>
    <w:p>
      <w:pPr>
        <w:pStyle w:val="ListBullet"/>
        <w:spacing w:after="80" w:line="324" w:lineRule="auto"/>
        <w:ind w:left="397" w:hanging="210"/>
      </w:pPr>
      <w:r>
        <w:rPr>
          <w:rFonts w:ascii="Times New Roman" w:hAnsi="Times New Roman" w:eastAsia="Noto Sans SC"/>
          <w:sz w:val="21"/>
        </w:rPr>
        <w:t>运维调度：以小时、天气和区域等维度识别可能的供需不均衡时段，为人工调度提供参考。</w:t>
      </w:r>
    </w:p>
    <w:p>
      <w:pPr>
        <w:pStyle w:val="ListBullet"/>
        <w:spacing w:after="80" w:line="324" w:lineRule="auto"/>
        <w:ind w:left="397" w:hanging="210"/>
      </w:pPr>
      <w:r>
        <w:rPr>
          <w:rFonts w:ascii="Times New Roman" w:hAnsi="Times New Roman" w:eastAsia="Noto Sans SC"/>
          <w:sz w:val="21"/>
        </w:rPr>
        <w:t>慢行交通评估：将汇总数据与公共交通站点、道路设施等合法取得的外部数据结合，评估接驳需求。</w:t>
      </w:r>
    </w:p>
    <w:p>
      <w:pPr>
        <w:pStyle w:val="ListBullet"/>
        <w:spacing w:after="80" w:line="324" w:lineRule="auto"/>
        <w:ind w:left="397" w:hanging="210"/>
      </w:pPr>
      <w:r>
        <w:rPr>
          <w:rFonts w:ascii="Times New Roman" w:hAnsi="Times New Roman" w:eastAsia="Noto Sans SC"/>
          <w:sz w:val="21"/>
        </w:rPr>
        <w:t>绿色出行研究：在明确排放核算口径和替代出行假设的前提下，估算骑行活动的环境效益。</w:t>
      </w:r>
    </w:p>
    <w:p>
      <w:pPr>
        <w:pStyle w:val="Heading2"/>
        <w:keepNext/>
        <w:pageBreakBefore w:val="0"/>
        <w:spacing w:before="180" w:after="120"/>
      </w:pPr>
      <w:r>
        <w:rPr>
          <w:rFonts w:ascii="Times New Roman" w:hAnsi="Times New Roman" w:eastAsia="Noto Sans SC"/>
          <w:b/>
          <w:color w:val="000000"/>
          <w:sz w:val="24"/>
        </w:rPr>
        <w:t>5.2 技术演进方向</w:t>
      </w:r>
    </w:p>
    <w:p>
      <w:pPr>
        <w:spacing w:before="0" w:after="140" w:line="372" w:lineRule="auto"/>
        <w:ind w:firstLine="420"/>
        <w:jc w:val="both"/>
      </w:pPr>
      <w:r>
        <w:rPr>
          <w:rFonts w:ascii="Times New Roman" w:hAnsi="Times New Roman" w:eastAsia="Noto Sans SC"/>
          <w:sz w:val="22"/>
        </w:rPr>
        <w:t>后续可将当前描述性分析扩展为需求预测模块，并采用 MAE、RMSE 和 R² 等指标评价模型。对于实时运营场景，可在数据授权和安全措施完备的前提下，引入流数据处理、时空索引和异常检测；对于多源融合场景，应先统一数据口径、时间粒度和权限边界。</w:t>
      </w:r>
    </w:p>
    <w:p>
      <w:pPr>
        <w:pStyle w:val="Heading1"/>
        <w:keepNext/>
        <w:pageBreakBefore w:val="0"/>
        <w:spacing w:before="300" w:after="120"/>
      </w:pPr>
      <w:r>
        <w:rPr>
          <w:rFonts w:ascii="Times New Roman" w:hAnsi="Times New Roman" w:eastAsia="Noto Sans SC"/>
          <w:b/>
          <w:color w:val="000000"/>
          <w:sz w:val="30"/>
        </w:rPr>
        <w:t>六、数据与合法合规性核查</w:t>
      </w:r>
    </w:p>
    <w:p>
      <w:pPr>
        <w:pStyle w:val="Heading2"/>
        <w:keepNext/>
        <w:pageBreakBefore w:val="0"/>
        <w:spacing w:before="180" w:after="120"/>
      </w:pPr>
      <w:r>
        <w:rPr>
          <w:rFonts w:ascii="Times New Roman" w:hAnsi="Times New Roman" w:eastAsia="Noto Sans SC"/>
          <w:b/>
          <w:color w:val="000000"/>
          <w:sz w:val="24"/>
        </w:rPr>
        <w:t>6.1 核查结论</w:t>
      </w:r>
    </w:p>
    <w:p>
      <w:pPr>
        <w:spacing w:before="0" w:after="140" w:line="372" w:lineRule="auto"/>
        <w:ind w:firstLine="420"/>
        <w:jc w:val="both"/>
      </w:pPr>
      <w:r>
        <w:rPr>
          <w:rFonts w:ascii="Times New Roman" w:hAnsi="Times New Roman" w:eastAsia="Noto Sans SC"/>
          <w:sz w:val="22"/>
        </w:rPr>
        <w:t>本项目在当前课程演示范围内具备可控的合规基础：分析主数据来自公开 UCI 数据集，数据字段为租赁量、天气和时间等聚合变量；项目未接入真实用户身份、手机号、精确位置轨迹或支付信息。UCI 数据集页面标明 CC BY 4.0 许可，允许在保留适当署名的条件下共享和改编。</w:t>
      </w:r>
    </w:p>
    <w:p>
      <w:pPr>
        <w:spacing w:before="0" w:after="140" w:line="372" w:lineRule="auto"/>
        <w:ind w:firstLine="420"/>
        <w:jc w:val="both"/>
      </w:pPr>
      <w:r>
        <w:rPr>
          <w:rFonts w:ascii="Times New Roman" w:hAnsi="Times New Roman" w:eastAsia="Noto Sans SC"/>
          <w:sz w:val="22"/>
        </w:rPr>
        <w:t>但该结论仅适用于本报告列明的公开样例数据和课程项目用途。若改用真实运营数据、接入第三方接口、公开部署系统或用于商业决策，需重新开展数据来源、处理目的、权限、留存周期和安全措施的专项审查。</w:t>
      </w:r>
    </w:p>
    <w:p>
      <w:pPr>
        <w:pStyle w:val="Heading2"/>
        <w:keepNext/>
        <w:pageBreakBefore w:val="0"/>
        <w:spacing w:before="180" w:after="120"/>
      </w:pPr>
      <w:r>
        <w:rPr>
          <w:rFonts w:ascii="Times New Roman" w:hAnsi="Times New Roman" w:eastAsia="Noto Sans SC"/>
          <w:b/>
          <w:color w:val="000000"/>
          <w:sz w:val="24"/>
        </w:rPr>
        <w:t>6.2 个人信息与数据安全要求</w:t>
      </w:r>
    </w:p>
    <w:p>
      <w:pPr>
        <w:spacing w:before="0" w:after="140" w:line="372" w:lineRule="auto"/>
        <w:ind w:firstLine="420"/>
        <w:jc w:val="both"/>
      </w:pPr>
      <w:r>
        <w:rPr>
          <w:rFonts w:ascii="Times New Roman" w:hAnsi="Times New Roman" w:eastAsia="Noto Sans SC"/>
          <w:sz w:val="22"/>
        </w:rPr>
        <w:t>《中华人民共和国个人信息保护法》将行踪轨迹列为敏感个人信息。真实共享单车订单中的精确起止位置、时间序列、设备标识和账户信息在组合后可能识别或推断个人出行行为。因此，未来处理真实数据时，应先确定合法处理基础，遵循目的明确、最小必要、公开透明和安全保障原则；处理敏感个人信息通常还需要满足特定目的、充分必要性、严格保护措施及单独同意等要求。</w:t>
      </w:r>
    </w:p>
    <w:p>
      <w:pPr>
        <w:spacing w:before="0" w:after="140" w:line="372" w:lineRule="auto"/>
        <w:ind w:firstLine="420"/>
        <w:jc w:val="both"/>
      </w:pPr>
      <w:r>
        <w:rPr>
          <w:rFonts w:ascii="Times New Roman" w:hAnsi="Times New Roman" w:eastAsia="Noto Sans SC"/>
          <w:sz w:val="22"/>
        </w:rPr>
        <w:t>对面向真实用户的需求预测、动态定价或信用限制功能，还应评估自动化决策的透明度与公平性。涉及敏感个人信息、自动化决策、对外提供或跨境提供个人信息等情形时，应按法律要求开展个人信息保护影响评估并留存记录。</w:t>
      </w:r>
    </w:p>
    <w:p>
      <w:pPr>
        <w:pStyle w:val="Heading2"/>
        <w:keepNext/>
        <w:pageBreakBefore w:val="0"/>
        <w:spacing w:before="180" w:after="120"/>
      </w:pPr>
      <w:r>
        <w:rPr>
          <w:rFonts w:ascii="Times New Roman" w:hAnsi="Times New Roman" w:eastAsia="Noto Sans SC"/>
          <w:b/>
          <w:color w:val="000000"/>
          <w:sz w:val="24"/>
        </w:rPr>
        <w:t>6.3 数据来源 版权与开源组件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587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20"/>
              </w:rPr>
              <w:t>核查项目</w:t>
            </w:r>
          </w:p>
        </w:tc>
        <w:tc>
          <w:tcPr>
            <w:tcW w:type="dxa" w:w="294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20"/>
              </w:rPr>
              <w:t>核查结果</w:t>
            </w:r>
          </w:p>
        </w:tc>
        <w:tc>
          <w:tcPr>
            <w:tcW w:type="dxa" w:w="4195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20"/>
              </w:rPr>
              <w:t>提交与后续使用要求</w:t>
            </w:r>
          </w:p>
        </w:tc>
      </w:tr>
      <w:tr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UCI 数据集</w:t>
            </w:r>
          </w:p>
        </w:tc>
        <w:tc>
          <w:tcPr>
            <w:tcW w:type="dxa" w:w="29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页面明确标注 CC BY 4.0。</w:t>
            </w:r>
          </w:p>
        </w:tc>
        <w:tc>
          <w:tcPr>
            <w:tcW w:type="dxa" w:w="419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在报告、代码仓库和数据说明中保留数据集名称、作者、链接和许可信息。</w:t>
            </w:r>
          </w:p>
        </w:tc>
      </w:tr>
      <w:tr>
        <w:tc>
          <w:tcPr>
            <w:tcW w:type="dxa" w:w="1587"/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Kaggle 整理数据</w:t>
            </w:r>
          </w:p>
        </w:tc>
        <w:tc>
          <w:tcPr>
            <w:tcW w:type="dxa" w:w="2948"/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项目中已用于本地演示；本报告未将其许可视为当然授权。</w:t>
            </w:r>
          </w:p>
        </w:tc>
        <w:tc>
          <w:tcPr>
            <w:tcW w:type="dxa" w:w="4195"/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在任何对外发布或再次分发前，核对原数据页的许可、竞赛规则和来源声明。</w:t>
            </w:r>
          </w:p>
        </w:tc>
      </w:tr>
      <w:tr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ECharts</w:t>
            </w:r>
          </w:p>
        </w:tc>
        <w:tc>
          <w:tcPr>
            <w:tcW w:type="dxa" w:w="29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官方仓库以 Apache License 2.0 发布。</w:t>
            </w:r>
          </w:p>
        </w:tc>
        <w:tc>
          <w:tcPr>
            <w:tcW w:type="dxa" w:w="419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分发前端代码时保留许可证、版权和 NOTICE 要求；不暗示与 Apache 的官方关联。</w:t>
            </w:r>
          </w:p>
        </w:tc>
      </w:tr>
      <w:tr>
        <w:tc>
          <w:tcPr>
            <w:tcW w:type="dxa" w:w="1587"/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截图与第三方素材</w:t>
            </w:r>
          </w:p>
        </w:tc>
        <w:tc>
          <w:tcPr>
            <w:tcW w:type="dxa" w:w="2948"/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数据页面截图仅用于课程过程证据。</w:t>
            </w:r>
          </w:p>
        </w:tc>
        <w:tc>
          <w:tcPr>
            <w:tcW w:type="dxa" w:w="4195"/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Times New Roman" w:hAnsi="Times New Roman" w:eastAsia="Noto Sans SC"/>
                <w:color w:val="000000"/>
                <w:sz w:val="19"/>
              </w:rPr>
              <w:t>标明来源；不将平台页面、商标或非授权图片作为可再分发素材。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180" w:after="120"/>
      </w:pPr>
      <w:r>
        <w:rPr>
          <w:rFonts w:ascii="Times New Roman" w:hAnsi="Times New Roman" w:eastAsia="Noto Sans SC"/>
          <w:b/>
          <w:color w:val="000000"/>
          <w:sz w:val="24"/>
        </w:rPr>
        <w:t>6.4 合规清单</w:t>
      </w:r>
    </w:p>
    <w:p>
      <w:pPr>
        <w:pStyle w:val="ListBullet"/>
        <w:spacing w:after="80" w:line="324" w:lineRule="auto"/>
        <w:ind w:left="397" w:hanging="210"/>
      </w:pPr>
      <w:r>
        <w:rPr>
          <w:rFonts w:ascii="Times New Roman" w:hAnsi="Times New Roman" w:eastAsia="Noto Sans SC"/>
          <w:sz w:val="21"/>
        </w:rPr>
        <w:t>课程提交前：核对数据说明、许可证和参考文献链接，删除未核实的行业规模、企业内部指标和来源不明图片。</w:t>
      </w:r>
    </w:p>
    <w:p>
      <w:pPr>
        <w:pStyle w:val="ListBullet"/>
        <w:spacing w:after="80" w:line="324" w:lineRule="auto"/>
        <w:ind w:left="397" w:hanging="210"/>
      </w:pPr>
      <w:r>
        <w:rPr>
          <w:rFonts w:ascii="Times New Roman" w:hAnsi="Times New Roman" w:eastAsia="Noto Sans SC"/>
          <w:sz w:val="21"/>
        </w:rPr>
        <w:t>代码交付时：不提交真实用户标识、密钥、账号、定位轨迹或含敏感信息的日志；保留依赖与开源许可说明。</w:t>
      </w:r>
    </w:p>
    <w:p>
      <w:pPr>
        <w:pStyle w:val="ListBullet"/>
        <w:spacing w:after="80" w:line="324" w:lineRule="auto"/>
        <w:ind w:left="397" w:hanging="210"/>
      </w:pPr>
      <w:r>
        <w:rPr>
          <w:rFonts w:ascii="Times New Roman" w:hAnsi="Times New Roman" w:eastAsia="Noto Sans SC"/>
          <w:sz w:val="21"/>
        </w:rPr>
        <w:t>系统扩展前：建立数据分级、访问控制、脱敏或聚合策略、留存和删除规则，并按具体业务重新评估法律要求。</w:t>
      </w:r>
    </w:p>
    <w:p>
      <w:pPr>
        <w:pStyle w:val="Heading1"/>
        <w:keepNext/>
        <w:pageBreakBefore w:val="0"/>
        <w:spacing w:before="300" w:after="120"/>
      </w:pPr>
      <w:r>
        <w:rPr>
          <w:rFonts w:ascii="Times New Roman" w:hAnsi="Times New Roman" w:eastAsia="Noto Sans SC"/>
          <w:b/>
          <w:color w:val="000000"/>
          <w:sz w:val="30"/>
        </w:rPr>
        <w:t>七、结论与建议</w:t>
      </w:r>
    </w:p>
    <w:p>
      <w:pPr>
        <w:spacing w:before="0" w:after="140" w:line="372" w:lineRule="auto"/>
        <w:ind w:firstLine="420"/>
        <w:jc w:val="both"/>
      </w:pPr>
      <w:r>
        <w:rPr>
          <w:rFonts w:ascii="Times New Roman" w:hAnsi="Times New Roman" w:eastAsia="Noto Sans SC"/>
          <w:sz w:val="22"/>
        </w:rPr>
        <w:t>本调研围绕共享单车数据分析与可视化项目，形成了从公开数据使用、清洗统计、数据库查询、可视化展示到自动化测试的完整技术说明。项目结果能够支持对小时高峰、天气差异和用户结构的描述性分析，并通过分层架构提高了流程的可复现性与可解释性。</w:t>
      </w:r>
    </w:p>
    <w:p>
      <w:pPr>
        <w:spacing w:before="0" w:after="140" w:line="372" w:lineRule="auto"/>
        <w:ind w:firstLine="420"/>
        <w:jc w:val="both"/>
      </w:pPr>
      <w:r>
        <w:rPr>
          <w:rFonts w:ascii="Times New Roman" w:hAnsi="Times New Roman" w:eastAsia="Noto Sans SC"/>
          <w:sz w:val="22"/>
        </w:rPr>
        <w:t>建议后续工作保持三项原则：第一，数据结论与数据边界同时呈现，避免过度外推；第二，所有数据、代码和素材均保留可追溯来源与许可信息；第三，在接入真实运营数据或部署面向用户的功能前，先完成个人信息、数据安全和自动化决策方面的专项评估。</w:t>
      </w:r>
    </w:p>
    <w:p>
      <w:pPr>
        <w:pStyle w:val="Heading1"/>
        <w:keepNext/>
        <w:pageBreakBefore w:val="0"/>
        <w:spacing w:before="300" w:after="120"/>
      </w:pPr>
      <w:r>
        <w:rPr>
          <w:rFonts w:ascii="Times New Roman" w:hAnsi="Times New Roman" w:eastAsia="Noto Sans SC"/>
          <w:b/>
          <w:color w:val="000000"/>
          <w:sz w:val="30"/>
        </w:rPr>
        <w:t>参考文献</w:t>
      </w:r>
    </w:p>
    <w:p>
      <w:pPr>
        <w:spacing w:before="0" w:after="80" w:line="300" w:lineRule="auto"/>
      </w:pPr>
      <w:r>
        <w:rPr>
          <w:rFonts w:ascii="Times New Roman" w:hAnsi="Times New Roman" w:eastAsia="Noto Sans SC"/>
          <w:sz w:val="19"/>
        </w:rPr>
        <w:t>［1］Fanaee-T, H. Bike Sharing Dataset［DB/OL］. UCI Machine Learning Repository, 2013. https://doi.org/10.24432/C5W894.</w:t>
      </w:r>
    </w:p>
    <w:p>
      <w:pPr>
        <w:spacing w:before="0" w:after="80" w:line="300" w:lineRule="auto"/>
      </w:pPr>
      <w:r>
        <w:rPr>
          <w:rFonts w:ascii="Times New Roman" w:hAnsi="Times New Roman" w:eastAsia="Noto Sans SC"/>
          <w:sz w:val="19"/>
        </w:rPr>
        <w:t>［2］中华人民共和国个人信息保护法［Z/OL］. 中国人大网, 2021. https://www.npc.gov.cn/npc/c2/c30834/202108/t20210820_3130888.html.</w:t>
      </w:r>
    </w:p>
    <w:p>
      <w:pPr>
        <w:spacing w:before="0" w:after="80" w:line="300" w:lineRule="auto"/>
      </w:pPr>
      <w:r>
        <w:rPr>
          <w:rFonts w:ascii="Times New Roman" w:hAnsi="Times New Roman" w:eastAsia="Noto Sans SC"/>
          <w:sz w:val="19"/>
        </w:rPr>
        <w:t>［3］交通运输部等十部门. 关于鼓励和规范互联网租赁自行车发展的指导意见［Z/OL］. 交通运输部政府信息公开平台. https://xxgk.mot.gov.cn/jigouapp/741/788/838/list_6699.html.</w:t>
      </w:r>
    </w:p>
    <w:p>
      <w:pPr>
        <w:spacing w:before="0" w:after="80" w:line="300" w:lineRule="auto"/>
      </w:pPr>
      <w:r>
        <w:rPr>
          <w:rFonts w:ascii="Times New Roman" w:hAnsi="Times New Roman" w:eastAsia="Noto Sans SC"/>
          <w:sz w:val="19"/>
        </w:rPr>
        <w:t>［4］Apache ECharts. License［EB/OL］. https://github.com/apache/echarts/blob/master/LICENSE.</w:t>
      </w:r>
    </w:p>
    <w:p>
      <w:pPr>
        <w:spacing w:before="0" w:after="80" w:line="300" w:lineRule="auto"/>
      </w:pPr>
      <w:r>
        <w:rPr>
          <w:rFonts w:ascii="Times New Roman" w:hAnsi="Times New Roman" w:eastAsia="Noto Sans SC"/>
          <w:sz w:val="19"/>
        </w:rPr>
        <w:t>［5］pandas development team. pandas documentation［EB/OL］. https://pandas.pydata.org/docs/.</w:t>
      </w:r>
    </w:p>
    <w:p>
      <w:pPr>
        <w:spacing w:before="0" w:after="80" w:line="300" w:lineRule="auto"/>
      </w:pPr>
      <w:r>
        <w:rPr>
          <w:rFonts w:ascii="Times New Roman" w:hAnsi="Times New Roman" w:eastAsia="Noto Sans SC"/>
          <w:sz w:val="19"/>
        </w:rPr>
        <w:t>［6］pytest contributors. pytest documentation［EB/OL］. https://docs.pytest.org/.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91" w:right="1247" w:bottom="107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SC"/>
        <w:color w:val="595959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Times New Roman" w:hAnsi="Times New Roman" w:eastAsia="Noto Sans SC"/>
        <w:color w:val="595959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Noto Sans SC"/>
        <w:color w:val="595959"/>
        <w:sz w:val="17"/>
      </w:rPr>
      <w:t>共享单车大数据分析与可视化技术应用调研报告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40"/>
    </w:pPr>
    <w:rPr>
      <w:rFonts w:ascii="Noto Sans SC" w:hAnsi="Noto Sans SC" w:eastAsia="Noto Sans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SC" w:hAnsi="Noto Sans SC" w:eastAsia="Noto Sans SC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共享单车大数据分析与可视化技术应用调研报告</dc:title>
  <dc:subject>课程项目技术调研与合规性核查</dc:subject>
  <dc:creator>课程项目小组</dc:creator>
  <cp:keywords>共享单车, 数据分析, 可视化, 合规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