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Pr="0030672B" w:rsidRDefault="00CD734C" w:rsidP="00FF3858">
      <w:pPr>
        <w:pStyle w:val="Title"/>
        <w:jc w:val="center"/>
        <w:rPr>
          <w:rFonts w:ascii="Times New Roman" w:hAnsi="Times New Roman" w:cs="Times New Roman"/>
          <w:sz w:val="40"/>
          <w:szCs w:val="40"/>
        </w:rPr>
      </w:pPr>
      <w:bookmarkStart w:id="0" w:name="_Hlk34510705"/>
      <w:bookmarkEnd w:id="0"/>
    </w:p>
    <w:p w14:paraId="4F1FFD29" w14:textId="77777777" w:rsidR="00CD734C" w:rsidRPr="0030672B" w:rsidRDefault="00CD734C" w:rsidP="00FF3858">
      <w:pPr>
        <w:pStyle w:val="Title"/>
        <w:jc w:val="center"/>
        <w:rPr>
          <w:rFonts w:ascii="Times New Roman" w:hAnsi="Times New Roman" w:cs="Times New Roman"/>
          <w:sz w:val="40"/>
          <w:szCs w:val="40"/>
        </w:rPr>
      </w:pPr>
    </w:p>
    <w:p w14:paraId="423FB944" w14:textId="77777777" w:rsidR="00CD734C" w:rsidRPr="0030672B" w:rsidRDefault="00CD734C" w:rsidP="00FF3858">
      <w:pPr>
        <w:pStyle w:val="Title"/>
        <w:jc w:val="center"/>
        <w:rPr>
          <w:rFonts w:ascii="Times New Roman" w:hAnsi="Times New Roman" w:cs="Times New Roman"/>
          <w:sz w:val="40"/>
          <w:szCs w:val="40"/>
        </w:rPr>
      </w:pPr>
    </w:p>
    <w:p w14:paraId="71DC28B9" w14:textId="36AD3456" w:rsidR="00CD734C" w:rsidRPr="0030672B" w:rsidRDefault="00CD734C" w:rsidP="00FF3858">
      <w:pPr>
        <w:pStyle w:val="Title"/>
        <w:jc w:val="center"/>
        <w:rPr>
          <w:rFonts w:ascii="Times New Roman" w:hAnsi="Times New Roman" w:cs="Times New Roman"/>
          <w:sz w:val="40"/>
          <w:szCs w:val="40"/>
        </w:rPr>
      </w:pPr>
      <w:r w:rsidRPr="0030672B">
        <w:rPr>
          <w:noProof/>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Pr="0030672B" w:rsidRDefault="00CD734C" w:rsidP="00FF3858">
      <w:pPr>
        <w:pStyle w:val="Title"/>
        <w:jc w:val="center"/>
        <w:rPr>
          <w:rFonts w:ascii="Times New Roman" w:hAnsi="Times New Roman" w:cs="Times New Roman"/>
          <w:sz w:val="40"/>
          <w:szCs w:val="40"/>
        </w:rPr>
      </w:pPr>
    </w:p>
    <w:p w14:paraId="1DF607D4" w14:textId="77777777" w:rsidR="00CD734C" w:rsidRPr="0030672B" w:rsidRDefault="00CD734C" w:rsidP="00FF3858">
      <w:pPr>
        <w:pStyle w:val="Title"/>
        <w:jc w:val="center"/>
        <w:rPr>
          <w:rFonts w:ascii="Times New Roman" w:hAnsi="Times New Roman" w:cs="Times New Roman"/>
          <w:sz w:val="40"/>
          <w:szCs w:val="40"/>
        </w:rPr>
      </w:pPr>
    </w:p>
    <w:p w14:paraId="7FEAF8E9" w14:textId="5A202346" w:rsidR="00CD734C" w:rsidRPr="0030672B" w:rsidRDefault="00CD734C" w:rsidP="00FF3858">
      <w:pPr>
        <w:pStyle w:val="Title"/>
        <w:jc w:val="center"/>
        <w:rPr>
          <w:rFonts w:ascii="Times New Roman" w:hAnsi="Times New Roman" w:cs="Times New Roman"/>
          <w:sz w:val="40"/>
          <w:szCs w:val="40"/>
        </w:rPr>
      </w:pPr>
      <w:r w:rsidRPr="0030672B">
        <w:rPr>
          <w:rFonts w:ascii="Times New Roman" w:hAnsi="Times New Roman" w:cs="Times New Roman"/>
          <w:sz w:val="40"/>
          <w:szCs w:val="40"/>
        </w:rPr>
        <w:t>MIDDLE EAST TECHNICAL UNIVERSITY</w:t>
      </w:r>
    </w:p>
    <w:p w14:paraId="5D161D49" w14:textId="6F80E923" w:rsidR="00CD734C" w:rsidRPr="0030672B" w:rsidRDefault="00CD734C" w:rsidP="00FF3858">
      <w:pPr>
        <w:jc w:val="center"/>
        <w:rPr>
          <w:rFonts w:cs="Times New Roman"/>
        </w:rPr>
      </w:pPr>
    </w:p>
    <w:p w14:paraId="3F7CE57E" w14:textId="77777777" w:rsidR="00CD734C" w:rsidRPr="0030672B" w:rsidRDefault="00CD734C" w:rsidP="00FF3858">
      <w:pPr>
        <w:jc w:val="center"/>
        <w:rPr>
          <w:rFonts w:cs="Times New Roman"/>
        </w:rPr>
      </w:pPr>
    </w:p>
    <w:p w14:paraId="676A77AB" w14:textId="12899B02" w:rsidR="00CD734C" w:rsidRPr="0030672B" w:rsidRDefault="00CD734C" w:rsidP="00FF3858">
      <w:pPr>
        <w:jc w:val="center"/>
        <w:rPr>
          <w:rFonts w:cs="Times New Roman"/>
          <w:sz w:val="30"/>
          <w:szCs w:val="30"/>
        </w:rPr>
      </w:pPr>
      <w:r w:rsidRPr="0030672B">
        <w:rPr>
          <w:rFonts w:cs="Times New Roman"/>
          <w:sz w:val="30"/>
          <w:szCs w:val="30"/>
        </w:rPr>
        <w:t>Electrical and Electronics Engineering Department</w:t>
      </w:r>
    </w:p>
    <w:p w14:paraId="440C56C5" w14:textId="2869A281" w:rsidR="00CD734C" w:rsidRPr="0030672B" w:rsidRDefault="00CD734C" w:rsidP="00FF3858">
      <w:pPr>
        <w:jc w:val="center"/>
        <w:rPr>
          <w:rFonts w:cs="Times New Roman"/>
        </w:rPr>
      </w:pPr>
    </w:p>
    <w:p w14:paraId="778BE7A8" w14:textId="628CDEE3" w:rsidR="00CD734C" w:rsidRPr="0030672B" w:rsidRDefault="00CD734C" w:rsidP="00FF3858">
      <w:pPr>
        <w:jc w:val="center"/>
        <w:rPr>
          <w:rFonts w:cs="Times New Roman"/>
          <w:sz w:val="30"/>
          <w:szCs w:val="30"/>
        </w:rPr>
      </w:pPr>
      <w:r w:rsidRPr="0030672B">
        <w:rPr>
          <w:rFonts w:cs="Times New Roman"/>
          <w:sz w:val="30"/>
          <w:szCs w:val="30"/>
        </w:rPr>
        <w:t>EE568 Selected Topics on Electrical Ma</w:t>
      </w:r>
      <w:r w:rsidR="00CC10FD" w:rsidRPr="0030672B">
        <w:rPr>
          <w:rFonts w:cs="Times New Roman"/>
          <w:sz w:val="30"/>
          <w:szCs w:val="30"/>
        </w:rPr>
        <w:t>c</w:t>
      </w:r>
      <w:r w:rsidRPr="0030672B">
        <w:rPr>
          <w:rFonts w:cs="Times New Roman"/>
          <w:sz w:val="30"/>
          <w:szCs w:val="30"/>
        </w:rPr>
        <w:t>hines</w:t>
      </w:r>
    </w:p>
    <w:p w14:paraId="61E6FA6D" w14:textId="77777777" w:rsidR="00CD734C" w:rsidRPr="0030672B" w:rsidRDefault="00CD734C" w:rsidP="00FF3858">
      <w:pPr>
        <w:jc w:val="center"/>
        <w:rPr>
          <w:rFonts w:cs="Times New Roman"/>
        </w:rPr>
      </w:pPr>
    </w:p>
    <w:p w14:paraId="35C32A2B" w14:textId="77777777" w:rsidR="00CD734C" w:rsidRPr="0030672B" w:rsidRDefault="00CD734C" w:rsidP="00FF3858">
      <w:pPr>
        <w:jc w:val="center"/>
        <w:rPr>
          <w:rFonts w:cs="Times New Roman"/>
        </w:rPr>
      </w:pPr>
    </w:p>
    <w:p w14:paraId="080C4F2A" w14:textId="35CECDD1" w:rsidR="00CD734C" w:rsidRPr="0030672B" w:rsidRDefault="00CD734C" w:rsidP="00FF3858">
      <w:pPr>
        <w:jc w:val="center"/>
        <w:rPr>
          <w:rFonts w:cs="Times New Roman"/>
          <w:szCs w:val="24"/>
        </w:rPr>
      </w:pPr>
      <w:r w:rsidRPr="0030672B">
        <w:rPr>
          <w:rFonts w:cs="Times New Roman"/>
          <w:szCs w:val="24"/>
        </w:rPr>
        <w:t xml:space="preserve">PROJECT </w:t>
      </w:r>
      <w:r w:rsidR="00A80D63" w:rsidRPr="0030672B">
        <w:rPr>
          <w:rFonts w:cs="Times New Roman"/>
          <w:szCs w:val="24"/>
        </w:rPr>
        <w:t>4</w:t>
      </w:r>
    </w:p>
    <w:p w14:paraId="4566C468" w14:textId="0555C914" w:rsidR="00CD734C" w:rsidRPr="0030672B" w:rsidRDefault="00A80D63" w:rsidP="00A80D63">
      <w:pPr>
        <w:jc w:val="center"/>
        <w:rPr>
          <w:rFonts w:cs="Times New Roman"/>
          <w:szCs w:val="24"/>
        </w:rPr>
      </w:pPr>
      <w:r w:rsidRPr="0030672B">
        <w:rPr>
          <w:rFonts w:cs="Times New Roman"/>
          <w:szCs w:val="24"/>
        </w:rPr>
        <w:t>DESIGN A</w:t>
      </w:r>
      <w:r w:rsidR="00E37D8F" w:rsidRPr="0030672B">
        <w:rPr>
          <w:rFonts w:cs="Times New Roman"/>
          <w:szCs w:val="24"/>
        </w:rPr>
        <w:t>N</w:t>
      </w:r>
      <w:r w:rsidRPr="0030672B">
        <w:rPr>
          <w:rFonts w:cs="Times New Roman"/>
          <w:szCs w:val="24"/>
        </w:rPr>
        <w:t xml:space="preserve"> INDUCTIVE POWER TRANSFER INDUCTANCE AND ANALYSIS of MISALIGNMENT</w:t>
      </w:r>
    </w:p>
    <w:p w14:paraId="4776A64B" w14:textId="11A303A0" w:rsidR="00CD734C" w:rsidRPr="0030672B" w:rsidRDefault="00CD734C" w:rsidP="00FF3858">
      <w:pPr>
        <w:pStyle w:val="Heading2"/>
        <w:jc w:val="center"/>
        <w:rPr>
          <w:lang w:val="en-GB"/>
        </w:rPr>
      </w:pPr>
    </w:p>
    <w:p w14:paraId="09C4323A" w14:textId="46C79BE2" w:rsidR="00CD734C" w:rsidRPr="0030672B" w:rsidRDefault="00CD734C" w:rsidP="00FF3858">
      <w:pPr>
        <w:jc w:val="center"/>
        <w:rPr>
          <w:rFonts w:cs="Times New Roman"/>
        </w:rPr>
      </w:pPr>
    </w:p>
    <w:p w14:paraId="72B40B82" w14:textId="01A7879C" w:rsidR="00CD734C" w:rsidRPr="0030672B" w:rsidRDefault="00CD734C" w:rsidP="00FF3858">
      <w:pPr>
        <w:jc w:val="center"/>
        <w:rPr>
          <w:rFonts w:cs="Times New Roman"/>
        </w:rPr>
      </w:pPr>
      <w:r w:rsidRPr="0030672B">
        <w:rPr>
          <w:rFonts w:cs="Times New Roman"/>
        </w:rPr>
        <w:t>Enes AYAZ 2093318</w:t>
      </w:r>
    </w:p>
    <w:p w14:paraId="130A0CCB" w14:textId="773E24AC" w:rsidR="00CD734C" w:rsidRPr="0030672B" w:rsidRDefault="00CD734C" w:rsidP="001D02FF">
      <w:pPr>
        <w:jc w:val="both"/>
        <w:rPr>
          <w:rFonts w:cs="Times New Roman"/>
        </w:rPr>
      </w:pPr>
    </w:p>
    <w:p w14:paraId="2611DD63" w14:textId="1666DF08" w:rsidR="00F25B9E" w:rsidRPr="0030672B" w:rsidRDefault="00F25B9E" w:rsidP="001D02FF">
      <w:pPr>
        <w:jc w:val="both"/>
        <w:rPr>
          <w:rFonts w:cs="Times New Roman"/>
        </w:rPr>
      </w:pPr>
    </w:p>
    <w:p w14:paraId="0386F500" w14:textId="6B71B23A" w:rsidR="00F25B9E" w:rsidRPr="0030672B" w:rsidRDefault="00F25B9E" w:rsidP="001D02FF">
      <w:pPr>
        <w:jc w:val="both"/>
        <w:rPr>
          <w:rFonts w:cs="Times New Roman"/>
        </w:rPr>
      </w:pPr>
    </w:p>
    <w:p w14:paraId="03CF41E0" w14:textId="77777777" w:rsidR="00F25B9E" w:rsidRPr="0030672B" w:rsidRDefault="00F25B9E" w:rsidP="001D02FF">
      <w:pPr>
        <w:jc w:val="both"/>
        <w:rPr>
          <w:rFonts w:cs="Times New Roman"/>
        </w:rPr>
      </w:pPr>
    </w:p>
    <w:p w14:paraId="0D2A678A" w14:textId="3EA26DDB" w:rsidR="00CD734C" w:rsidRPr="0030672B" w:rsidRDefault="00CD734C" w:rsidP="001D02FF">
      <w:pPr>
        <w:pStyle w:val="Heading1"/>
        <w:jc w:val="both"/>
      </w:pPr>
      <w:r w:rsidRPr="0030672B">
        <w:lastRenderedPageBreak/>
        <w:t>Introduction</w:t>
      </w:r>
    </w:p>
    <w:p w14:paraId="5461CC9C" w14:textId="39D27B5C" w:rsidR="005D2226" w:rsidRPr="0030672B" w:rsidRDefault="00A80D63" w:rsidP="001D02FF">
      <w:pPr>
        <w:jc w:val="both"/>
      </w:pPr>
      <w:r w:rsidRPr="0030672B">
        <w:t xml:space="preserve">Inductive power transfer (IPT) has become more popular in recent years. It is used in range area from low power applications to high power applications. Cordless design and spatial flexibility of IPTs led them to be used in some applications such as portable chargers, biomedical implements, etc. Also, providing electrical safety and galvanic isolation make them the future of the electric car chargers and energy harvesting systems, etc. </w:t>
      </w:r>
      <w:r w:rsidR="00E82378" w:rsidRPr="0030672B">
        <w:t xml:space="preserve"> </w:t>
      </w:r>
    </w:p>
    <w:p w14:paraId="5559C692" w14:textId="46B026AB" w:rsidR="00F11372" w:rsidRPr="0030672B" w:rsidRDefault="00C10F02" w:rsidP="001D02FF">
      <w:pPr>
        <w:jc w:val="both"/>
      </w:pPr>
      <w:r w:rsidRPr="0030672B">
        <w:t>In many applications (Electric vehicle, portable</w:t>
      </w:r>
      <w:r w:rsidR="00304CE4" w:rsidRPr="0030672B">
        <w:t xml:space="preserve"> chargers</w:t>
      </w:r>
      <w:r w:rsidRPr="0030672B">
        <w:t>), IPT system is used for multiple load</w:t>
      </w:r>
      <w:r w:rsidR="00304CE4" w:rsidRPr="0030672B">
        <w:t>s</w:t>
      </w:r>
      <w:r w:rsidRPr="0030672B">
        <w:t xml:space="preserve">. For these applications, the position of transmitter and receivers are variable. </w:t>
      </w:r>
      <w:r w:rsidR="00763367" w:rsidRPr="0030672B">
        <w:t xml:space="preserve">Thus, the loosely coupled </w:t>
      </w:r>
      <w:r w:rsidR="00F11372" w:rsidRPr="0030672B">
        <w:t>IPT’s</w:t>
      </w:r>
      <w:r w:rsidR="00763367" w:rsidRPr="0030672B">
        <w:t xml:space="preserve"> have a variable mutual inductance</w:t>
      </w:r>
      <w:r w:rsidR="00F11372" w:rsidRPr="0030672B">
        <w:t xml:space="preserve"> between transmitter and receiver</w:t>
      </w:r>
      <w:r w:rsidR="00763367" w:rsidRPr="0030672B">
        <w:t xml:space="preserve">. The different mutual inductance </w:t>
      </w:r>
      <w:r w:rsidR="00F11372" w:rsidRPr="0030672B">
        <w:t>a</w:t>
      </w:r>
      <w:r w:rsidR="00763367" w:rsidRPr="0030672B">
        <w:t xml:space="preserve">ffects the output </w:t>
      </w:r>
      <w:r w:rsidR="00F11372" w:rsidRPr="0030672B">
        <w:t xml:space="preserve">power, output </w:t>
      </w:r>
      <w:r w:rsidR="00763367" w:rsidRPr="0030672B">
        <w:t xml:space="preserve">voltage and the efficiency of the system. In general, the small changes on mutual inductance can be tolerated by using frequency </w:t>
      </w:r>
      <w:r w:rsidR="00304CE4" w:rsidRPr="0030672B">
        <w:t>or</w:t>
      </w:r>
      <w:r w:rsidR="00763367" w:rsidRPr="0030672B">
        <w:t xml:space="preserve"> phase shift control. However, small position changes on loosely coupled systems led the mutual inductance change drastically. Thus, transmitter and receiver coils should be designed to be misalignment tolerant.</w:t>
      </w:r>
      <w:r w:rsidR="00C859F1" w:rsidRPr="0030672B">
        <w:t xml:space="preserve"> In literature, </w:t>
      </w:r>
      <w:r w:rsidR="00D10D45" w:rsidRPr="0030672B">
        <w:t>misalignment tolerant IPT systems are investigated in the papers</w:t>
      </w:r>
      <w:r w:rsidR="00E37D8F" w:rsidRPr="0030672B">
        <w:t xml:space="preserve"> </w:t>
      </w:r>
      <w:proofErr w:type="gramStart"/>
      <w:r w:rsidR="00E37D8F" w:rsidRPr="0030672B">
        <w:t>The</w:t>
      </w:r>
      <w:proofErr w:type="gramEnd"/>
      <w:r w:rsidR="00E37D8F" w:rsidRPr="0030672B">
        <w:t xml:space="preserve"> misalignments can be also changed with respect to coil shap</w:t>
      </w:r>
      <w:r w:rsidR="00D16551" w:rsidRPr="0030672B">
        <w:t>e and there are different misalignment conditions such as vertical, planar and angular.</w:t>
      </w:r>
    </w:p>
    <w:p w14:paraId="5AD3575B" w14:textId="7C5167AA" w:rsidR="00C10F02" w:rsidRPr="0030672B" w:rsidRDefault="00710060" w:rsidP="001D02FF">
      <w:pPr>
        <w:jc w:val="both"/>
      </w:pPr>
      <w:r w:rsidRPr="0030672B">
        <w:t xml:space="preserve">In this work, the misalignment analysis and mutual inductance calculations will be conducted. Firstly, the mutual inductance calculation </w:t>
      </w:r>
      <w:r w:rsidR="007F6610" w:rsidRPr="0030672B">
        <w:t>and misalignment analysis in literature will be examined. Secondly, a coupled coil is designed and the mutual inductance between coils are calculated analytically. Thirdly, the design is simulated by FEA</w:t>
      </w:r>
      <w:r w:rsidR="00BA23E6" w:rsidRPr="0030672B">
        <w:t xml:space="preserve">. Finally, the analytical and FEA model are compared and the design will be </w:t>
      </w:r>
      <w:r w:rsidR="00F11372" w:rsidRPr="0030672B">
        <w:t xml:space="preserve">optimized. </w:t>
      </w:r>
    </w:p>
    <w:p w14:paraId="07E66B3F" w14:textId="5780870B" w:rsidR="006A0AB4" w:rsidRPr="0030672B" w:rsidRDefault="006A0AB4" w:rsidP="006A0AB4">
      <w:pPr>
        <w:pStyle w:val="Heading1"/>
      </w:pPr>
      <w:r w:rsidRPr="0030672B">
        <w:t>Literature Review</w:t>
      </w:r>
    </w:p>
    <w:p w14:paraId="61B18E9E" w14:textId="0BDA3E5D" w:rsidR="00586F07" w:rsidRPr="0030672B" w:rsidRDefault="00586F07" w:rsidP="006A0AB4">
      <w:r w:rsidRPr="0030672B">
        <w:t>In literature, misalignment analysis is well investigated. Misalignment tolerant system design is expected to provide stable output voltage and power</w:t>
      </w:r>
      <w:r w:rsidR="00D16551" w:rsidRPr="0030672B">
        <w:t xml:space="preserve"> for different position of receivers</w:t>
      </w:r>
      <w:r w:rsidRPr="0030672B">
        <w:t xml:space="preserve">. The misalignment tolerant system come into view in two points. One of them is that the misalignment tolerant system is done with control methods. Other one is that the misalignment tolerant system is done with designing misaligned tolerant coils. Second method is investigated in the literature in </w:t>
      </w:r>
      <w:r w:rsidR="00D16551" w:rsidRPr="0030672B">
        <w:t>these papers</w:t>
      </w:r>
      <w:r w:rsidRPr="0030672B">
        <w:t xml:space="preserve">. The coil structures </w:t>
      </w:r>
      <w:r w:rsidR="00D16551" w:rsidRPr="0030672B">
        <w:t>depend</w:t>
      </w:r>
      <w:r w:rsidRPr="0030672B">
        <w:t xml:space="preserve"> on application of the IPT and it is imported to design misaligned tolerant coils.</w:t>
      </w:r>
      <w:r w:rsidR="00D16551" w:rsidRPr="0030672B">
        <w:t xml:space="preserve"> </w:t>
      </w:r>
      <w:r w:rsidR="00016105" w:rsidRPr="0030672B">
        <w:t xml:space="preserve">There are some </w:t>
      </w:r>
    </w:p>
    <w:p w14:paraId="14619A02" w14:textId="54149E3F" w:rsidR="00586F07" w:rsidRPr="0030672B" w:rsidRDefault="00586F07" w:rsidP="006A0AB4"/>
    <w:p w14:paraId="60D7DBB5" w14:textId="07B3AD73" w:rsidR="00586F07" w:rsidRPr="0030672B" w:rsidRDefault="00586F07" w:rsidP="006A0AB4"/>
    <w:p w14:paraId="1311CEC6" w14:textId="2D364C09" w:rsidR="00016105" w:rsidRPr="0030672B" w:rsidRDefault="00016105" w:rsidP="006A0AB4"/>
    <w:p w14:paraId="170FC166" w14:textId="527B2E82" w:rsidR="00016105" w:rsidRPr="0030672B" w:rsidRDefault="00016105" w:rsidP="006A0AB4"/>
    <w:p w14:paraId="5AB423DE" w14:textId="4BD0D20A" w:rsidR="00016105" w:rsidRPr="0030672B" w:rsidRDefault="00016105" w:rsidP="006A0AB4"/>
    <w:p w14:paraId="2516B408" w14:textId="73056E0C" w:rsidR="00016105" w:rsidRPr="0030672B" w:rsidRDefault="00016105" w:rsidP="006A0AB4"/>
    <w:p w14:paraId="325BA5B7" w14:textId="00F131EE" w:rsidR="00016105" w:rsidRPr="0030672B" w:rsidRDefault="00016105" w:rsidP="006A0AB4"/>
    <w:p w14:paraId="40151FC6" w14:textId="0570BE22" w:rsidR="00016105" w:rsidRPr="0030672B" w:rsidRDefault="00016105" w:rsidP="006A0AB4"/>
    <w:p w14:paraId="513ADD11" w14:textId="77777777" w:rsidR="00016105" w:rsidRPr="0030672B" w:rsidRDefault="00016105" w:rsidP="006A0AB4"/>
    <w:p w14:paraId="232CBB0C" w14:textId="003EB836" w:rsidR="00C10F02" w:rsidRPr="0030672B" w:rsidRDefault="006A0AB4" w:rsidP="006A0AB4">
      <w:pPr>
        <w:pStyle w:val="Heading1"/>
      </w:pPr>
      <w:r w:rsidRPr="0030672B">
        <w:lastRenderedPageBreak/>
        <w:t>Analytical Calculation and Sizing</w:t>
      </w:r>
    </w:p>
    <w:p w14:paraId="5155E33F" w14:textId="63CDFBC9" w:rsidR="00024A81" w:rsidRPr="0030672B" w:rsidRDefault="00016105" w:rsidP="001D02FF">
      <w:pPr>
        <w:jc w:val="both"/>
      </w:pPr>
      <w:r w:rsidRPr="0030672B">
        <w:t xml:space="preserve">In this part, we chose inductor shape which are suitable to our </w:t>
      </w:r>
      <w:r w:rsidR="00133D4B" w:rsidRPr="0030672B">
        <w:t xml:space="preserve">applications [reference </w:t>
      </w:r>
      <w:proofErr w:type="spellStart"/>
      <w:r w:rsidR="00133D4B" w:rsidRPr="0030672B">
        <w:t>ver</w:t>
      </w:r>
      <w:proofErr w:type="spellEnd"/>
      <w:r w:rsidR="00133D4B" w:rsidRPr="0030672B">
        <w:t>]</w:t>
      </w:r>
      <w:r w:rsidRPr="0030672B">
        <w:t>.</w:t>
      </w:r>
      <w:r w:rsidR="00D16551" w:rsidRPr="0030672B">
        <w:t xml:space="preserve"> Our application is a contactless slip rings and it requires a planar misalignment tolerant in shown figure X. Thus, circular shape coil is chosen to provide planar symmetry. </w:t>
      </w:r>
      <w:r w:rsidR="00133D4B" w:rsidRPr="0030672B">
        <w:t xml:space="preserve">The value of self-inductances and mutual inductance were calculated by using the paper. </w:t>
      </w:r>
      <w:r w:rsidR="00D16551" w:rsidRPr="0030672B">
        <w:t>In this section, we calculate the</w:t>
      </w:r>
      <w:r w:rsidR="00024A81" w:rsidRPr="0030672B">
        <w:t xml:space="preserve"> self-inductances and mutual</w:t>
      </w:r>
      <w:r w:rsidR="00D16551" w:rsidRPr="0030672B">
        <w:t xml:space="preserve"> inductance between transmitter and receiver coil</w:t>
      </w:r>
      <w:r w:rsidR="00133D4B" w:rsidRPr="0030672B">
        <w:t xml:space="preserve"> analytically by using vector potential approach</w:t>
      </w:r>
      <w:r w:rsidR="00D16551" w:rsidRPr="0030672B">
        <w:t>.</w:t>
      </w:r>
    </w:p>
    <w:tbl>
      <w:tblPr>
        <w:tblStyle w:val="TableGrid"/>
        <w:tblW w:w="0" w:type="auto"/>
        <w:tblLook w:val="04A0" w:firstRow="1" w:lastRow="0" w:firstColumn="1" w:lastColumn="0" w:noHBand="0" w:noVBand="1"/>
      </w:tblPr>
      <w:tblGrid>
        <w:gridCol w:w="4508"/>
        <w:gridCol w:w="4508"/>
      </w:tblGrid>
      <w:tr w:rsidR="00024A81" w:rsidRPr="0030672B" w14:paraId="010AD557" w14:textId="77777777" w:rsidTr="00024A81">
        <w:tc>
          <w:tcPr>
            <w:tcW w:w="4508" w:type="dxa"/>
          </w:tcPr>
          <w:p w14:paraId="5CD4878C" w14:textId="55AC8D16" w:rsidR="00024A81" w:rsidRPr="0030672B" w:rsidRDefault="00024A81" w:rsidP="00024A81">
            <w:pPr>
              <w:jc w:val="center"/>
              <w:rPr>
                <w:b/>
              </w:rPr>
            </w:pPr>
            <w:r w:rsidRPr="0030672B">
              <w:rPr>
                <w:b/>
              </w:rPr>
              <w:t>Inductances</w:t>
            </w:r>
          </w:p>
        </w:tc>
        <w:tc>
          <w:tcPr>
            <w:tcW w:w="4508" w:type="dxa"/>
          </w:tcPr>
          <w:p w14:paraId="6060EA56" w14:textId="1FE51219" w:rsidR="00024A81" w:rsidRPr="0030672B" w:rsidRDefault="00024A81" w:rsidP="00024A81">
            <w:pPr>
              <w:jc w:val="center"/>
              <w:rPr>
                <w:b/>
              </w:rPr>
            </w:pPr>
            <w:r w:rsidRPr="0030672B">
              <w:rPr>
                <w:b/>
              </w:rPr>
              <w:t>Values</w:t>
            </w:r>
          </w:p>
        </w:tc>
      </w:tr>
      <w:tr w:rsidR="00024A81" w:rsidRPr="0030672B" w14:paraId="0E8376BD" w14:textId="77777777" w:rsidTr="00024A81">
        <w:tc>
          <w:tcPr>
            <w:tcW w:w="4508" w:type="dxa"/>
          </w:tcPr>
          <w:p w14:paraId="17A713E5" w14:textId="21ABD180" w:rsidR="00024A81" w:rsidRPr="0030672B" w:rsidRDefault="00024A81" w:rsidP="00024A81">
            <w:pPr>
              <w:jc w:val="center"/>
            </w:pPr>
            <w:r w:rsidRPr="0030672B">
              <w:t>Transmitter Inductance</w:t>
            </w:r>
          </w:p>
        </w:tc>
        <w:tc>
          <w:tcPr>
            <w:tcW w:w="4508" w:type="dxa"/>
          </w:tcPr>
          <w:p w14:paraId="7FB2EEE3" w14:textId="77777777" w:rsidR="00024A81" w:rsidRPr="0030672B" w:rsidRDefault="00024A81" w:rsidP="00024A81">
            <w:pPr>
              <w:jc w:val="center"/>
            </w:pPr>
          </w:p>
        </w:tc>
      </w:tr>
      <w:tr w:rsidR="00024A81" w:rsidRPr="0030672B" w14:paraId="2DC86522" w14:textId="77777777" w:rsidTr="00024A81">
        <w:tc>
          <w:tcPr>
            <w:tcW w:w="4508" w:type="dxa"/>
          </w:tcPr>
          <w:p w14:paraId="646EDAB1" w14:textId="146A3C6F" w:rsidR="00024A81" w:rsidRPr="0030672B" w:rsidRDefault="00024A81" w:rsidP="00024A81">
            <w:pPr>
              <w:jc w:val="center"/>
            </w:pPr>
            <w:r w:rsidRPr="0030672B">
              <w:t>Receiver Inductance</w:t>
            </w:r>
          </w:p>
        </w:tc>
        <w:tc>
          <w:tcPr>
            <w:tcW w:w="4508" w:type="dxa"/>
          </w:tcPr>
          <w:p w14:paraId="0BC8B4AF" w14:textId="77777777" w:rsidR="00024A81" w:rsidRPr="0030672B" w:rsidRDefault="00024A81" w:rsidP="00024A81">
            <w:pPr>
              <w:jc w:val="center"/>
            </w:pPr>
          </w:p>
        </w:tc>
      </w:tr>
      <w:tr w:rsidR="00024A81" w:rsidRPr="0030672B" w14:paraId="0797D121" w14:textId="77777777" w:rsidTr="00024A81">
        <w:tc>
          <w:tcPr>
            <w:tcW w:w="4508" w:type="dxa"/>
          </w:tcPr>
          <w:p w14:paraId="7646025F" w14:textId="27F20977" w:rsidR="00024A81" w:rsidRPr="0030672B" w:rsidRDefault="00024A81" w:rsidP="00024A81">
            <w:pPr>
              <w:jc w:val="center"/>
            </w:pPr>
            <w:r w:rsidRPr="0030672B">
              <w:t>Mutual Inductance</w:t>
            </w:r>
          </w:p>
        </w:tc>
        <w:tc>
          <w:tcPr>
            <w:tcW w:w="4508" w:type="dxa"/>
          </w:tcPr>
          <w:p w14:paraId="76D5EAA6" w14:textId="77777777" w:rsidR="00024A81" w:rsidRPr="0030672B" w:rsidRDefault="00024A81" w:rsidP="00024A81">
            <w:pPr>
              <w:jc w:val="center"/>
            </w:pPr>
          </w:p>
        </w:tc>
      </w:tr>
    </w:tbl>
    <w:p w14:paraId="54BE5014" w14:textId="2A5F9FA9" w:rsidR="00024A81" w:rsidRPr="0030672B" w:rsidRDefault="00133D4B" w:rsidP="001D02FF">
      <w:pPr>
        <w:jc w:val="both"/>
      </w:pPr>
      <w:r w:rsidRPr="0030672B">
        <w:t xml:space="preserve"> </w:t>
      </w:r>
    </w:p>
    <w:p w14:paraId="08BE51DC" w14:textId="4D3D39CF" w:rsidR="00024A81" w:rsidRPr="0030672B" w:rsidRDefault="00024A81" w:rsidP="00024A81">
      <w:pPr>
        <w:pStyle w:val="Heading2"/>
        <w:rPr>
          <w:lang w:val="en-GB"/>
        </w:rPr>
      </w:pPr>
      <w:r w:rsidRPr="0030672B">
        <w:rPr>
          <w:lang w:val="en-GB"/>
        </w:rPr>
        <w:t xml:space="preserve">Self-Inductance </w:t>
      </w:r>
      <w:r w:rsidR="00DB03C8" w:rsidRPr="0030672B">
        <w:rPr>
          <w:lang w:val="en-GB"/>
        </w:rPr>
        <w:t>Calculations</w:t>
      </w:r>
    </w:p>
    <w:p w14:paraId="11D1A5B7" w14:textId="7E14672C" w:rsidR="00477F45" w:rsidRPr="0030672B" w:rsidRDefault="00477F45" w:rsidP="00477F45">
      <w:r w:rsidRPr="0030672B">
        <w:t>The inductance of a loop of wire</w:t>
      </w:r>
      <w:r w:rsidR="00D90204" w:rsidRPr="0030672B">
        <w:t>s</w:t>
      </w:r>
      <w:r w:rsidRPr="0030672B">
        <w:t xml:space="preserve"> shown at figure X can be </w:t>
      </w:r>
      <w:r w:rsidR="00D90204" w:rsidRPr="0030672B">
        <w:t xml:space="preserve">calculated by using the formula. </w:t>
      </w:r>
    </w:p>
    <w:p w14:paraId="22621F13" w14:textId="5C0125A4" w:rsidR="00477F45" w:rsidRPr="0030672B" w:rsidRDefault="00D90204" w:rsidP="00477F45">
      <w:pPr>
        <w:rPr>
          <w:rFonts w:eastAsiaTheme="minorEastAsia"/>
        </w:rPr>
      </w:pPr>
      <m:oMathPara>
        <m:oMath>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R </m:t>
          </m:r>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8R</m:t>
                      </m:r>
                    </m:num>
                    <m:den>
                      <m:r>
                        <w:rPr>
                          <w:rFonts w:ascii="Cambria Math" w:hAnsi="Cambria Math"/>
                        </w:rPr>
                        <m:t>a</m:t>
                      </m:r>
                    </m:den>
                  </m:f>
                </m:e>
              </m:d>
            </m:e>
          </m:func>
          <m:r>
            <w:rPr>
              <w:rFonts w:ascii="Cambria Math" w:hAnsi="Cambria Math"/>
            </w:rPr>
            <m:t>-2]</m:t>
          </m:r>
        </m:oMath>
      </m:oMathPara>
    </w:p>
    <w:p w14:paraId="7CCA650F" w14:textId="0C1831BE" w:rsidR="00D50D74" w:rsidRPr="0030672B" w:rsidRDefault="004E6AAE" w:rsidP="00DB03C8">
      <w:r w:rsidRPr="0030672B">
        <w:t xml:space="preserve">By using the </w:t>
      </w:r>
      <w:r w:rsidR="00137DE7" w:rsidRPr="0030672B">
        <w:t>formula,</w:t>
      </w:r>
      <w:r w:rsidRPr="0030672B">
        <w:t xml:space="preserve"> we can calculate the transmitter and receiver inductances.</w:t>
      </w:r>
      <w:r w:rsidR="00137DE7" w:rsidRPr="0030672B">
        <w:t xml:space="preserve"> In this part, we want to design a coil with angular misalignment tolerant. Thus, the radius of receiver is chosen smaller than transmitter to provide it.</w:t>
      </w:r>
      <w:r w:rsidR="003D460E" w:rsidRPr="0030672B">
        <w:t xml:space="preserve"> </w:t>
      </w:r>
    </w:p>
    <w:p w14:paraId="51312122" w14:textId="00A2EB59" w:rsidR="00CC73E4" w:rsidRPr="0030672B" w:rsidRDefault="00CC73E4" w:rsidP="00CC73E4">
      <w:pPr>
        <w:pStyle w:val="Heading2"/>
        <w:rPr>
          <w:lang w:val="en-GB"/>
        </w:rPr>
      </w:pPr>
      <w:r w:rsidRPr="0030672B">
        <w:rPr>
          <w:lang w:val="en-GB"/>
        </w:rPr>
        <w:t xml:space="preserve">Mutual </w:t>
      </w:r>
      <w:r w:rsidR="00714AE3" w:rsidRPr="0030672B">
        <w:rPr>
          <w:lang w:val="en-GB"/>
        </w:rPr>
        <w:t>Inductance</w:t>
      </w:r>
      <w:r w:rsidRPr="0030672B">
        <w:rPr>
          <w:lang w:val="en-GB"/>
        </w:rPr>
        <w:t xml:space="preserve"> Calculations</w:t>
      </w:r>
    </w:p>
    <w:p w14:paraId="6DFCA8B8" w14:textId="317CD7E2" w:rsidR="001B3FE4" w:rsidRPr="0030672B" w:rsidRDefault="001B3FE4" w:rsidP="00CC73E4">
      <w:r w:rsidRPr="0030672B">
        <w:t>Mutual inductance between two circular coils</w:t>
      </w:r>
      <w:r w:rsidR="00C01D80" w:rsidRPr="0030672B">
        <w:t xml:space="preserve"> as shown figure X.</w:t>
      </w:r>
      <w:r w:rsidRPr="0030672B">
        <w:t xml:space="preserve"> are calculated by u</w:t>
      </w:r>
      <w:r w:rsidR="00E82EE4" w:rsidRPr="0030672B">
        <w:t>s</w:t>
      </w:r>
      <w:r w:rsidRPr="0030672B">
        <w:t xml:space="preserve">ing vector potential approach. The mutual inductance formula as known Neumann’s formula is shown below. </w:t>
      </w:r>
    </w:p>
    <w:p w14:paraId="68EE1A5E" w14:textId="05E8AB85" w:rsidR="00532ABE" w:rsidRPr="0030672B" w:rsidRDefault="001B3FE4" w:rsidP="00CC73E4">
      <w:pPr>
        <w:rPr>
          <w:rFonts w:eastAsiaTheme="minorEastAsia"/>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chr m:val="∮"/>
              <m:limLoc m:val="undOvr"/>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xd</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R</m:t>
                      </m:r>
                    </m:den>
                  </m:f>
                </m:e>
              </m:nary>
            </m:e>
          </m:nary>
        </m:oMath>
      </m:oMathPara>
    </w:p>
    <w:p w14:paraId="4A08B58D" w14:textId="4002BFB2" w:rsidR="00532ABE" w:rsidRPr="0030672B" w:rsidRDefault="00532ABE" w:rsidP="00CC73E4">
      <w:pPr>
        <w:rPr>
          <w:rFonts w:eastAsiaTheme="minorEastAsia"/>
        </w:rPr>
      </w:pPr>
      <w:r w:rsidRPr="0030672B">
        <w:rPr>
          <w:rFonts w:eastAsiaTheme="minorEastAsia"/>
        </w:rPr>
        <w:t xml:space="preserve">Where the </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and d</m:t>
        </m:r>
        <m:sSub>
          <m:sSubPr>
            <m:ctrlPr>
              <w:rPr>
                <w:rFonts w:ascii="Cambria Math" w:hAnsi="Cambria Math"/>
                <w:i/>
              </w:rPr>
            </m:ctrlPr>
          </m:sSubPr>
          <m:e>
            <m:r>
              <w:rPr>
                <w:rFonts w:ascii="Cambria Math" w:hAnsi="Cambria Math"/>
              </w:rPr>
              <m:t>l</m:t>
            </m:r>
          </m:e>
          <m:sub>
            <m:r>
              <w:rPr>
                <w:rFonts w:ascii="Cambria Math" w:hAnsi="Cambria Math"/>
              </w:rPr>
              <m:t>2</m:t>
            </m:r>
          </m:sub>
        </m:sSub>
      </m:oMath>
      <w:r w:rsidRPr="0030672B">
        <w:rPr>
          <w:rFonts w:eastAsiaTheme="minorEastAsia"/>
        </w:rPr>
        <w:t xml:space="preserve"> are defined as:</w:t>
      </w:r>
    </w:p>
    <w:p w14:paraId="3B51BB7D" w14:textId="1E971FCD" w:rsidR="00532ABE" w:rsidRPr="0030672B" w:rsidRDefault="00532ABE" w:rsidP="00CC73E4">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d>
          <m:r>
            <w:rPr>
              <w:rFonts w:ascii="Cambria Math" w:hAnsi="Cambria Math"/>
            </w:rPr>
            <m:t>dθ</m:t>
          </m:r>
        </m:oMath>
      </m:oMathPara>
    </w:p>
    <w:p w14:paraId="506675DC" w14:textId="47624744" w:rsidR="00532ABE" w:rsidRPr="0030672B" w:rsidRDefault="00532ABE" w:rsidP="00532ABE">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e>
                  </m:d>
                </m:e>
              </m:func>
            </m:e>
          </m:d>
          <m:r>
            <w:rPr>
              <w:rFonts w:ascii="Cambria Math" w:hAnsi="Cambria Math"/>
            </w:rPr>
            <m:t>dϕ</m:t>
          </m:r>
        </m:oMath>
      </m:oMathPara>
    </w:p>
    <w:p w14:paraId="25905743" w14:textId="14D8417B" w:rsidR="00B0132C" w:rsidRPr="0030672B" w:rsidRDefault="00E82EE4" w:rsidP="001D02FF">
      <w:pPr>
        <w:jc w:val="both"/>
      </w:pPr>
      <w:r w:rsidRPr="0030672B">
        <w:t xml:space="preserve">Then, two arbitrary points of coils, we define R as: </w:t>
      </w:r>
    </w:p>
    <w:p w14:paraId="4754D437" w14:textId="40B73AE1" w:rsidR="00E82EE4" w:rsidRPr="0030672B" w:rsidRDefault="00E82EE4" w:rsidP="001D02FF">
      <w:pPr>
        <w:jc w:val="both"/>
      </w:pPr>
      <m:oMathPara>
        <m:oMath>
          <m:r>
            <w:rPr>
              <w:rFonts w:ascii="Cambria Math" w:hAnsi="Cambria Math"/>
            </w:rPr>
            <m:t>R=</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θ-ϕ</m:t>
                      </m:r>
                    </m:e>
                  </m:d>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oMath>
      </m:oMathPara>
    </w:p>
    <w:p w14:paraId="4DE04F7F" w14:textId="63B93D68" w:rsidR="00B0132C" w:rsidRPr="0030672B" w:rsidRDefault="00E82EE4" w:rsidP="001D02FF">
      <w:pPr>
        <w:jc w:val="both"/>
      </w:pPr>
      <w:r w:rsidRPr="0030672B">
        <w:t>By using the definitions, we can calculate the mutual inductances as</w:t>
      </w:r>
      <w:r w:rsidR="0022303C" w:rsidRPr="0030672B">
        <w:t>:</w:t>
      </w:r>
    </w:p>
    <w:p w14:paraId="0C899948" w14:textId="5475B937" w:rsidR="0022303C" w:rsidRPr="0030672B" w:rsidRDefault="0022303C" w:rsidP="0022303C">
      <w:pPr>
        <w:rPr>
          <w:rFonts w:eastAsiaTheme="minorEastAsia"/>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chr m:val="∮"/>
              <m:limLoc m:val="subSup"/>
              <m:ctrlPr>
                <w:rPr>
                  <w:rFonts w:ascii="Cambria Math" w:hAnsi="Cambria Math"/>
                  <w:i/>
                </w:rPr>
              </m:ctrlPr>
            </m:naryPr>
            <m:sub>
              <m:r>
                <w:rPr>
                  <w:rFonts w:ascii="Cambria Math" w:hAnsi="Cambria Math"/>
                </w:rPr>
                <m:t>0</m:t>
              </m:r>
            </m:sub>
            <m:sup>
              <m:r>
                <w:rPr>
                  <w:rFonts w:ascii="Cambria Math" w:hAnsi="Cambria Math"/>
                </w:rPr>
                <m:t>2π</m:t>
              </m:r>
            </m:sup>
            <m:e>
              <m:nary>
                <m:naryPr>
                  <m:chr m:val="∮"/>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 xml:space="preserve">1 </m:t>
                          </m:r>
                        </m:sub>
                      </m:sSub>
                      <m:sSub>
                        <m:sSubPr>
                          <m:ctrlPr>
                            <w:rPr>
                              <w:rFonts w:ascii="Cambria Math" w:hAnsi="Cambria Math"/>
                              <w:i/>
                            </w:rPr>
                          </m:ctrlPr>
                        </m:sSubPr>
                        <m:e>
                          <m:r>
                            <w:rPr>
                              <w:rFonts w:ascii="Cambria Math" w:hAnsi="Cambria Math"/>
                            </w:rPr>
                            <m:t>r</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θ-ϕ</m:t>
                              </m:r>
                            </m:e>
                          </m:d>
                        </m:e>
                      </m:func>
                      <m:r>
                        <w:rPr>
                          <w:rFonts w:ascii="Cambria Math" w:hAnsi="Cambria Math"/>
                        </w:rPr>
                        <m:t>dθdϕ</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θ-ϕ</m:t>
                                  </m:r>
                                </m:e>
                              </m:d>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e>
              </m:nary>
            </m:e>
          </m:nary>
        </m:oMath>
      </m:oMathPara>
    </w:p>
    <w:p w14:paraId="356EB6E9" w14:textId="0DD0F1F2" w:rsidR="00C01D80" w:rsidRPr="0030672B" w:rsidRDefault="00C01D80" w:rsidP="0022303C">
      <w:pPr>
        <w:rPr>
          <w:rFonts w:eastAsiaTheme="minorEastAsia"/>
        </w:rPr>
      </w:pPr>
    </w:p>
    <w:p w14:paraId="543725B9" w14:textId="4E1F310F" w:rsidR="00CD7202" w:rsidRPr="0030672B" w:rsidRDefault="00CD7202" w:rsidP="0022303C">
      <w:pPr>
        <w:rPr>
          <w:rFonts w:eastAsiaTheme="minorEastAsia"/>
        </w:rPr>
      </w:pPr>
      <w:r w:rsidRPr="0030672B">
        <w:rPr>
          <w:rFonts w:eastAsiaTheme="minorEastAsia"/>
        </w:rPr>
        <w:lastRenderedPageBreak/>
        <w:t xml:space="preserve">For misaligned coils shown at figure X, we can change the coordinate systems. Lateral and angular misalignment can be represented as translation and rotation of </w:t>
      </w:r>
      <w:r w:rsidR="00DC2B70" w:rsidRPr="0030672B">
        <w:rPr>
          <w:rFonts w:eastAsiaTheme="minorEastAsia"/>
        </w:rPr>
        <w:t>coordinate system. Thus, we can show that the position of receiver coil as:</w:t>
      </w:r>
    </w:p>
    <w:p w14:paraId="285C87D8" w14:textId="77777777" w:rsidR="00DC2B70" w:rsidRPr="0030672B" w:rsidRDefault="00DC2B70" w:rsidP="00DC2B70">
      <w:pPr>
        <w:jc w:val="center"/>
        <w:rPr>
          <w:rFonts w:eastAsiaTheme="minorEastAsia"/>
        </w:rPr>
      </w:pPr>
    </w:p>
    <w:p w14:paraId="65E59062" w14:textId="13FF1139" w:rsidR="00DC2B70" w:rsidRPr="0030672B" w:rsidRDefault="00C27601" w:rsidP="00DC2B70">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cosϕ, r2sinϕcosα+</m:t>
          </m:r>
          <m:r>
            <m:rPr>
              <m:sty m:val="p"/>
            </m:rPr>
            <w:rPr>
              <w:rFonts w:ascii="Cambria Math" w:eastAsiaTheme="minorEastAsia" w:hAnsi="Cambria Math"/>
            </w:rPr>
            <m:t>Δ</m:t>
          </m:r>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sinϕ</m:t>
          </m:r>
          <m:r>
            <m:rPr>
              <m:sty m:val="p"/>
            </m:rPr>
            <w:rPr>
              <w:rFonts w:ascii="Cambria Math" w:eastAsiaTheme="minorEastAsia" w:hAnsi="Cambria Math"/>
            </w:rPr>
            <m:t>sin</m:t>
          </m:r>
          <m:r>
            <w:rPr>
              <w:rFonts w:ascii="Cambria Math" w:eastAsiaTheme="minorEastAsia" w:hAnsi="Cambria Math"/>
            </w:rPr>
            <m:t>α+d )</m:t>
          </m:r>
        </m:oMath>
      </m:oMathPara>
    </w:p>
    <w:p w14:paraId="4BB677C3" w14:textId="00D426EA" w:rsidR="00DC2B70" w:rsidRPr="0030672B" w:rsidRDefault="00DC2B70" w:rsidP="0022303C">
      <w:pPr>
        <w:rPr>
          <w:rFonts w:eastAsiaTheme="minorEastAsia"/>
        </w:rPr>
      </w:pPr>
      <w:r w:rsidRPr="0030672B">
        <w:rPr>
          <w:rFonts w:eastAsiaTheme="minorEastAsia"/>
        </w:rPr>
        <w:t xml:space="preserve">or </w:t>
      </w:r>
    </w:p>
    <w:p w14:paraId="1E0FCBE6" w14:textId="69565100" w:rsidR="00DC2B70" w:rsidRPr="0030672B" w:rsidRDefault="00C27601" w:rsidP="0022303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cosϕcosα+</m:t>
          </m:r>
          <m:r>
            <m:rPr>
              <m:sty m:val="p"/>
            </m:rPr>
            <w:rPr>
              <w:rFonts w:ascii="Cambria Math" w:eastAsiaTheme="minorEastAsia" w:hAnsi="Cambria Math"/>
            </w:rPr>
            <m:t>Δ</m:t>
          </m:r>
          <m:r>
            <w:rPr>
              <w:rFonts w:ascii="Cambria Math" w:eastAsiaTheme="minorEastAsia" w:hAnsi="Cambria Math"/>
            </w:rPr>
            <m:t xml:space="preserve">x, r2sinϕ,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sinϕ</m:t>
          </m:r>
          <m:r>
            <m:rPr>
              <m:sty m:val="p"/>
            </m:rPr>
            <w:rPr>
              <w:rFonts w:ascii="Cambria Math" w:eastAsiaTheme="minorEastAsia" w:hAnsi="Cambria Math"/>
            </w:rPr>
            <m:t>sin</m:t>
          </m:r>
          <m:r>
            <w:rPr>
              <w:rFonts w:ascii="Cambria Math" w:eastAsiaTheme="minorEastAsia" w:hAnsi="Cambria Math"/>
            </w:rPr>
            <m:t>α+d )</m:t>
          </m:r>
        </m:oMath>
      </m:oMathPara>
    </w:p>
    <w:p w14:paraId="6BE98D25" w14:textId="77777777" w:rsidR="0022303C" w:rsidRPr="0030672B" w:rsidRDefault="0022303C" w:rsidP="001D02FF">
      <w:pPr>
        <w:jc w:val="both"/>
      </w:pPr>
    </w:p>
    <w:p w14:paraId="12219ADC" w14:textId="00A77E7A" w:rsidR="00E82EE4" w:rsidRPr="0030672B" w:rsidRDefault="00DA18A1" w:rsidP="001D02FF">
      <w:pPr>
        <w:jc w:val="both"/>
      </w:pPr>
      <w:r w:rsidRPr="0030672B">
        <w:t>Then, we can calculate the mutual inductance by considering the misalignment</w:t>
      </w:r>
      <w:r w:rsidR="00F34CDC" w:rsidRPr="0030672B">
        <w:t>.</w:t>
      </w:r>
    </w:p>
    <w:p w14:paraId="419A8016" w14:textId="134D498C" w:rsidR="00DA18A1" w:rsidRPr="0030672B" w:rsidRDefault="00DA18A1" w:rsidP="00DA18A1">
      <w:pPr>
        <w:rPr>
          <w:rFonts w:eastAsiaTheme="minorEastAsia"/>
          <w:sz w:val="20"/>
          <w:szCs w:val="20"/>
        </w:rPr>
      </w:pPr>
      <m:oMathPara>
        <m:oMath>
          <m:r>
            <w:rPr>
              <w:rFonts w:ascii="Cambria Math" w:hAnsi="Cambria Math"/>
              <w:sz w:val="20"/>
              <w:szCs w:val="20"/>
            </w:rPr>
            <m:t>M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num>
            <m:den>
              <m:r>
                <w:rPr>
                  <w:rFonts w:ascii="Cambria Math" w:hAnsi="Cambria Math"/>
                  <w:sz w:val="20"/>
                  <w:szCs w:val="20"/>
                </w:rPr>
                <m:t>4π</m:t>
              </m:r>
            </m:den>
          </m:f>
          <m:nary>
            <m:naryPr>
              <m:chr m:val="∮"/>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2π</m:t>
              </m:r>
            </m:sup>
            <m:e>
              <m:nary>
                <m:naryPr>
                  <m:chr m:val="∮"/>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2π</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(sinθsinϕ+cosαcosθcosϕ)dθdϕ</m:t>
                      </m:r>
                    </m:num>
                    <m:den>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cosθ-</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cos</m:t>
                                  </m:r>
                                  <m:r>
                                    <m:rPr>
                                      <m:sty m:val="p"/>
                                    </m:rPr>
                                    <w:rPr>
                                      <w:rFonts w:ascii="Cambria Math" w:hAnsi="Cambria Math"/>
                                      <w:sz w:val="20"/>
                                      <w:szCs w:val="20"/>
                                    </w:rPr>
                                    <m:t>ϕ</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sinθ-</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sinϕcosa-</m:t>
                                  </m:r>
                                  <m:r>
                                    <m:rPr>
                                      <m:sty m:val="p"/>
                                    </m:rPr>
                                    <w:rPr>
                                      <w:rFonts w:ascii="Cambria Math" w:hAnsi="Cambria Math"/>
                                      <w:sz w:val="20"/>
                                      <w:szCs w:val="20"/>
                                    </w:rPr>
                                    <m:t>Δ</m:t>
                                  </m:r>
                                  <m:r>
                                    <w:rPr>
                                      <w:rFonts w:ascii="Cambria Math" w:hAnsi="Cambria Math"/>
                                      <w:sz w:val="20"/>
                                      <w:szCs w:val="20"/>
                                    </w:rPr>
                                    <m:t>y</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sinϕsinα-d</m:t>
                                  </m:r>
                                </m:e>
                              </m:d>
                            </m:e>
                            <m:sup>
                              <m:r>
                                <w:rPr>
                                  <w:rFonts w:ascii="Cambria Math" w:hAnsi="Cambria Math"/>
                                  <w:sz w:val="20"/>
                                  <w:szCs w:val="20"/>
                                </w:rPr>
                                <m:t>2</m:t>
                              </m:r>
                            </m:sup>
                          </m:sSup>
                        </m:e>
                      </m:rad>
                    </m:den>
                  </m:f>
                </m:e>
              </m:nary>
            </m:e>
          </m:nary>
        </m:oMath>
      </m:oMathPara>
    </w:p>
    <w:p w14:paraId="0FC9EF42" w14:textId="170B3ECD" w:rsidR="00DA18A1" w:rsidRPr="0030672B" w:rsidRDefault="00DA18A1" w:rsidP="001D02FF">
      <w:pPr>
        <w:jc w:val="both"/>
      </w:pPr>
    </w:p>
    <w:p w14:paraId="32D71BCF" w14:textId="58A70CF0" w:rsidR="0030672B" w:rsidRDefault="00714AE3" w:rsidP="0030672B">
      <w:pPr>
        <w:pStyle w:val="Heading2"/>
        <w:rPr>
          <w:lang w:val="en-GB"/>
        </w:rPr>
      </w:pPr>
      <w:r w:rsidRPr="0030672B">
        <w:rPr>
          <w:lang w:val="en-GB"/>
        </w:rPr>
        <w:t>Parameter Determination</w:t>
      </w:r>
    </w:p>
    <w:p w14:paraId="1BA8368C" w14:textId="1F415242" w:rsidR="0030672B" w:rsidRDefault="0030672B" w:rsidP="0030672B"/>
    <w:p w14:paraId="7810465E" w14:textId="1E7905BD" w:rsidR="0030672B" w:rsidRPr="0030672B" w:rsidRDefault="0030672B" w:rsidP="0030672B">
      <w:r>
        <w:t>Firstly, the parameters are calculated for misaligned condition. Then, the parameters are optimized to provide angular misalignment tolerant coil. However, the optimization will be made at section 4 after FEA analysis.</w:t>
      </w:r>
      <w:bookmarkStart w:id="1" w:name="_GoBack"/>
      <w:bookmarkEnd w:id="1"/>
    </w:p>
    <w:tbl>
      <w:tblPr>
        <w:tblStyle w:val="TableGrid"/>
        <w:tblW w:w="0" w:type="auto"/>
        <w:tblLook w:val="04A0" w:firstRow="1" w:lastRow="0" w:firstColumn="1" w:lastColumn="0" w:noHBand="0" w:noVBand="1"/>
      </w:tblPr>
      <w:tblGrid>
        <w:gridCol w:w="4508"/>
        <w:gridCol w:w="4508"/>
      </w:tblGrid>
      <w:tr w:rsidR="0030672B" w:rsidRPr="0030672B" w14:paraId="693B2E2E" w14:textId="77777777" w:rsidTr="002736D2">
        <w:tc>
          <w:tcPr>
            <w:tcW w:w="4508" w:type="dxa"/>
          </w:tcPr>
          <w:p w14:paraId="23688806" w14:textId="77777777" w:rsidR="0030672B" w:rsidRPr="0030672B" w:rsidRDefault="0030672B" w:rsidP="002736D2">
            <w:pPr>
              <w:jc w:val="center"/>
              <w:rPr>
                <w:b/>
              </w:rPr>
            </w:pPr>
            <w:r w:rsidRPr="0030672B">
              <w:rPr>
                <w:b/>
              </w:rPr>
              <w:t>Inductances</w:t>
            </w:r>
          </w:p>
        </w:tc>
        <w:tc>
          <w:tcPr>
            <w:tcW w:w="4508" w:type="dxa"/>
          </w:tcPr>
          <w:p w14:paraId="7C371C07" w14:textId="77777777" w:rsidR="0030672B" w:rsidRPr="0030672B" w:rsidRDefault="0030672B" w:rsidP="002736D2">
            <w:pPr>
              <w:jc w:val="center"/>
              <w:rPr>
                <w:b/>
              </w:rPr>
            </w:pPr>
            <w:r w:rsidRPr="0030672B">
              <w:rPr>
                <w:b/>
              </w:rPr>
              <w:t>Values</w:t>
            </w:r>
          </w:p>
        </w:tc>
      </w:tr>
      <w:tr w:rsidR="0030672B" w:rsidRPr="0030672B" w14:paraId="6D9C3685" w14:textId="77777777" w:rsidTr="002736D2">
        <w:tc>
          <w:tcPr>
            <w:tcW w:w="4508" w:type="dxa"/>
          </w:tcPr>
          <w:p w14:paraId="1E677B72" w14:textId="77777777" w:rsidR="0030672B" w:rsidRPr="0030672B" w:rsidRDefault="0030672B" w:rsidP="002736D2">
            <w:pPr>
              <w:jc w:val="center"/>
            </w:pPr>
            <w:r w:rsidRPr="0030672B">
              <w:t>Transmitter Inductance</w:t>
            </w:r>
          </w:p>
        </w:tc>
        <w:tc>
          <w:tcPr>
            <w:tcW w:w="4508" w:type="dxa"/>
          </w:tcPr>
          <w:p w14:paraId="02F78B00" w14:textId="77777777" w:rsidR="0030672B" w:rsidRPr="0030672B" w:rsidRDefault="0030672B" w:rsidP="002736D2">
            <w:pPr>
              <w:jc w:val="center"/>
            </w:pPr>
          </w:p>
        </w:tc>
      </w:tr>
      <w:tr w:rsidR="0030672B" w:rsidRPr="0030672B" w14:paraId="09C5CB1B" w14:textId="77777777" w:rsidTr="002736D2">
        <w:tc>
          <w:tcPr>
            <w:tcW w:w="4508" w:type="dxa"/>
          </w:tcPr>
          <w:p w14:paraId="1CE47D03" w14:textId="77777777" w:rsidR="0030672B" w:rsidRPr="0030672B" w:rsidRDefault="0030672B" w:rsidP="002736D2">
            <w:pPr>
              <w:jc w:val="center"/>
            </w:pPr>
            <w:r w:rsidRPr="0030672B">
              <w:t>Receiver Inductance</w:t>
            </w:r>
          </w:p>
        </w:tc>
        <w:tc>
          <w:tcPr>
            <w:tcW w:w="4508" w:type="dxa"/>
          </w:tcPr>
          <w:p w14:paraId="049CADD7" w14:textId="77777777" w:rsidR="0030672B" w:rsidRPr="0030672B" w:rsidRDefault="0030672B" w:rsidP="002736D2">
            <w:pPr>
              <w:jc w:val="center"/>
            </w:pPr>
          </w:p>
        </w:tc>
      </w:tr>
      <w:tr w:rsidR="0030672B" w:rsidRPr="0030672B" w14:paraId="2A5CBC27" w14:textId="77777777" w:rsidTr="002736D2">
        <w:tc>
          <w:tcPr>
            <w:tcW w:w="4508" w:type="dxa"/>
          </w:tcPr>
          <w:p w14:paraId="040D6E8E" w14:textId="77777777" w:rsidR="0030672B" w:rsidRPr="0030672B" w:rsidRDefault="0030672B" w:rsidP="002736D2">
            <w:pPr>
              <w:jc w:val="center"/>
            </w:pPr>
            <w:r w:rsidRPr="0030672B">
              <w:t>Mutual Inductance</w:t>
            </w:r>
          </w:p>
        </w:tc>
        <w:tc>
          <w:tcPr>
            <w:tcW w:w="4508" w:type="dxa"/>
          </w:tcPr>
          <w:p w14:paraId="1256E35A" w14:textId="77777777" w:rsidR="0030672B" w:rsidRPr="0030672B" w:rsidRDefault="0030672B" w:rsidP="002736D2">
            <w:pPr>
              <w:jc w:val="center"/>
            </w:pPr>
          </w:p>
        </w:tc>
      </w:tr>
    </w:tbl>
    <w:p w14:paraId="4EDCC997" w14:textId="2862F9A7" w:rsidR="00B0132C" w:rsidRPr="0030672B" w:rsidRDefault="00B0132C" w:rsidP="00714AE3">
      <w:pPr>
        <w:pStyle w:val="Heading2"/>
        <w:rPr>
          <w:lang w:val="en-GB"/>
        </w:rPr>
      </w:pPr>
    </w:p>
    <w:p w14:paraId="1CF14C55" w14:textId="7C1535EA" w:rsidR="00B0132C" w:rsidRPr="0030672B" w:rsidRDefault="00B0132C" w:rsidP="001D02FF">
      <w:pPr>
        <w:jc w:val="both"/>
      </w:pPr>
    </w:p>
    <w:p w14:paraId="54C2447F" w14:textId="3BCAAAF5" w:rsidR="00A053F1" w:rsidRPr="0030672B" w:rsidRDefault="00A053F1" w:rsidP="001D02FF">
      <w:pPr>
        <w:jc w:val="both"/>
      </w:pPr>
    </w:p>
    <w:p w14:paraId="690D4547" w14:textId="77777777" w:rsidR="00A053F1" w:rsidRPr="0030672B" w:rsidRDefault="00A053F1" w:rsidP="001D02FF">
      <w:pPr>
        <w:jc w:val="both"/>
      </w:pPr>
    </w:p>
    <w:p w14:paraId="4D3828D7" w14:textId="7E83AABA" w:rsidR="00B0132C" w:rsidRPr="0030672B" w:rsidRDefault="00B0132C" w:rsidP="001D02FF">
      <w:pPr>
        <w:jc w:val="both"/>
      </w:pPr>
    </w:p>
    <w:p w14:paraId="1C398D9F" w14:textId="66FABD8A" w:rsidR="00B0132C" w:rsidRPr="0030672B" w:rsidRDefault="00B0132C" w:rsidP="001D02FF">
      <w:pPr>
        <w:jc w:val="both"/>
      </w:pPr>
    </w:p>
    <w:p w14:paraId="3C463A7D" w14:textId="6D3EA1B4" w:rsidR="00B0132C" w:rsidRPr="0030672B" w:rsidRDefault="00B0132C" w:rsidP="001D02FF">
      <w:pPr>
        <w:jc w:val="both"/>
      </w:pPr>
    </w:p>
    <w:p w14:paraId="16CE5D7F" w14:textId="05E58238" w:rsidR="00B0132C" w:rsidRPr="0030672B" w:rsidRDefault="00B0132C" w:rsidP="001D02FF">
      <w:pPr>
        <w:jc w:val="both"/>
      </w:pPr>
    </w:p>
    <w:p w14:paraId="50C150D8" w14:textId="234758A5" w:rsidR="00B0132C" w:rsidRPr="0030672B" w:rsidRDefault="00B0132C" w:rsidP="001D02FF">
      <w:pPr>
        <w:jc w:val="both"/>
      </w:pPr>
    </w:p>
    <w:p w14:paraId="0320742F" w14:textId="0F15D212" w:rsidR="00B0132C" w:rsidRPr="0030672B" w:rsidRDefault="00B0132C" w:rsidP="001D02FF">
      <w:pPr>
        <w:jc w:val="both"/>
      </w:pPr>
    </w:p>
    <w:p w14:paraId="5328A959" w14:textId="59F59DA3" w:rsidR="00B0132C" w:rsidRPr="0030672B" w:rsidRDefault="00B0132C" w:rsidP="001D02FF">
      <w:pPr>
        <w:jc w:val="both"/>
      </w:pPr>
    </w:p>
    <w:p w14:paraId="33A13B77" w14:textId="0692560E" w:rsidR="00890F6B" w:rsidRPr="0030672B" w:rsidRDefault="00890F6B" w:rsidP="000A4A94">
      <w:pPr>
        <w:jc w:val="both"/>
      </w:pPr>
    </w:p>
    <w:sectPr w:rsidR="00890F6B" w:rsidRPr="00306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48497" w14:textId="77777777" w:rsidR="00C27601" w:rsidRDefault="00C27601" w:rsidP="0022081E">
      <w:pPr>
        <w:spacing w:after="0" w:line="240" w:lineRule="auto"/>
      </w:pPr>
      <w:r>
        <w:separator/>
      </w:r>
    </w:p>
  </w:endnote>
  <w:endnote w:type="continuationSeparator" w:id="0">
    <w:p w14:paraId="1529B161" w14:textId="77777777" w:rsidR="00C27601" w:rsidRDefault="00C27601" w:rsidP="0022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18A0" w14:textId="77777777" w:rsidR="00C27601" w:rsidRDefault="00C27601" w:rsidP="0022081E">
      <w:pPr>
        <w:spacing w:after="0" w:line="240" w:lineRule="auto"/>
      </w:pPr>
      <w:r>
        <w:separator/>
      </w:r>
    </w:p>
  </w:footnote>
  <w:footnote w:type="continuationSeparator" w:id="0">
    <w:p w14:paraId="28A89E16" w14:textId="77777777" w:rsidR="00C27601" w:rsidRDefault="00C27601" w:rsidP="00220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04BAE"/>
    <w:multiLevelType w:val="hybridMultilevel"/>
    <w:tmpl w:val="1A860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47784"/>
    <w:multiLevelType w:val="hybridMultilevel"/>
    <w:tmpl w:val="2B864012"/>
    <w:lvl w:ilvl="0" w:tplc="C1A8DD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9E3D3A"/>
    <w:multiLevelType w:val="hybridMultilevel"/>
    <w:tmpl w:val="BC76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716CF"/>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D194B"/>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4D36"/>
    <w:rsid w:val="00016105"/>
    <w:rsid w:val="00017EF9"/>
    <w:rsid w:val="00024A81"/>
    <w:rsid w:val="00040118"/>
    <w:rsid w:val="00047100"/>
    <w:rsid w:val="00056332"/>
    <w:rsid w:val="0006294B"/>
    <w:rsid w:val="000733A6"/>
    <w:rsid w:val="00087451"/>
    <w:rsid w:val="000A2BFD"/>
    <w:rsid w:val="000A4A94"/>
    <w:rsid w:val="000B2E60"/>
    <w:rsid w:val="000B48FF"/>
    <w:rsid w:val="000E4E5E"/>
    <w:rsid w:val="000E5A30"/>
    <w:rsid w:val="00125FA4"/>
    <w:rsid w:val="00133D4B"/>
    <w:rsid w:val="00135250"/>
    <w:rsid w:val="00137DE7"/>
    <w:rsid w:val="00146141"/>
    <w:rsid w:val="00163E6B"/>
    <w:rsid w:val="001678E2"/>
    <w:rsid w:val="001713E7"/>
    <w:rsid w:val="00173081"/>
    <w:rsid w:val="00173516"/>
    <w:rsid w:val="00180ED3"/>
    <w:rsid w:val="00182919"/>
    <w:rsid w:val="00183948"/>
    <w:rsid w:val="001A68B2"/>
    <w:rsid w:val="001B3FE4"/>
    <w:rsid w:val="001B423C"/>
    <w:rsid w:val="001C5E46"/>
    <w:rsid w:val="001D02FF"/>
    <w:rsid w:val="00200A04"/>
    <w:rsid w:val="00215A32"/>
    <w:rsid w:val="0021646D"/>
    <w:rsid w:val="002200E7"/>
    <w:rsid w:val="0022081E"/>
    <w:rsid w:val="00222A95"/>
    <w:rsid w:val="0022303C"/>
    <w:rsid w:val="0022455C"/>
    <w:rsid w:val="00232675"/>
    <w:rsid w:val="0027636B"/>
    <w:rsid w:val="00281279"/>
    <w:rsid w:val="0028206D"/>
    <w:rsid w:val="002A4320"/>
    <w:rsid w:val="002C0610"/>
    <w:rsid w:val="002D044C"/>
    <w:rsid w:val="002D45C1"/>
    <w:rsid w:val="002F261C"/>
    <w:rsid w:val="002F687D"/>
    <w:rsid w:val="002F7118"/>
    <w:rsid w:val="00304CE4"/>
    <w:rsid w:val="0030672B"/>
    <w:rsid w:val="003140AD"/>
    <w:rsid w:val="00315C51"/>
    <w:rsid w:val="00331497"/>
    <w:rsid w:val="00334F86"/>
    <w:rsid w:val="00347C6B"/>
    <w:rsid w:val="00363180"/>
    <w:rsid w:val="00365A89"/>
    <w:rsid w:val="003725E5"/>
    <w:rsid w:val="0037391D"/>
    <w:rsid w:val="0038266E"/>
    <w:rsid w:val="003848CD"/>
    <w:rsid w:val="00386F7F"/>
    <w:rsid w:val="00391C15"/>
    <w:rsid w:val="00391D44"/>
    <w:rsid w:val="0039252F"/>
    <w:rsid w:val="003A0A4E"/>
    <w:rsid w:val="003A1528"/>
    <w:rsid w:val="003B18BB"/>
    <w:rsid w:val="003C0D4B"/>
    <w:rsid w:val="003C68AA"/>
    <w:rsid w:val="003C6F1F"/>
    <w:rsid w:val="003D1D09"/>
    <w:rsid w:val="003D2BC0"/>
    <w:rsid w:val="003D460E"/>
    <w:rsid w:val="003E2E69"/>
    <w:rsid w:val="003E4F10"/>
    <w:rsid w:val="003E75AA"/>
    <w:rsid w:val="003F05F3"/>
    <w:rsid w:val="003F1A6C"/>
    <w:rsid w:val="003F4275"/>
    <w:rsid w:val="003F6C3F"/>
    <w:rsid w:val="00411FF0"/>
    <w:rsid w:val="00421733"/>
    <w:rsid w:val="00430E8B"/>
    <w:rsid w:val="00432940"/>
    <w:rsid w:val="00440CE7"/>
    <w:rsid w:val="00442C18"/>
    <w:rsid w:val="004461F7"/>
    <w:rsid w:val="0045469A"/>
    <w:rsid w:val="004633D7"/>
    <w:rsid w:val="00466DB7"/>
    <w:rsid w:val="00477F45"/>
    <w:rsid w:val="00494045"/>
    <w:rsid w:val="004959AC"/>
    <w:rsid w:val="004B014A"/>
    <w:rsid w:val="004B607E"/>
    <w:rsid w:val="004C2073"/>
    <w:rsid w:val="004C60FA"/>
    <w:rsid w:val="004D0DB8"/>
    <w:rsid w:val="004D16D0"/>
    <w:rsid w:val="004E6AAE"/>
    <w:rsid w:val="00501C3B"/>
    <w:rsid w:val="0050400A"/>
    <w:rsid w:val="00506054"/>
    <w:rsid w:val="00532ABE"/>
    <w:rsid w:val="00532D07"/>
    <w:rsid w:val="00536372"/>
    <w:rsid w:val="00545B2D"/>
    <w:rsid w:val="00545E78"/>
    <w:rsid w:val="00550AA1"/>
    <w:rsid w:val="00552DD9"/>
    <w:rsid w:val="00554A9B"/>
    <w:rsid w:val="00562D99"/>
    <w:rsid w:val="00574891"/>
    <w:rsid w:val="00576889"/>
    <w:rsid w:val="00582B0A"/>
    <w:rsid w:val="00586F07"/>
    <w:rsid w:val="005A22C9"/>
    <w:rsid w:val="005B4D52"/>
    <w:rsid w:val="005D0C06"/>
    <w:rsid w:val="005D19AB"/>
    <w:rsid w:val="005D2226"/>
    <w:rsid w:val="005D5D0C"/>
    <w:rsid w:val="005E00F3"/>
    <w:rsid w:val="005E2851"/>
    <w:rsid w:val="005F5302"/>
    <w:rsid w:val="005F7DAC"/>
    <w:rsid w:val="00606EAD"/>
    <w:rsid w:val="00612E21"/>
    <w:rsid w:val="006257F1"/>
    <w:rsid w:val="00630B3F"/>
    <w:rsid w:val="00644026"/>
    <w:rsid w:val="00670774"/>
    <w:rsid w:val="00673E42"/>
    <w:rsid w:val="006A0AB4"/>
    <w:rsid w:val="006C4535"/>
    <w:rsid w:val="006D2D35"/>
    <w:rsid w:val="006D6129"/>
    <w:rsid w:val="006E059C"/>
    <w:rsid w:val="006E1E5D"/>
    <w:rsid w:val="006E30A5"/>
    <w:rsid w:val="006E7D3A"/>
    <w:rsid w:val="006F06C9"/>
    <w:rsid w:val="00701635"/>
    <w:rsid w:val="00710060"/>
    <w:rsid w:val="00714AE3"/>
    <w:rsid w:val="0072237E"/>
    <w:rsid w:val="00726D34"/>
    <w:rsid w:val="00737C1C"/>
    <w:rsid w:val="00763367"/>
    <w:rsid w:val="00765184"/>
    <w:rsid w:val="0076606A"/>
    <w:rsid w:val="00793BAC"/>
    <w:rsid w:val="00793C08"/>
    <w:rsid w:val="007959E1"/>
    <w:rsid w:val="007A1A02"/>
    <w:rsid w:val="007B1AA0"/>
    <w:rsid w:val="007E379A"/>
    <w:rsid w:val="007F6610"/>
    <w:rsid w:val="007F7D4D"/>
    <w:rsid w:val="00801CC0"/>
    <w:rsid w:val="00803E50"/>
    <w:rsid w:val="00806CBE"/>
    <w:rsid w:val="0082796E"/>
    <w:rsid w:val="00853EE0"/>
    <w:rsid w:val="00866231"/>
    <w:rsid w:val="00866CD6"/>
    <w:rsid w:val="008673AD"/>
    <w:rsid w:val="00880887"/>
    <w:rsid w:val="00886217"/>
    <w:rsid w:val="00890F6B"/>
    <w:rsid w:val="008A78C9"/>
    <w:rsid w:val="008D2D4D"/>
    <w:rsid w:val="008D7A95"/>
    <w:rsid w:val="008E63FB"/>
    <w:rsid w:val="0090705A"/>
    <w:rsid w:val="00932B0C"/>
    <w:rsid w:val="00935423"/>
    <w:rsid w:val="0095388A"/>
    <w:rsid w:val="0096237B"/>
    <w:rsid w:val="0096345B"/>
    <w:rsid w:val="00967766"/>
    <w:rsid w:val="00972CEE"/>
    <w:rsid w:val="00974398"/>
    <w:rsid w:val="00987435"/>
    <w:rsid w:val="00992BE4"/>
    <w:rsid w:val="00995E72"/>
    <w:rsid w:val="009A5B5D"/>
    <w:rsid w:val="009B28F8"/>
    <w:rsid w:val="009B4388"/>
    <w:rsid w:val="009B6B81"/>
    <w:rsid w:val="009B6CFE"/>
    <w:rsid w:val="009B781A"/>
    <w:rsid w:val="009D70E1"/>
    <w:rsid w:val="009E6A30"/>
    <w:rsid w:val="009E6BD6"/>
    <w:rsid w:val="009F336E"/>
    <w:rsid w:val="009F7307"/>
    <w:rsid w:val="00A053F1"/>
    <w:rsid w:val="00A06F74"/>
    <w:rsid w:val="00A11E3E"/>
    <w:rsid w:val="00A17F61"/>
    <w:rsid w:val="00A21729"/>
    <w:rsid w:val="00A511E9"/>
    <w:rsid w:val="00A602CF"/>
    <w:rsid w:val="00A60FF2"/>
    <w:rsid w:val="00A70833"/>
    <w:rsid w:val="00A764E7"/>
    <w:rsid w:val="00A80D63"/>
    <w:rsid w:val="00A83C59"/>
    <w:rsid w:val="00A85ED0"/>
    <w:rsid w:val="00A868DA"/>
    <w:rsid w:val="00AA5C37"/>
    <w:rsid w:val="00AA6D53"/>
    <w:rsid w:val="00AB0DE8"/>
    <w:rsid w:val="00AC0986"/>
    <w:rsid w:val="00AE2DDA"/>
    <w:rsid w:val="00AF6CD9"/>
    <w:rsid w:val="00B0132C"/>
    <w:rsid w:val="00B11A70"/>
    <w:rsid w:val="00B30DE1"/>
    <w:rsid w:val="00B43E7E"/>
    <w:rsid w:val="00B44310"/>
    <w:rsid w:val="00B46CCB"/>
    <w:rsid w:val="00B50D28"/>
    <w:rsid w:val="00B52758"/>
    <w:rsid w:val="00B87103"/>
    <w:rsid w:val="00B9401C"/>
    <w:rsid w:val="00B94DDE"/>
    <w:rsid w:val="00BA23E6"/>
    <w:rsid w:val="00BA4DD1"/>
    <w:rsid w:val="00BB7B6E"/>
    <w:rsid w:val="00BC6555"/>
    <w:rsid w:val="00BD09CD"/>
    <w:rsid w:val="00BF276B"/>
    <w:rsid w:val="00C01D80"/>
    <w:rsid w:val="00C10F02"/>
    <w:rsid w:val="00C12A4F"/>
    <w:rsid w:val="00C135D8"/>
    <w:rsid w:val="00C218B2"/>
    <w:rsid w:val="00C27601"/>
    <w:rsid w:val="00C52075"/>
    <w:rsid w:val="00C637B8"/>
    <w:rsid w:val="00C65255"/>
    <w:rsid w:val="00C706B0"/>
    <w:rsid w:val="00C708A3"/>
    <w:rsid w:val="00C76261"/>
    <w:rsid w:val="00C859F1"/>
    <w:rsid w:val="00CA418C"/>
    <w:rsid w:val="00CB2CEE"/>
    <w:rsid w:val="00CB46E2"/>
    <w:rsid w:val="00CC03AA"/>
    <w:rsid w:val="00CC10FD"/>
    <w:rsid w:val="00CC29C1"/>
    <w:rsid w:val="00CC73E4"/>
    <w:rsid w:val="00CD04C0"/>
    <w:rsid w:val="00CD7202"/>
    <w:rsid w:val="00CD734C"/>
    <w:rsid w:val="00CF4B23"/>
    <w:rsid w:val="00CF5918"/>
    <w:rsid w:val="00D05D20"/>
    <w:rsid w:val="00D0623F"/>
    <w:rsid w:val="00D10D45"/>
    <w:rsid w:val="00D132CB"/>
    <w:rsid w:val="00D16551"/>
    <w:rsid w:val="00D21137"/>
    <w:rsid w:val="00D24AF0"/>
    <w:rsid w:val="00D26473"/>
    <w:rsid w:val="00D5067B"/>
    <w:rsid w:val="00D50D74"/>
    <w:rsid w:val="00D51FBB"/>
    <w:rsid w:val="00D54C76"/>
    <w:rsid w:val="00D5601F"/>
    <w:rsid w:val="00D76442"/>
    <w:rsid w:val="00D804DA"/>
    <w:rsid w:val="00D86562"/>
    <w:rsid w:val="00D90204"/>
    <w:rsid w:val="00D93038"/>
    <w:rsid w:val="00D97741"/>
    <w:rsid w:val="00DA0E91"/>
    <w:rsid w:val="00DA18A1"/>
    <w:rsid w:val="00DA4D53"/>
    <w:rsid w:val="00DA6AC5"/>
    <w:rsid w:val="00DA6B8D"/>
    <w:rsid w:val="00DA750B"/>
    <w:rsid w:val="00DB03C8"/>
    <w:rsid w:val="00DC1376"/>
    <w:rsid w:val="00DC2B70"/>
    <w:rsid w:val="00DD3AEA"/>
    <w:rsid w:val="00E056A8"/>
    <w:rsid w:val="00E07E2B"/>
    <w:rsid w:val="00E11416"/>
    <w:rsid w:val="00E15041"/>
    <w:rsid w:val="00E37D8F"/>
    <w:rsid w:val="00E437CC"/>
    <w:rsid w:val="00E652BA"/>
    <w:rsid w:val="00E67EC2"/>
    <w:rsid w:val="00E82378"/>
    <w:rsid w:val="00E82EE4"/>
    <w:rsid w:val="00EA3429"/>
    <w:rsid w:val="00EB174A"/>
    <w:rsid w:val="00EE6249"/>
    <w:rsid w:val="00F11372"/>
    <w:rsid w:val="00F146FB"/>
    <w:rsid w:val="00F20C88"/>
    <w:rsid w:val="00F25B9E"/>
    <w:rsid w:val="00F34CDC"/>
    <w:rsid w:val="00F44172"/>
    <w:rsid w:val="00F66508"/>
    <w:rsid w:val="00F92858"/>
    <w:rsid w:val="00FA5A02"/>
    <w:rsid w:val="00FC34CD"/>
    <w:rsid w:val="00FC5AF1"/>
    <w:rsid w:val="00FE3770"/>
    <w:rsid w:val="00FE4702"/>
    <w:rsid w:val="00FF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 w:type="paragraph" w:styleId="Header">
    <w:name w:val="header"/>
    <w:basedOn w:val="Normal"/>
    <w:link w:val="HeaderChar"/>
    <w:uiPriority w:val="99"/>
    <w:unhideWhenUsed/>
    <w:rsid w:val="0022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81E"/>
    <w:rPr>
      <w:rFonts w:ascii="Times New Roman" w:hAnsi="Times New Roman"/>
      <w:sz w:val="24"/>
    </w:rPr>
  </w:style>
  <w:style w:type="paragraph" w:styleId="Footer">
    <w:name w:val="footer"/>
    <w:basedOn w:val="Normal"/>
    <w:link w:val="FooterChar"/>
    <w:uiPriority w:val="99"/>
    <w:unhideWhenUsed/>
    <w:rsid w:val="0022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8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780950288">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 w:id="1634093661">
      <w:bodyDiv w:val="1"/>
      <w:marLeft w:val="0"/>
      <w:marRight w:val="0"/>
      <w:marTop w:val="0"/>
      <w:marBottom w:val="0"/>
      <w:divBdr>
        <w:top w:val="none" w:sz="0" w:space="0" w:color="auto"/>
        <w:left w:val="none" w:sz="0" w:space="0" w:color="auto"/>
        <w:bottom w:val="none" w:sz="0" w:space="0" w:color="auto"/>
        <w:right w:val="none" w:sz="0" w:space="0" w:color="auto"/>
      </w:divBdr>
    </w:div>
    <w:div w:id="19184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2214-74E8-485C-83A3-1FD88230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5061</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204</cp:revision>
  <cp:lastPrinted>2020-05-03T20:13:00Z</cp:lastPrinted>
  <dcterms:created xsi:type="dcterms:W3CDTF">2020-03-05T16:45:00Z</dcterms:created>
  <dcterms:modified xsi:type="dcterms:W3CDTF">2020-06-27T20:03:00Z</dcterms:modified>
</cp:coreProperties>
</file>