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F1721A">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"[11]"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A23E4E">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‘de 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A23E4E">
        <w:rPr>
          <w:noProof/>
        </w:rPr>
        <w:t>2</w:t>
      </w:r>
      <w:r>
        <w:fldChar w:fldCharType="end"/>
      </w:r>
      <w:bookmarkEnd w:id="1"/>
      <w:r>
        <w:t>. Ayrık sargılı motor yapısı ve farklı tipte motor sürücü bağlantıları</w:t>
      </w:r>
      <w:bookmarkStart w:id="2" w:name="_GoBack"/>
      <w:bookmarkEnd w:id="2"/>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 </w:t>
      </w:r>
      <w:r w:rsidR="005B2D2E" w:rsidRPr="005B2D2E">
        <w:rPr>
          <w:color w:val="FF0000"/>
          <w:sz w:val="18"/>
          <w:szCs w:val="18"/>
        </w:rPr>
        <w:t>(ref)</w:t>
      </w:r>
      <w:r w:rsidR="005B2D2E">
        <w:rPr>
          <w:sz w:val="18"/>
          <w:szCs w:val="18"/>
        </w:rPr>
        <w:t>. GaN ile geliştirilen TMMS sistemlerinin verimleri de, hem anma değerlerinde hem de tüm güç çıkışı aralığında yüksek olmuştur (</w:t>
      </w:r>
      <w:r w:rsidR="005B2D2E" w:rsidRPr="005B2D2E">
        <w:rPr>
          <w:color w:val="FF0000"/>
          <w:sz w:val="18"/>
          <w:szCs w:val="18"/>
        </w:rPr>
        <w:t>ref</w:t>
      </w:r>
      <w:r w:rsidR="005B2D2E">
        <w:rPr>
          <w:sz w:val="18"/>
          <w:szCs w:val="18"/>
        </w:rPr>
        <w:t>). (</w:t>
      </w:r>
      <w:r w:rsidR="005B2D2E" w:rsidRPr="005B2D2E">
        <w:rPr>
          <w:color w:val="FF0000"/>
          <w:sz w:val="18"/>
          <w:szCs w:val="18"/>
        </w:rPr>
        <w:t>ref</w:t>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 xml:space="preserve">TMMS uygulamalarında DA bara karakterizasyonu ve DA bara kondansatörü seçimi özellikle kritiktir çünkü bu kondansatörler sistemin hacminin ve ağırlığının büyük bir kısmını oluşturmaktadır </w:t>
      </w:r>
      <w:r w:rsidRPr="00D930E2">
        <w:rPr>
          <w:color w:val="FF0000"/>
          <w:sz w:val="18"/>
          <w:szCs w:val="18"/>
        </w:rPr>
        <w:t>(ref)</w:t>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 ayrıca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 ısıl model ve kondansatör ömrü üzerine etkileri, kondansatör yüksekliği vb. parametreler de incelenmelidir.</w:t>
      </w:r>
    </w:p>
    <w:p w:rsidR="0031613C" w:rsidRDefault="0031613C" w:rsidP="00D56760">
      <w:pPr>
        <w:rPr>
          <w:sz w:val="18"/>
          <w:szCs w:val="18"/>
        </w:rPr>
      </w:pPr>
    </w:p>
    <w:p w:rsidR="00D56760" w:rsidRPr="009D09D2" w:rsidRDefault="00D56760" w:rsidP="00D56760">
      <w:pPr>
        <w:pStyle w:val="Heading1"/>
      </w:pPr>
      <w:r>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w:t>
      </w:r>
      <w:r w:rsidR="00403DC2">
        <w:lastRenderedPageBreak/>
        <w:t xml:space="preserve">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403DC2" w:rsidRDefault="00403DC2" w:rsidP="00403DC2">
      <w:pPr>
        <w:pStyle w:val="Caption"/>
        <w:keepNext/>
        <w:jc w:val="center"/>
      </w:pPr>
      <w:bookmarkStart w:id="3" w:name="_Ref483050677"/>
      <w:r>
        <w:t xml:space="preserve">Tablo </w:t>
      </w:r>
      <w:r>
        <w:fldChar w:fldCharType="begin"/>
      </w:r>
      <w:r>
        <w:instrText xml:space="preserve"> SEQ Tablo \* ARABIC </w:instrText>
      </w:r>
      <w:r>
        <w:fldChar w:fldCharType="separate"/>
      </w:r>
      <w:r w:rsidR="000C3B19">
        <w:rPr>
          <w:noProof/>
        </w:rPr>
        <w:t>1</w:t>
      </w:r>
      <w:r>
        <w:fldChar w:fldCharType="end"/>
      </w:r>
      <w:bookmarkEnd w:id="3"/>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2062DA" w:rsidP="00403DC2">
            <w:pPr>
              <w:ind w:right="45"/>
              <w:jc w:val="center"/>
              <w:rPr>
                <w:sz w:val="18"/>
              </w:rPr>
            </w:pPr>
            <w:r>
              <w:rPr>
                <w:sz w:val="18"/>
              </w:rPr>
              <w:t>Motor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795619" w:rsidP="00403DC2">
            <w:pPr>
              <w:ind w:right="45"/>
              <w:jc w:val="center"/>
              <w:rPr>
                <w:sz w:val="18"/>
              </w:rPr>
            </w:pPr>
            <w:r>
              <w:rPr>
                <w:sz w:val="18"/>
              </w:rPr>
              <w:t>Motor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2D44E0" w:rsidP="00D56760">
      <w:pPr>
        <w:pStyle w:val="BodyTextKeep"/>
        <w:ind w:right="0"/>
      </w:pPr>
      <w:r>
        <w:object w:dxaOrig="5401" w:dyaOrig="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119.05pt" o:ole="">
            <v:imagedata r:id="rId11" o:title=""/>
          </v:shape>
          <o:OLEObject Type="Embed" ProgID="Visio.Drawing.15" ShapeID="_x0000_i1025" DrawAspect="Content" ObjectID="_1558775950" r:id="rId12"/>
        </w:object>
      </w:r>
    </w:p>
    <w:p w:rsidR="00951A75" w:rsidRDefault="002D44E0" w:rsidP="00951A75">
      <w:pPr>
        <w:pStyle w:val="Caption"/>
      </w:pPr>
      <w:bookmarkStart w:id="4" w:name="_Ref484542839"/>
      <w:r>
        <w:t xml:space="preserve">Şekil </w:t>
      </w:r>
      <w:r>
        <w:fldChar w:fldCharType="begin"/>
      </w:r>
      <w:r>
        <w:instrText xml:space="preserve"> SEQ Şekil \* ARABIC </w:instrText>
      </w:r>
      <w:r>
        <w:fldChar w:fldCharType="separate"/>
      </w:r>
      <w:r w:rsidR="00A23E4E">
        <w:rPr>
          <w:noProof/>
        </w:rPr>
        <w:t>3</w:t>
      </w:r>
      <w:r>
        <w:fldChar w:fldCharType="end"/>
      </w:r>
      <w:r>
        <w:t>: Sistemde kullanılan doğrultucu devre şeması</w:t>
      </w:r>
      <w:bookmarkEnd w:id="4"/>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GBA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A23E4E" w:rsidRPr="00A23E4E">
        <w:rPr>
          <w:color w:val="FF0000"/>
          <w:sz w:val="18"/>
          <w:szCs w:val="18"/>
        </w:rPr>
        <w:t xml:space="preserve"> (ref)</w:t>
      </w:r>
      <w:r w:rsidR="00951A75" w:rsidRPr="00951A75">
        <w:rPr>
          <w:sz w:val="18"/>
          <w:szCs w:val="18"/>
        </w:rPr>
        <w:t xml:space="preserve">. </w:t>
      </w:r>
      <w:r w:rsidR="00951A75">
        <w:rPr>
          <w:sz w:val="18"/>
          <w:szCs w:val="18"/>
        </w:rPr>
        <w:t>İki seviyeli evirici modülleri kullanıldığında mevcut DA bara gerilimine uyumlu olarak gerekli olan transistör minimum dayanma gerilimi DA baranın 1.5 katı, yani 810 V olmalıdır.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w:t>
      </w:r>
      <w:r w:rsidR="002062DA">
        <w:t xml:space="preserve">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5" w:name="_Ref484544822"/>
      <w:r>
        <w:t xml:space="preserve">Şekil </w:t>
      </w:r>
      <w:r>
        <w:fldChar w:fldCharType="begin"/>
      </w:r>
      <w:r>
        <w:instrText xml:space="preserve"> SEQ Şekil \* ARABIC </w:instrText>
      </w:r>
      <w:r>
        <w:fldChar w:fldCharType="separate"/>
      </w:r>
      <w:r>
        <w:rPr>
          <w:noProof/>
        </w:rPr>
        <w:t>4</w:t>
      </w:r>
      <w:r>
        <w:fldChar w:fldCharType="end"/>
      </w:r>
      <w:r>
        <w:t>: Interleaving tekniği kullanıldığında DA bara akımının etkin değerinin farklı modül sayıları ve faz kayması açılarına göre değişimi</w:t>
      </w:r>
      <w:bookmarkEnd w:id="5"/>
    </w:p>
    <w:p w:rsidR="00A23E4E" w:rsidRDefault="00A23E4E" w:rsidP="00A23E4E">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Belirtilen dayanma gerilimlerinde şu anda piyasada iki tip GaN bulunmaktadır: Transphorm tarafından üretilen kaskod yapıdaki GaN’lar ve GaN Systems tarafından üretilen enhancement mode GaN’lar. GaN seçiminde ilk olarak gerekli anma akımı değeri hesaplanmalıdır. Bunun için de, motor sargı gerilimleri hesaplanmalıdır. Bir modülün bir fazına ait motor sargı gerilimi etkin değeri gösterilmiştir.</w:t>
      </w:r>
    </w:p>
    <w:p w:rsidR="00A23E4E" w:rsidRDefault="00A23E4E" w:rsidP="00A23E4E">
      <w:pPr>
        <w:rPr>
          <w:sz w:val="18"/>
          <w:szCs w:val="18"/>
        </w:rPr>
      </w:pPr>
    </w:p>
    <w:p w:rsidR="00F46070" w:rsidRPr="00022EEE" w:rsidRDefault="00F46070" w:rsidP="00A23E4E">
      <w:pPr>
        <w:rPr>
          <w:sz w:val="18"/>
          <w:szCs w:val="18"/>
        </w:rPr>
      </w:pPr>
      <m:oMathPara>
        <m:oMath>
          <m:r>
            <w:rPr>
              <w:rFonts w:ascii="Cambria Math" w:hAnsi="Cambria Math"/>
              <w:sz w:val="18"/>
              <w:szCs w:val="18"/>
            </w:rPr>
            <m:t xml:space="preserve">E=4.44 x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x f x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x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p w:rsidR="00022EEE" w:rsidRDefault="00022EEE" w:rsidP="00A23E4E">
      <w:pPr>
        <w:rPr>
          <w:sz w:val="18"/>
          <w:szCs w:val="18"/>
        </w:rPr>
      </w:pPr>
    </w:p>
    <w:p w:rsidR="00022EEE" w:rsidRDefault="00022EEE" w:rsidP="00A23E4E">
      <w:pPr>
        <w:rPr>
          <w:sz w:val="18"/>
          <w:szCs w:val="18"/>
        </w:rPr>
      </w:pPr>
      <w:r>
        <w:rPr>
          <w:sz w:val="18"/>
          <w:szCs w:val="18"/>
        </w:rPr>
        <w:t>Bu eşitlikte, N</w:t>
      </w:r>
      <w:r w:rsidRPr="00022EEE">
        <w:rPr>
          <w:sz w:val="18"/>
          <w:szCs w:val="18"/>
          <w:vertAlign w:val="subscript"/>
        </w:rPr>
        <w:t>phm</w:t>
      </w:r>
      <w:r>
        <w:rPr>
          <w:sz w:val="18"/>
          <w:szCs w:val="18"/>
        </w:rPr>
        <w:t>, faz başına ve modül başına sarım sayısı olarak tanımlanabilir.</w:t>
      </w:r>
      <w:r w:rsidR="0097562A">
        <w:rPr>
          <w:sz w:val="18"/>
          <w:szCs w:val="18"/>
        </w:rPr>
        <w:t xml:space="preserve"> </w:t>
      </w:r>
      <w:r w:rsidR="00191FEC">
        <w:rPr>
          <w:sz w:val="18"/>
          <w:szCs w:val="18"/>
        </w:rPr>
        <w:t>Bu çalışmada sarım içi tur sayısı 2</w:t>
      </w:r>
      <w:r w:rsidR="00A25E4B">
        <w:rPr>
          <w:sz w:val="18"/>
          <w:szCs w:val="18"/>
        </w:rPr>
        <w:t>2</w:t>
      </w:r>
      <w:r w:rsidR="00191FEC">
        <w:rPr>
          <w:sz w:val="18"/>
          <w:szCs w:val="18"/>
        </w:rPr>
        <w:t xml:space="preserve"> olarak seçilmiştir. Bu şekilde toplam tur sayısı şu şekilde bulunabilir.</w:t>
      </w:r>
    </w:p>
    <w:p w:rsidR="00191FEC" w:rsidRPr="00191FEC" w:rsidRDefault="00B125CF" w:rsidP="00A23E4E">
      <w:pP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layer x zQ x w</m:t>
              </m:r>
            </m:num>
            <m:den>
              <m:r>
                <w:rPr>
                  <w:rFonts w:ascii="Cambria Math" w:hAnsi="Cambria Math"/>
                  <w:sz w:val="18"/>
                  <w:szCs w:val="18"/>
                </w:rPr>
                <m:t>2</m:t>
              </m:r>
            </m:den>
          </m:f>
          <m:r>
            <w:rPr>
              <w:rFonts w:ascii="Cambria Math" w:hAnsi="Cambria Math"/>
              <w:sz w:val="18"/>
              <w:szCs w:val="18"/>
            </w:rPr>
            <m:t>=88</m:t>
          </m:r>
        </m:oMath>
      </m:oMathPara>
    </w:p>
    <w:p w:rsidR="00191FEC" w:rsidRDefault="00191FEC" w:rsidP="00A23E4E">
      <w:pPr>
        <w:rPr>
          <w:sz w:val="18"/>
          <w:szCs w:val="18"/>
        </w:rPr>
      </w:pPr>
      <w:r>
        <w:rPr>
          <w:sz w:val="18"/>
          <w:szCs w:val="18"/>
        </w:rPr>
        <w:t>Ayrıca motor hava aralığındaki tepe akı yoğunluğu 0.9 olarak alındığında, kutup başına akı yoğunluğu şu şekilde bulunabilir.</w:t>
      </w:r>
    </w:p>
    <w:p w:rsidR="00191FEC" w:rsidRDefault="00191FEC" w:rsidP="00A23E4E">
      <w:pPr>
        <w:rPr>
          <w:sz w:val="18"/>
          <w:szCs w:val="18"/>
        </w:rPr>
      </w:pPr>
    </w:p>
    <w:p w:rsidR="00191FEC" w:rsidRPr="00191FEC" w:rsidRDefault="00191FEC" w:rsidP="00A23E4E">
      <w:pPr>
        <w:rPr>
          <w:sz w:val="18"/>
          <w:szCs w:val="18"/>
        </w:rPr>
      </w:pPr>
      <m:oMathPara>
        <m:oMath>
          <m:r>
            <w:rPr>
              <w:rFonts w:ascii="Cambria Math" w:hAnsi="Cambria Math"/>
              <w:sz w:val="18"/>
              <w:szCs w:val="18"/>
            </w:rPr>
            <w:lastRenderedPageBreak/>
            <m:t xml:space="preserve">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x L x D</m:t>
              </m:r>
            </m:num>
            <m:den>
              <m:r>
                <w:rPr>
                  <w:rFonts w:ascii="Cambria Math" w:hAnsi="Cambria Math"/>
                  <w:sz w:val="18"/>
                  <w:szCs w:val="18"/>
                </w:rPr>
                <m:t>p</m:t>
              </m:r>
            </m:den>
          </m:f>
          <m:r>
            <w:rPr>
              <w:rFonts w:ascii="Cambria Math" w:hAnsi="Cambria Math"/>
              <w:sz w:val="18"/>
              <w:szCs w:val="18"/>
            </w:rPr>
            <m:t>=1.06 mWb</m:t>
          </m:r>
        </m:oMath>
      </m:oMathPara>
    </w:p>
    <w:p w:rsidR="00191FEC" w:rsidRDefault="00191FEC" w:rsidP="00A23E4E">
      <w:pPr>
        <w:rPr>
          <w:sz w:val="18"/>
          <w:szCs w:val="18"/>
        </w:rPr>
      </w:pPr>
      <w:r>
        <w:rPr>
          <w:sz w:val="18"/>
          <w:szCs w:val="18"/>
        </w:rPr>
        <w:t>Fraksiyonel oluklu makinalara yönelik varolan tablolara bakıldığında sarım faktörü 48/40 oluk/kutup oranı için 0.933’tür</w:t>
      </w:r>
      <w:r w:rsidR="001210DD">
        <w:rPr>
          <w:sz w:val="18"/>
          <w:szCs w:val="18"/>
        </w:rPr>
        <w:t xml:space="preserve"> </w:t>
      </w:r>
      <w:r w:rsidR="001210DD" w:rsidRPr="001210DD">
        <w:rPr>
          <w:color w:val="FF0000"/>
          <w:sz w:val="18"/>
          <w:szCs w:val="18"/>
        </w:rPr>
        <w:t>(ref)</w:t>
      </w:r>
      <w:r>
        <w:rPr>
          <w:sz w:val="18"/>
          <w:szCs w:val="18"/>
        </w:rPr>
        <w:t>. Son olarak, gerekli anma rotor hızı için gerekli olan stator akım frekansı da şu şekilde bulunabilir.</w:t>
      </w:r>
    </w:p>
    <w:p w:rsidR="00191FEC" w:rsidRDefault="00191FEC" w:rsidP="00A23E4E">
      <w:pPr>
        <w:rPr>
          <w:sz w:val="18"/>
          <w:szCs w:val="18"/>
        </w:rPr>
      </w:pPr>
    </w:p>
    <w:p w:rsidR="00191FEC" w:rsidRPr="00191FEC" w:rsidRDefault="00191FEC" w:rsidP="00A23E4E">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x p</m:t>
              </m:r>
            </m:num>
            <m:den>
              <m:r>
                <w:rPr>
                  <w:rFonts w:ascii="Cambria Math" w:hAnsi="Cambria Math"/>
                  <w:sz w:val="18"/>
                  <w:szCs w:val="18"/>
                </w:rPr>
                <m:t>120</m:t>
              </m:r>
            </m:den>
          </m:f>
          <m:r>
            <w:rPr>
              <w:rFonts w:ascii="Cambria Math" w:hAnsi="Cambria Math"/>
              <w:sz w:val="18"/>
              <w:szCs w:val="18"/>
            </w:rPr>
            <m:t>=180 Hz</m:t>
          </m:r>
        </m:oMath>
      </m:oMathPara>
    </w:p>
    <w:p w:rsidR="00191FEC" w:rsidRDefault="00191FEC" w:rsidP="00A23E4E">
      <w:pPr>
        <w:rPr>
          <w:sz w:val="18"/>
          <w:szCs w:val="18"/>
        </w:rPr>
      </w:pPr>
    </w:p>
    <w:p w:rsidR="00191FEC" w:rsidRDefault="00191FEC" w:rsidP="00A23E4E">
      <w:pPr>
        <w:rPr>
          <w:sz w:val="18"/>
          <w:szCs w:val="18"/>
        </w:rPr>
      </w:pPr>
      <w:r>
        <w:rPr>
          <w:sz w:val="18"/>
          <w:szCs w:val="18"/>
        </w:rPr>
        <w:t xml:space="preserve">Tüm bu bilgiler ışığında elde edilen faz ve modül başına endüklenen gerilim etkin değeri </w:t>
      </w:r>
      <w:r w:rsidR="00A25E4B">
        <w:rPr>
          <w:sz w:val="18"/>
          <w:szCs w:val="18"/>
        </w:rPr>
        <w:t>69.6</w:t>
      </w:r>
      <w:r>
        <w:rPr>
          <w:sz w:val="18"/>
          <w:szCs w:val="18"/>
        </w:rPr>
        <w:t xml:space="preserve"> V olmalıdır. Öncelikle motor sürücü modüllerinin sinüzoidal darbe genişlik modülasyonu ile anahtarlandığında (S-PWM) gerekli olan modülasyon endeksi değeri şu şekilde hesaplanabilir:</w:t>
      </w:r>
    </w:p>
    <w:p w:rsidR="00191FEC" w:rsidRDefault="00191FEC" w:rsidP="00A23E4E">
      <w:pPr>
        <w:rPr>
          <w:sz w:val="18"/>
          <w:szCs w:val="18"/>
        </w:rPr>
      </w:pPr>
    </w:p>
    <w:p w:rsidR="00191FEC" w:rsidRDefault="00B125CF" w:rsidP="00A23E4E">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x 2 x</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r>
            <w:rPr>
              <w:rFonts w:ascii="Cambria Math" w:hAnsi="Cambria Math"/>
              <w:sz w:val="18"/>
              <w:szCs w:val="18"/>
            </w:rPr>
            <m:t>=0.8</m:t>
          </m:r>
        </m:oMath>
      </m:oMathPara>
    </w:p>
    <w:p w:rsidR="00191FEC" w:rsidRPr="00A23E4E" w:rsidRDefault="00191FEC" w:rsidP="00A23E4E">
      <w:pPr>
        <w:rPr>
          <w:sz w:val="18"/>
          <w:szCs w:val="18"/>
        </w:rPr>
      </w:pPr>
    </w:p>
    <w:p w:rsidR="00191FEC" w:rsidRDefault="00191FEC" w:rsidP="00A23E4E">
      <w:pPr>
        <w:pStyle w:val="BodyTextKeep"/>
        <w:ind w:right="0"/>
      </w:pPr>
      <w:r>
        <w:t xml:space="preserve">Bu hessapta modül ve faz başına sürücü çıkış gerilimi, yüzde 10’luk gerilim düşümü hesaba katılarak </w:t>
      </w:r>
      <w:r w:rsidR="00A25E4B">
        <w:t>76.5 V olarak alınmış ve modül başına DA gerilim seri bağlı modül sayısından elde edilmiştir. Buna ek olarak, motor güç faktörü ve anma verimi kullanılarak faz ve modül başına sürücü çıkış akımı şu şekilde bulunabilir:</w:t>
      </w:r>
    </w:p>
    <w:p w:rsidR="00A25E4B" w:rsidRDefault="00A25E4B" w:rsidP="00A23E4E">
      <w:pPr>
        <w:pStyle w:val="BodyTextKeep"/>
        <w:ind w:right="0"/>
      </w:pPr>
    </w:p>
    <w:p w:rsidR="00A25E4B" w:rsidRDefault="00B125CF" w:rsidP="00A23E4E">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η 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r>
                <w:rPr>
                  <w:rFonts w:ascii="Cambria Math" w:hAnsi="Cambria Math"/>
                </w:rPr>
                <m:t xml:space="preserve">x </m:t>
              </m:r>
              <m:sSub>
                <m:sSubPr>
                  <m:ctrlPr>
                    <w:rPr>
                      <w:rFonts w:ascii="Cambria Math" w:hAnsi="Cambria Math"/>
                      <w:i/>
                    </w:rPr>
                  </m:ctrlPr>
                </m:sSubPr>
                <m:e>
                  <m:r>
                    <w:rPr>
                      <w:rFonts w:ascii="Cambria Math" w:hAnsi="Cambria Math"/>
                    </w:rPr>
                    <m:t>V</m:t>
                  </m:r>
                </m:e>
                <m:sub>
                  <m:r>
                    <w:rPr>
                      <w:rFonts w:ascii="Cambria Math" w:hAnsi="Cambria Math"/>
                    </w:rPr>
                    <m:t>p-rms</m:t>
                  </m:r>
                </m:sub>
              </m:sSub>
              <m:r>
                <w:rPr>
                  <w:rFonts w:ascii="Cambria Math" w:hAnsi="Cambria Math"/>
                </w:rPr>
                <m:t xml:space="preserve"> x 3</m:t>
              </m:r>
            </m:den>
          </m:f>
          <m:r>
            <w:rPr>
              <w:rFonts w:ascii="Cambria Math" w:hAnsi="Cambria Math"/>
            </w:rPr>
            <m:t>=10.75 A</m:t>
          </m:r>
        </m:oMath>
      </m:oMathPara>
    </w:p>
    <w:p w:rsidR="00191FEC" w:rsidRDefault="00191FEC" w:rsidP="00A23E4E">
      <w:pPr>
        <w:pStyle w:val="BodyTextKeep"/>
        <w:ind w:right="0"/>
      </w:pPr>
    </w:p>
    <w:p w:rsidR="00191FEC" w:rsidRDefault="00191FEC" w:rsidP="00A23E4E">
      <w:pPr>
        <w:pStyle w:val="BodyTextKeep"/>
        <w:ind w:right="0"/>
      </w:pPr>
    </w:p>
    <w:p w:rsidR="00A23E4E" w:rsidRDefault="00A23E4E" w:rsidP="00A23E4E">
      <w:pPr>
        <w:pStyle w:val="BodyTextKeep"/>
        <w:ind w:right="0"/>
      </w:pPr>
      <w:r>
        <w:object w:dxaOrig="4275" w:dyaOrig="4605">
          <v:shape id="_x0000_i1026" type="#_x0000_t75" style="width:213.9pt;height:230.55pt" o:ole="">
            <v:imagedata r:id="rId14" o:title=""/>
          </v:shape>
          <o:OLEObject Type="Embed" ProgID="Visio.Drawing.15" ShapeID="_x0000_i1026" DrawAspect="Content" ObjectID="_1558775951" r:id="rId15"/>
        </w:object>
      </w:r>
    </w:p>
    <w:p w:rsidR="00A23E4E" w:rsidRDefault="00A23E4E" w:rsidP="00A23E4E">
      <w:pPr>
        <w:pStyle w:val="Caption"/>
      </w:pPr>
      <w:bookmarkStart w:id="6" w:name="_Ref484545057"/>
      <w:r>
        <w:t xml:space="preserve">Şekil </w:t>
      </w:r>
      <w:r>
        <w:fldChar w:fldCharType="begin"/>
      </w:r>
      <w:r>
        <w:instrText xml:space="preserve"> SEQ Şekil \* ARABIC </w:instrText>
      </w:r>
      <w:r>
        <w:fldChar w:fldCharType="separate"/>
      </w:r>
      <w:r>
        <w:rPr>
          <w:noProof/>
        </w:rPr>
        <w:t>5</w:t>
      </w:r>
      <w:r>
        <w:fldChar w:fldCharType="end"/>
      </w:r>
      <w:bookmarkEnd w:id="6"/>
      <w:r>
        <w:t>: Önerilen TMMS güç katı topolojisi devre şeması</w:t>
      </w:r>
    </w:p>
    <w:p w:rsidR="008F5B7E" w:rsidRPr="000C3B19" w:rsidRDefault="008F5B7E" w:rsidP="008F5B7E">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dahil olmak üzere) hedefi % 99 olarak belirlenmiştir. TMMS’lerde anahtarlama frekansı seçiminde iki kritik durum vardır. Anahtarlama frekansı arttıkça DA bara kondansatör boyutları küçültülebilmektedir. Diğer bir taraftan, </w:t>
      </w:r>
      <w:r>
        <w:rPr>
          <w:sz w:val="18"/>
          <w:szCs w:val="18"/>
        </w:rPr>
        <w:t xml:space="preserve">anahtarlama frekansı arttıkça yarıiletkenlerin kayıpları </w:t>
      </w:r>
      <w:r w:rsidRPr="000C3B19">
        <w:rPr>
          <w:sz w:val="18"/>
          <w:szCs w:val="18"/>
        </w:rPr>
        <w:t>artmaktadır. Bu çalışmada anahtarlama frekansı verim hedefi kullanılarak belirlenecektir.</w:t>
      </w:r>
    </w:p>
    <w:p w:rsidR="008F5B7E" w:rsidRPr="000C3B19" w:rsidRDefault="008F5B7E" w:rsidP="008F5B7E">
      <w:pPr>
        <w:rPr>
          <w:sz w:val="18"/>
          <w:szCs w:val="18"/>
        </w:rPr>
      </w:pPr>
    </w:p>
    <w:p w:rsidR="000C3B19" w:rsidRDefault="000C3B19" w:rsidP="000C3B19">
      <w:pPr>
        <w:rPr>
          <w:sz w:val="18"/>
          <w:szCs w:val="18"/>
        </w:rPr>
      </w:pPr>
      <w:r w:rsidRPr="000C3B19">
        <w:rPr>
          <w:sz w:val="18"/>
          <w:szCs w:val="18"/>
        </w:rPr>
        <w:t xml:space="preserve">Seçilen GaN transistörler ve kritik parametreleri </w:t>
      </w:r>
      <w:r w:rsidRPr="000C3B19">
        <w:rPr>
          <w:sz w:val="18"/>
          <w:szCs w:val="18"/>
        </w:rPr>
        <w:fldChar w:fldCharType="begin"/>
      </w:r>
      <w:r w:rsidRPr="000C3B19">
        <w:rPr>
          <w:sz w:val="18"/>
          <w:szCs w:val="18"/>
        </w:rPr>
        <w:instrText xml:space="preserve"> REF _Ref484549515 \h </w:instrText>
      </w:r>
      <w:r>
        <w:rPr>
          <w:sz w:val="18"/>
          <w:szCs w:val="18"/>
        </w:rPr>
        <w:instrText xml:space="preserve"> \* MERGEFORMAT </w:instrText>
      </w:r>
      <w:r w:rsidRPr="000C3B19">
        <w:rPr>
          <w:sz w:val="18"/>
          <w:szCs w:val="18"/>
        </w:rPr>
      </w:r>
      <w:r w:rsidRPr="000C3B19">
        <w:rPr>
          <w:sz w:val="18"/>
          <w:szCs w:val="18"/>
        </w:rPr>
        <w:fldChar w:fldCharType="separate"/>
      </w:r>
      <w:r w:rsidRPr="000C3B19">
        <w:rPr>
          <w:sz w:val="18"/>
          <w:szCs w:val="18"/>
        </w:rPr>
        <w:t xml:space="preserve">Tablo </w:t>
      </w:r>
      <w:r w:rsidRPr="000C3B19">
        <w:rPr>
          <w:noProof/>
          <w:sz w:val="18"/>
          <w:szCs w:val="18"/>
        </w:rPr>
        <w:t>2</w:t>
      </w:r>
      <w:r w:rsidRPr="000C3B19">
        <w:rPr>
          <w:sz w:val="18"/>
          <w:szCs w:val="18"/>
        </w:rPr>
        <w:fldChar w:fldCharType="end"/>
      </w:r>
      <w:r w:rsidRPr="000C3B19">
        <w:rPr>
          <w:sz w:val="18"/>
          <w:szCs w:val="18"/>
        </w:rPr>
        <w:t>‘de gösterilmiştir.</w:t>
      </w:r>
      <w:r>
        <w:rPr>
          <w:sz w:val="18"/>
          <w:szCs w:val="18"/>
        </w:rPr>
        <w:t xml:space="preserve"> Anahtarların veri sayfalarından ve aşağıdaki formüller kullanılarak kayıp analizi yapılmıştır </w:t>
      </w:r>
      <w:r w:rsidRPr="000C3B19">
        <w:rPr>
          <w:color w:val="FF0000"/>
          <w:sz w:val="18"/>
          <w:szCs w:val="18"/>
        </w:rPr>
        <w:t>(ref-datasheetler, appl note)</w:t>
      </w:r>
      <w:r>
        <w:rPr>
          <w:sz w:val="18"/>
          <w:szCs w:val="18"/>
        </w:rPr>
        <w:t>.</w:t>
      </w:r>
    </w:p>
    <w:p w:rsidR="000C3B19" w:rsidRPr="000C3B19" w:rsidRDefault="000C3B19" w:rsidP="000C3B19">
      <w:pPr>
        <w:rPr>
          <w:sz w:val="18"/>
          <w:szCs w:val="18"/>
        </w:rPr>
      </w:pPr>
    </w:p>
    <w:p w:rsidR="000C3B19" w:rsidRDefault="000C3B19" w:rsidP="000C3B19">
      <w:pPr>
        <w:pStyle w:val="Caption"/>
        <w:keepNext/>
      </w:pPr>
      <w:bookmarkStart w:id="7" w:name="_Ref484549515"/>
      <w:r>
        <w:t xml:space="preserve">Tablo </w:t>
      </w:r>
      <w:r>
        <w:fldChar w:fldCharType="begin"/>
      </w:r>
      <w:r>
        <w:instrText xml:space="preserve"> SEQ Tablo \* ARABIC </w:instrText>
      </w:r>
      <w:r>
        <w:fldChar w:fldCharType="separate"/>
      </w:r>
      <w:r>
        <w:rPr>
          <w:noProof/>
        </w:rPr>
        <w:t>2</w:t>
      </w:r>
      <w:r>
        <w:fldChar w:fldCharType="end"/>
      </w:r>
      <w:r>
        <w:t>: Seçilen GaN’lar ve kritik parametreleri</w:t>
      </w:r>
      <w:bookmarkEnd w:id="7"/>
    </w:p>
    <w:tbl>
      <w:tblPr>
        <w:tblStyle w:val="TableGrid"/>
        <w:tblW w:w="4815" w:type="dxa"/>
        <w:tblLayout w:type="fixed"/>
        <w:tblLook w:val="04A0" w:firstRow="1" w:lastRow="0" w:firstColumn="1" w:lastColumn="0" w:noHBand="0" w:noVBand="1"/>
      </w:tblPr>
      <w:tblGrid>
        <w:gridCol w:w="1129"/>
        <w:gridCol w:w="993"/>
        <w:gridCol w:w="708"/>
        <w:gridCol w:w="709"/>
        <w:gridCol w:w="567"/>
        <w:gridCol w:w="709"/>
      </w:tblGrid>
      <w:tr w:rsidR="000C3B19" w:rsidRPr="000C3B19" w:rsidTr="000C3B19">
        <w:tc>
          <w:tcPr>
            <w:tcW w:w="1129" w:type="dxa"/>
          </w:tcPr>
          <w:p w:rsidR="000C3B19" w:rsidRPr="000C3B19" w:rsidRDefault="000C3B19" w:rsidP="000C3B19">
            <w:pPr>
              <w:pStyle w:val="BodyTextKeep"/>
              <w:ind w:right="0"/>
              <w:jc w:val="center"/>
              <w:rPr>
                <w:sz w:val="14"/>
                <w:szCs w:val="14"/>
              </w:rPr>
            </w:pPr>
            <w:r w:rsidRPr="000C3B19">
              <w:rPr>
                <w:sz w:val="14"/>
                <w:szCs w:val="14"/>
              </w:rPr>
              <w:t>GaN</w:t>
            </w:r>
          </w:p>
        </w:tc>
        <w:tc>
          <w:tcPr>
            <w:tcW w:w="993" w:type="dxa"/>
          </w:tcPr>
          <w:p w:rsidR="000C3B19" w:rsidRPr="000C3B19" w:rsidRDefault="000C3B19" w:rsidP="000C3B19">
            <w:pPr>
              <w:pStyle w:val="BodyTextKeep"/>
              <w:ind w:right="0"/>
              <w:jc w:val="center"/>
              <w:rPr>
                <w:sz w:val="14"/>
                <w:szCs w:val="14"/>
              </w:rPr>
            </w:pPr>
            <w:r w:rsidRPr="000C3B19">
              <w:rPr>
                <w:sz w:val="14"/>
                <w:szCs w:val="14"/>
              </w:rPr>
              <w:t>Üretici</w:t>
            </w:r>
          </w:p>
        </w:tc>
        <w:tc>
          <w:tcPr>
            <w:tcW w:w="708" w:type="dxa"/>
          </w:tcPr>
          <w:p w:rsidR="000C3B19" w:rsidRPr="000C3B19" w:rsidRDefault="000C3B19" w:rsidP="000C3B19">
            <w:pPr>
              <w:pStyle w:val="BodyTextKeep"/>
              <w:ind w:right="0"/>
              <w:jc w:val="center"/>
              <w:rPr>
                <w:sz w:val="14"/>
                <w:szCs w:val="14"/>
              </w:rPr>
            </w:pPr>
            <w:r w:rsidRPr="000C3B19">
              <w:rPr>
                <w:sz w:val="14"/>
                <w:szCs w:val="14"/>
              </w:rPr>
              <w:t>Tipi</w:t>
            </w:r>
          </w:p>
        </w:tc>
        <w:tc>
          <w:tcPr>
            <w:tcW w:w="709" w:type="dxa"/>
          </w:tcPr>
          <w:p w:rsidR="000C3B19" w:rsidRPr="000C3B19" w:rsidRDefault="000C3B19" w:rsidP="000C3B19">
            <w:pPr>
              <w:pStyle w:val="BodyTextKeep"/>
              <w:ind w:right="0"/>
              <w:jc w:val="center"/>
              <w:rPr>
                <w:sz w:val="14"/>
                <w:szCs w:val="14"/>
              </w:rPr>
            </w:pPr>
            <w:r w:rsidRPr="000C3B19">
              <w:rPr>
                <w:sz w:val="14"/>
                <w:szCs w:val="14"/>
              </w:rPr>
              <w:t>Gerilim</w:t>
            </w:r>
          </w:p>
        </w:tc>
        <w:tc>
          <w:tcPr>
            <w:tcW w:w="567" w:type="dxa"/>
          </w:tcPr>
          <w:p w:rsidR="000C3B19" w:rsidRPr="000C3B19" w:rsidRDefault="000C3B19" w:rsidP="000C3B19">
            <w:pPr>
              <w:pStyle w:val="BodyTextKeep"/>
              <w:ind w:right="0"/>
              <w:jc w:val="center"/>
              <w:rPr>
                <w:sz w:val="14"/>
                <w:szCs w:val="14"/>
              </w:rPr>
            </w:pPr>
            <w:r w:rsidRPr="000C3B19">
              <w:rPr>
                <w:sz w:val="14"/>
                <w:szCs w:val="14"/>
              </w:rPr>
              <w:t>Akım</w:t>
            </w:r>
          </w:p>
        </w:tc>
        <w:tc>
          <w:tcPr>
            <w:tcW w:w="709" w:type="dxa"/>
          </w:tcPr>
          <w:p w:rsidR="000C3B19" w:rsidRPr="000C3B19" w:rsidRDefault="000C3B19" w:rsidP="000C3B19">
            <w:pPr>
              <w:pStyle w:val="BodyTextKeep"/>
              <w:ind w:right="0"/>
              <w:jc w:val="center"/>
              <w:rPr>
                <w:sz w:val="14"/>
                <w:szCs w:val="14"/>
              </w:rPr>
            </w:pPr>
            <w:r w:rsidRPr="000C3B19">
              <w:rPr>
                <w:sz w:val="14"/>
                <w:szCs w:val="14"/>
              </w:rPr>
              <w:t>R</w:t>
            </w:r>
            <w:r w:rsidRPr="000C3B19">
              <w:rPr>
                <w:sz w:val="14"/>
                <w:szCs w:val="14"/>
                <w:vertAlign w:val="subscript"/>
              </w:rPr>
              <w:t>ds-on</w:t>
            </w:r>
          </w:p>
        </w:tc>
      </w:tr>
      <w:tr w:rsidR="000C3B19" w:rsidRPr="000C3B19" w:rsidTr="000C3B19">
        <w:tc>
          <w:tcPr>
            <w:tcW w:w="1129" w:type="dxa"/>
          </w:tcPr>
          <w:p w:rsidR="000C3B19" w:rsidRPr="000C3B19" w:rsidRDefault="000C3B19" w:rsidP="000C3B19">
            <w:pPr>
              <w:pStyle w:val="BodyTextKeep"/>
              <w:ind w:right="0"/>
              <w:jc w:val="center"/>
              <w:rPr>
                <w:sz w:val="14"/>
                <w:szCs w:val="14"/>
              </w:rPr>
            </w:pPr>
            <w:r w:rsidRPr="000C3B19">
              <w:rPr>
                <w:sz w:val="14"/>
                <w:szCs w:val="14"/>
              </w:rPr>
              <w:t>TPH3205WSB</w:t>
            </w:r>
          </w:p>
        </w:tc>
        <w:tc>
          <w:tcPr>
            <w:tcW w:w="993" w:type="dxa"/>
          </w:tcPr>
          <w:p w:rsidR="000C3B19" w:rsidRPr="000C3B19" w:rsidRDefault="000C3B19" w:rsidP="000C3B19">
            <w:pPr>
              <w:pStyle w:val="BodyTextKeep"/>
              <w:ind w:right="0"/>
              <w:jc w:val="center"/>
              <w:rPr>
                <w:sz w:val="14"/>
                <w:szCs w:val="14"/>
              </w:rPr>
            </w:pPr>
            <w:r w:rsidRPr="000C3B19">
              <w:rPr>
                <w:sz w:val="14"/>
                <w:szCs w:val="14"/>
              </w:rPr>
              <w:t>Transphorm</w:t>
            </w:r>
          </w:p>
        </w:tc>
        <w:tc>
          <w:tcPr>
            <w:tcW w:w="708" w:type="dxa"/>
          </w:tcPr>
          <w:p w:rsidR="000C3B19" w:rsidRPr="000C3B19" w:rsidRDefault="000C3B19" w:rsidP="000C3B19">
            <w:pPr>
              <w:pStyle w:val="BodyTextKeep"/>
              <w:ind w:right="0"/>
              <w:jc w:val="center"/>
              <w:rPr>
                <w:sz w:val="14"/>
                <w:szCs w:val="14"/>
              </w:rPr>
            </w:pPr>
            <w:r w:rsidRPr="000C3B19">
              <w:rPr>
                <w:sz w:val="14"/>
                <w:szCs w:val="14"/>
              </w:rPr>
              <w:t>Cascode</w:t>
            </w:r>
          </w:p>
        </w:tc>
        <w:tc>
          <w:tcPr>
            <w:tcW w:w="709" w:type="dxa"/>
          </w:tcPr>
          <w:p w:rsidR="000C3B19" w:rsidRPr="000C3B19" w:rsidRDefault="000C3B19" w:rsidP="000C3B19">
            <w:pPr>
              <w:pStyle w:val="BodyTextKeep"/>
              <w:ind w:right="0"/>
              <w:jc w:val="center"/>
              <w:rPr>
                <w:sz w:val="14"/>
                <w:szCs w:val="14"/>
              </w:rPr>
            </w:pPr>
            <w:r w:rsidRPr="000C3B19">
              <w:rPr>
                <w:sz w:val="14"/>
                <w:szCs w:val="14"/>
              </w:rPr>
              <w:t>650 V</w:t>
            </w:r>
          </w:p>
        </w:tc>
        <w:tc>
          <w:tcPr>
            <w:tcW w:w="567" w:type="dxa"/>
          </w:tcPr>
          <w:p w:rsidR="000C3B19" w:rsidRPr="000C3B19" w:rsidRDefault="000C3B19" w:rsidP="000C3B19">
            <w:pPr>
              <w:pStyle w:val="BodyTextKeep"/>
              <w:ind w:right="0"/>
              <w:jc w:val="center"/>
              <w:rPr>
                <w:sz w:val="14"/>
                <w:szCs w:val="14"/>
              </w:rPr>
            </w:pPr>
            <w:r w:rsidRPr="000C3B19">
              <w:rPr>
                <w:sz w:val="14"/>
                <w:szCs w:val="14"/>
              </w:rPr>
              <w:t>35 A</w:t>
            </w:r>
          </w:p>
        </w:tc>
        <w:tc>
          <w:tcPr>
            <w:tcW w:w="709" w:type="dxa"/>
          </w:tcPr>
          <w:p w:rsidR="000C3B19" w:rsidRPr="000C3B19" w:rsidRDefault="000C3B19" w:rsidP="000C3B19">
            <w:pPr>
              <w:pStyle w:val="BodyTextKeep"/>
              <w:ind w:right="0"/>
              <w:jc w:val="center"/>
              <w:rPr>
                <w:sz w:val="14"/>
                <w:szCs w:val="14"/>
              </w:rPr>
            </w:pPr>
            <w:r>
              <w:rPr>
                <w:sz w:val="14"/>
                <w:szCs w:val="14"/>
              </w:rPr>
              <w:t>60 mΩ</w:t>
            </w:r>
          </w:p>
        </w:tc>
      </w:tr>
      <w:tr w:rsidR="000C3B19" w:rsidRPr="000C3B19" w:rsidTr="000C3B19">
        <w:tc>
          <w:tcPr>
            <w:tcW w:w="1129" w:type="dxa"/>
          </w:tcPr>
          <w:p w:rsidR="000C3B19" w:rsidRPr="000C3B19" w:rsidRDefault="000C3B19" w:rsidP="000C3B19">
            <w:pPr>
              <w:pStyle w:val="BodyTextKeep"/>
              <w:ind w:right="0"/>
              <w:jc w:val="center"/>
              <w:rPr>
                <w:sz w:val="14"/>
                <w:szCs w:val="14"/>
              </w:rPr>
            </w:pPr>
            <w:r w:rsidRPr="000C3B19">
              <w:rPr>
                <w:sz w:val="14"/>
                <w:szCs w:val="14"/>
              </w:rPr>
              <w:t>GS66508B</w:t>
            </w:r>
          </w:p>
        </w:tc>
        <w:tc>
          <w:tcPr>
            <w:tcW w:w="993" w:type="dxa"/>
          </w:tcPr>
          <w:p w:rsidR="000C3B19" w:rsidRPr="000C3B19" w:rsidRDefault="000C3B19" w:rsidP="000C3B19">
            <w:pPr>
              <w:pStyle w:val="BodyTextKeep"/>
              <w:ind w:right="0"/>
              <w:jc w:val="center"/>
              <w:rPr>
                <w:sz w:val="14"/>
                <w:szCs w:val="14"/>
              </w:rPr>
            </w:pPr>
            <w:r w:rsidRPr="000C3B19">
              <w:rPr>
                <w:sz w:val="14"/>
                <w:szCs w:val="14"/>
              </w:rPr>
              <w:t>GaN systems</w:t>
            </w:r>
          </w:p>
        </w:tc>
        <w:tc>
          <w:tcPr>
            <w:tcW w:w="708" w:type="dxa"/>
          </w:tcPr>
          <w:p w:rsidR="000C3B19" w:rsidRPr="000C3B19" w:rsidRDefault="000C3B19" w:rsidP="000C3B19">
            <w:pPr>
              <w:pStyle w:val="BodyTextKeep"/>
              <w:ind w:right="0"/>
              <w:jc w:val="center"/>
              <w:rPr>
                <w:sz w:val="14"/>
                <w:szCs w:val="14"/>
              </w:rPr>
            </w:pPr>
            <w:r w:rsidRPr="000C3B19">
              <w:rPr>
                <w:sz w:val="14"/>
                <w:szCs w:val="14"/>
              </w:rPr>
              <w:t>E-mode</w:t>
            </w:r>
          </w:p>
        </w:tc>
        <w:tc>
          <w:tcPr>
            <w:tcW w:w="709" w:type="dxa"/>
          </w:tcPr>
          <w:p w:rsidR="000C3B19" w:rsidRPr="000C3B19" w:rsidRDefault="000C3B19" w:rsidP="000C3B19">
            <w:pPr>
              <w:pStyle w:val="BodyTextKeep"/>
              <w:ind w:right="0"/>
              <w:jc w:val="center"/>
              <w:rPr>
                <w:sz w:val="14"/>
                <w:szCs w:val="14"/>
              </w:rPr>
            </w:pPr>
            <w:r w:rsidRPr="000C3B19">
              <w:rPr>
                <w:sz w:val="14"/>
                <w:szCs w:val="14"/>
              </w:rPr>
              <w:t>650 V</w:t>
            </w:r>
          </w:p>
        </w:tc>
        <w:tc>
          <w:tcPr>
            <w:tcW w:w="567" w:type="dxa"/>
          </w:tcPr>
          <w:p w:rsidR="000C3B19" w:rsidRPr="000C3B19" w:rsidRDefault="000C3B19" w:rsidP="000C3B19">
            <w:pPr>
              <w:pStyle w:val="BodyTextKeep"/>
              <w:ind w:right="0"/>
              <w:jc w:val="center"/>
              <w:rPr>
                <w:sz w:val="14"/>
                <w:szCs w:val="14"/>
              </w:rPr>
            </w:pPr>
            <w:r w:rsidRPr="000C3B19">
              <w:rPr>
                <w:sz w:val="14"/>
                <w:szCs w:val="14"/>
              </w:rPr>
              <w:t>30 A</w:t>
            </w:r>
          </w:p>
        </w:tc>
        <w:tc>
          <w:tcPr>
            <w:tcW w:w="709" w:type="dxa"/>
          </w:tcPr>
          <w:p w:rsidR="000C3B19" w:rsidRPr="000C3B19" w:rsidRDefault="000C3B19" w:rsidP="000C3B19">
            <w:pPr>
              <w:pStyle w:val="BodyTextKeep"/>
              <w:ind w:right="0"/>
              <w:jc w:val="center"/>
              <w:rPr>
                <w:sz w:val="14"/>
                <w:szCs w:val="14"/>
              </w:rPr>
            </w:pPr>
            <w:r>
              <w:rPr>
                <w:sz w:val="14"/>
                <w:szCs w:val="14"/>
              </w:rPr>
              <w:t>50 mΩ</w:t>
            </w:r>
          </w:p>
        </w:tc>
      </w:tr>
    </w:tbl>
    <w:p w:rsidR="00287DAD" w:rsidRDefault="00287DAD" w:rsidP="00D56760">
      <w:pPr>
        <w:pStyle w:val="BodyTextKeep"/>
        <w:ind w:right="0"/>
      </w:pPr>
    </w:p>
    <w:p w:rsidR="00F30255" w:rsidRDefault="00F30255" w:rsidP="00D56760">
      <w:pPr>
        <w:pStyle w:val="BodyTextKeep"/>
        <w:ind w:right="0"/>
      </w:pPr>
    </w:p>
    <w:p w:rsidR="008B729C" w:rsidRDefault="008B729C" w:rsidP="00D56760">
      <w:pPr>
        <w:pStyle w:val="BodyTextKeep"/>
        <w:ind w:right="0"/>
      </w:pPr>
    </w:p>
    <w:p w:rsidR="008B729C" w:rsidRDefault="008B729C" w:rsidP="00D56760">
      <w:pPr>
        <w:pStyle w:val="BodyTextKeep"/>
        <w:ind w:right="0"/>
      </w:pPr>
    </w:p>
    <w:p w:rsidR="00007AD8" w:rsidRDefault="00007AD8" w:rsidP="00D56760">
      <w:pPr>
        <w:pStyle w:val="BodyTextKeep"/>
        <w:ind w:right="0"/>
      </w:pPr>
      <w:r>
        <w:t>Motor slot pole sayısı (şekil çizilecek)</w:t>
      </w:r>
    </w:p>
    <w:p w:rsidR="00007AD8" w:rsidRDefault="00007AD8" w:rsidP="00D56760">
      <w:pPr>
        <w:pStyle w:val="BodyTextKeep"/>
        <w:ind w:right="0"/>
      </w:pPr>
      <w:r>
        <w:t>Kondansatör seçimi</w:t>
      </w:r>
    </w:p>
    <w:p w:rsidR="00007AD8" w:rsidRDefault="00007AD8" w:rsidP="00D56760">
      <w:pPr>
        <w:pStyle w:val="BodyTextKeep"/>
        <w:ind w:right="0"/>
      </w:pPr>
      <w:r>
        <w:t>Interleaving tekniğinin uygulanması</w:t>
      </w:r>
    </w:p>
    <w:p w:rsidR="00403DC2" w:rsidRDefault="00403DC2" w:rsidP="00D56760">
      <w:pPr>
        <w:pStyle w:val="BodyTextKeep"/>
        <w:ind w:right="0"/>
      </w:pPr>
    </w:p>
    <w:p w:rsidR="00403DC2" w:rsidRDefault="00403DC2" w:rsidP="00D56760">
      <w:pPr>
        <w:pStyle w:val="BodyTextKeep"/>
        <w:ind w:right="0"/>
      </w:pPr>
      <w:r>
        <w:t xml:space="preserve">Tasarım sonucu elde edilen değerler </w:t>
      </w:r>
      <w:r>
        <w:fldChar w:fldCharType="begin"/>
      </w:r>
      <w:r>
        <w:instrText xml:space="preserve"> REF _Ref483050916 \h </w:instrText>
      </w:r>
      <w:r>
        <w:fldChar w:fldCharType="separate"/>
      </w:r>
      <w:r>
        <w:t xml:space="preserve">Tablo </w:t>
      </w:r>
      <w:r>
        <w:rPr>
          <w:noProof/>
        </w:rPr>
        <w:t>2</w:t>
      </w:r>
      <w:r>
        <w:fldChar w:fldCharType="end"/>
      </w:r>
      <w:r>
        <w:t>’de gösterilmiştir.</w:t>
      </w:r>
    </w:p>
    <w:p w:rsidR="00007AD8" w:rsidRPr="009D09D2" w:rsidRDefault="00007AD8" w:rsidP="00D56760">
      <w:pPr>
        <w:pStyle w:val="BodyTextKeep"/>
        <w:ind w:right="0"/>
      </w:pPr>
    </w:p>
    <w:p w:rsidR="00403DC2" w:rsidRDefault="00403DC2" w:rsidP="00403DC2">
      <w:pPr>
        <w:pStyle w:val="Caption"/>
        <w:keepNext/>
      </w:pPr>
      <w:bookmarkStart w:id="8" w:name="_Ref483050916"/>
      <w:r>
        <w:t xml:space="preserve">Tablo </w:t>
      </w:r>
      <w:r>
        <w:fldChar w:fldCharType="begin"/>
      </w:r>
      <w:r>
        <w:instrText xml:space="preserve"> SEQ Tablo \* ARABIC </w:instrText>
      </w:r>
      <w:r>
        <w:fldChar w:fldCharType="separate"/>
      </w:r>
      <w:r w:rsidR="000C3B19">
        <w:rPr>
          <w:noProof/>
        </w:rPr>
        <w:t>3</w:t>
      </w:r>
      <w:r>
        <w:fldChar w:fldCharType="end"/>
      </w:r>
      <w:bookmarkEnd w:id="8"/>
      <w:r>
        <w:t>: TMMS tasarımı sonucu elde edilen değerler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913"/>
      </w:tblGrid>
      <w:tr w:rsidR="00403DC2" w:rsidRPr="009D09D2" w:rsidTr="00246D75">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913" w:type="dxa"/>
            <w:shd w:val="clear" w:color="auto" w:fill="FFFFFF"/>
          </w:tcPr>
          <w:p w:rsidR="00403DC2" w:rsidRPr="009D09D2" w:rsidRDefault="00403DC2" w:rsidP="00246D75">
            <w:pPr>
              <w:ind w:right="45"/>
              <w:jc w:val="center"/>
              <w:rPr>
                <w:sz w:val="18"/>
              </w:rPr>
            </w:pPr>
            <w:r>
              <w:rPr>
                <w:sz w:val="18"/>
              </w:rPr>
              <w:t>540 V</w:t>
            </w:r>
          </w:p>
        </w:tc>
      </w:tr>
      <w:tr w:rsidR="00403DC2" w:rsidRPr="009D09D2" w:rsidTr="00246D75">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913" w:type="dxa"/>
            <w:shd w:val="clear" w:color="auto" w:fill="FFFFFF"/>
          </w:tcPr>
          <w:p w:rsidR="00403DC2" w:rsidRPr="009D09D2" w:rsidRDefault="00403DC2" w:rsidP="00246D75">
            <w:pPr>
              <w:ind w:right="45"/>
              <w:jc w:val="center"/>
              <w:rPr>
                <w:sz w:val="18"/>
              </w:rPr>
            </w:pPr>
            <w:r>
              <w:rPr>
                <w:sz w:val="18"/>
              </w:rPr>
              <w:t>8 kW</w:t>
            </w:r>
          </w:p>
        </w:tc>
      </w:tr>
      <w:tr w:rsidR="00403DC2" w:rsidRPr="009D09D2" w:rsidTr="00246D75">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 (aralık)</w:t>
            </w:r>
          </w:p>
        </w:tc>
        <w:tc>
          <w:tcPr>
            <w:tcW w:w="913" w:type="dxa"/>
            <w:shd w:val="clear" w:color="auto" w:fill="FFFFFF"/>
          </w:tcPr>
          <w:p w:rsidR="00403DC2" w:rsidRPr="009D09D2" w:rsidRDefault="00403DC2" w:rsidP="00246D75">
            <w:pPr>
              <w:ind w:right="45"/>
              <w:jc w:val="center"/>
              <w:rPr>
                <w:sz w:val="18"/>
              </w:rPr>
            </w:pPr>
          </w:p>
        </w:tc>
      </w:tr>
      <w:tr w:rsidR="00403DC2" w:rsidRPr="009D09D2" w:rsidTr="00246D75">
        <w:trPr>
          <w:trHeight w:val="210"/>
          <w:jc w:val="center"/>
        </w:trPr>
        <w:tc>
          <w:tcPr>
            <w:tcW w:w="2268" w:type="dxa"/>
            <w:shd w:val="clear" w:color="auto" w:fill="FFFFFF"/>
          </w:tcPr>
          <w:p w:rsidR="00403DC2" w:rsidRPr="009D09D2" w:rsidRDefault="00403DC2" w:rsidP="00246D75">
            <w:pPr>
              <w:ind w:right="45"/>
              <w:jc w:val="center"/>
              <w:rPr>
                <w:sz w:val="18"/>
              </w:rPr>
            </w:pPr>
            <w:r>
              <w:rPr>
                <w:sz w:val="18"/>
              </w:rPr>
              <w:t>Parametre</w:t>
            </w:r>
          </w:p>
        </w:tc>
        <w:tc>
          <w:tcPr>
            <w:tcW w:w="913" w:type="dxa"/>
            <w:shd w:val="clear" w:color="auto" w:fill="FFFFFF"/>
          </w:tcPr>
          <w:p w:rsidR="00403DC2" w:rsidRPr="009D09D2" w:rsidRDefault="00403DC2" w:rsidP="00246D75">
            <w:pPr>
              <w:ind w:right="45"/>
              <w:jc w:val="center"/>
              <w:rPr>
                <w:sz w:val="18"/>
              </w:rPr>
            </w:pPr>
          </w:p>
        </w:tc>
      </w:tr>
    </w:tbl>
    <w:p w:rsidR="00D56760" w:rsidRDefault="00D56760" w:rsidP="00D56760"/>
    <w:p w:rsidR="00D56760" w:rsidRPr="00D56760" w:rsidRDefault="00D56760" w:rsidP="00D56760">
      <w:pPr>
        <w:pStyle w:val="Heading1"/>
        <w:numPr>
          <w:ilvl w:val="0"/>
          <w:numId w:val="0"/>
        </w:numPr>
        <w:ind w:left="28"/>
      </w:pPr>
      <w:r w:rsidRPr="00D56760">
        <w:t xml:space="preserve"> </w:t>
      </w:r>
    </w:p>
    <w:p w:rsidR="00842357" w:rsidRPr="009D09D2" w:rsidRDefault="00D56760">
      <w:pPr>
        <w:pStyle w:val="Heading1"/>
      </w:pPr>
      <w:r>
        <w:br w:type="page"/>
      </w:r>
      <w:r>
        <w:lastRenderedPageBreak/>
        <w:t xml:space="preserve">Benzetim </w:t>
      </w:r>
      <w:r w:rsidR="00842357" w:rsidRPr="009D09D2">
        <w:t>Sonuçlar</w:t>
      </w:r>
      <w:r>
        <w:t>ı</w:t>
      </w:r>
    </w:p>
    <w:p w:rsidR="00842357" w:rsidRDefault="00842357" w:rsidP="00403DC2">
      <w:pPr>
        <w:pStyle w:val="BodyTextKeep"/>
        <w:ind w:right="0"/>
      </w:pPr>
      <w:r w:rsidRPr="009D09D2">
        <w:t>Bu</w:t>
      </w:r>
      <w:r w:rsidR="00403DC2">
        <w:t xml:space="preserve"> kısımda konulacak grafikler:</w:t>
      </w:r>
    </w:p>
    <w:p w:rsidR="00403DC2" w:rsidRDefault="00403DC2" w:rsidP="00403DC2">
      <w:pPr>
        <w:pStyle w:val="BodyTextKeep"/>
        <w:ind w:right="0"/>
      </w:pPr>
    </w:p>
    <w:p w:rsidR="00403DC2" w:rsidRDefault="00403DC2"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8B729C" w:rsidRDefault="008B729C"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Verilen kararlar: kondansatör vb.</w:t>
      </w:r>
    </w:p>
    <w:p w:rsidR="00403DC2" w:rsidRDefault="00403DC2" w:rsidP="00403DC2">
      <w:pPr>
        <w:pStyle w:val="BodyTextKeep"/>
        <w:ind w:right="0"/>
      </w:pPr>
    </w:p>
    <w:p w:rsidR="00403DC2" w:rsidRDefault="00403DC2" w:rsidP="00403DC2">
      <w:pPr>
        <w:pStyle w:val="BodyTextKeep"/>
        <w:ind w:right="0"/>
      </w:pPr>
    </w:p>
    <w:p w:rsidR="00403DC2" w:rsidRDefault="00403DC2" w:rsidP="00403DC2">
      <w:pPr>
        <w:pStyle w:val="BodyTextKeep"/>
        <w:ind w:right="0"/>
      </w:pPr>
      <w:r>
        <w:t>Basit çıkarımlar</w:t>
      </w:r>
    </w:p>
    <w:p w:rsidR="00403DC2" w:rsidRDefault="00403DC2" w:rsidP="00403DC2">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1557F7" w:rsidRDefault="001557F7"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Default="00D56760"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F1721A" w:rsidRPr="00F1721A" w:rsidRDefault="00F1721A" w:rsidP="00F1721A">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Pr="00F1721A">
        <w:rPr>
          <w:noProof/>
          <w:sz w:val="18"/>
          <w:szCs w:val="24"/>
        </w:rPr>
        <w:t>[1]</w:t>
      </w:r>
      <w:r w:rsidRPr="00F1721A">
        <w:rPr>
          <w:noProof/>
          <w:sz w:val="18"/>
          <w:szCs w:val="24"/>
        </w:rPr>
        <w:tab/>
        <w:t xml:space="preserve">G. Lo Calzo </w:t>
      </w:r>
      <w:r w:rsidRPr="00F1721A">
        <w:rPr>
          <w:i/>
          <w:iCs/>
          <w:noProof/>
          <w:sz w:val="18"/>
          <w:szCs w:val="24"/>
        </w:rPr>
        <w:t>et al.</w:t>
      </w:r>
      <w:r w:rsidRPr="00F1721A">
        <w:rPr>
          <w:noProof/>
          <w:sz w:val="18"/>
          <w:szCs w:val="24"/>
        </w:rPr>
        <w:t xml:space="preserve">, “Integrated motor drives: state of the art and future trends,” </w:t>
      </w:r>
      <w:r w:rsidRPr="00F1721A">
        <w:rPr>
          <w:i/>
          <w:iCs/>
          <w:noProof/>
          <w:sz w:val="18"/>
          <w:szCs w:val="24"/>
        </w:rPr>
        <w:t>IET Electr. Power Appl.</w:t>
      </w:r>
      <w:r w:rsidRPr="00F1721A">
        <w:rPr>
          <w:noProof/>
          <w:sz w:val="18"/>
          <w:szCs w:val="24"/>
        </w:rPr>
        <w:t>, vol. 10, no. 8, pp. 757–771, Sep. 2016.</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[2]</w:t>
      </w:r>
      <w:r w:rsidRPr="00F1721A">
        <w:rPr>
          <w:noProof/>
          <w:sz w:val="18"/>
          <w:szCs w:val="24"/>
        </w:rPr>
        <w:tab/>
        <w:t xml:space="preserve">A. Shea and T. M. Jahns, “Hardware integration for an integrated modular motor drive including distributed control,” in </w:t>
      </w:r>
      <w:r w:rsidRPr="00F1721A">
        <w:rPr>
          <w:i/>
          <w:iCs/>
          <w:noProof/>
          <w:sz w:val="18"/>
          <w:szCs w:val="24"/>
        </w:rPr>
        <w:t>2014 IEEE Energy Conversion Congress and Exposition (ECCE)</w:t>
      </w:r>
      <w:r w:rsidRPr="00F1721A">
        <w:rPr>
          <w:noProof/>
          <w:sz w:val="18"/>
          <w:szCs w:val="24"/>
        </w:rPr>
        <w:t>, 2014, pp. 4881–4887.</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[3]</w:t>
      </w:r>
      <w:r w:rsidRPr="00F1721A">
        <w:rPr>
          <w:noProof/>
          <w:sz w:val="18"/>
          <w:szCs w:val="24"/>
        </w:rPr>
        <w:tab/>
        <w:t xml:space="preserve">S. M. Lambert, B. C. Mecrow, R. Abebe, G. Vakil, and C. M. Johnson, “Integrated Drives for Transport - A Review of the Enabling Electronics Technology,” </w:t>
      </w:r>
      <w:r w:rsidRPr="00F1721A">
        <w:rPr>
          <w:i/>
          <w:iCs/>
          <w:noProof/>
          <w:sz w:val="18"/>
          <w:szCs w:val="24"/>
        </w:rPr>
        <w:t>IEEE Veh. Power Propuls. Conf.</w:t>
      </w:r>
      <w:r w:rsidRPr="00F1721A">
        <w:rPr>
          <w:noProof/>
          <w:sz w:val="18"/>
          <w:szCs w:val="24"/>
        </w:rPr>
        <w:t>, pp. 1–6, 2015.</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[4]</w:t>
      </w:r>
      <w:r w:rsidRPr="00F1721A">
        <w:rPr>
          <w:noProof/>
          <w:sz w:val="18"/>
          <w:szCs w:val="24"/>
        </w:rPr>
        <w:tab/>
        <w:t xml:space="preserve">J. Wang, Y. Li, and Y. Han, “Evaluation and design for an integrated modular motor drive (IMMD) with GaN devices,” </w:t>
      </w:r>
      <w:r w:rsidRPr="00F1721A">
        <w:rPr>
          <w:i/>
          <w:iCs/>
          <w:noProof/>
          <w:sz w:val="18"/>
          <w:szCs w:val="24"/>
        </w:rPr>
        <w:t>2013 IEEE Energy Convers. Congr. Expo. ECCE 2013</w:t>
      </w:r>
      <w:r w:rsidRPr="00F1721A">
        <w:rPr>
          <w:noProof/>
          <w:sz w:val="18"/>
          <w:szCs w:val="24"/>
        </w:rPr>
        <w:t>, no. Immd, pp. 4318–4325, 2013.</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[5]</w:t>
      </w:r>
      <w:r w:rsidRPr="00F1721A">
        <w:rPr>
          <w:noProof/>
          <w:sz w:val="18"/>
          <w:szCs w:val="24"/>
        </w:rPr>
        <w:tab/>
        <w:t xml:space="preserve">J. J. Wolmarans, M. B. Gerber, H. Polinder, S. W. H. De Haan, J. A. Ferreira, and D. Clarenbach, “A 50kW integrated fault tolerant permanent magnet machine and motor drive,” </w:t>
      </w:r>
      <w:r w:rsidRPr="00F1721A">
        <w:rPr>
          <w:i/>
          <w:iCs/>
          <w:noProof/>
          <w:sz w:val="18"/>
          <w:szCs w:val="24"/>
        </w:rPr>
        <w:t>PESC Rec. - IEEE Annu. Power Electron. Spec. Conf.</w:t>
      </w:r>
      <w:r w:rsidRPr="00F1721A">
        <w:rPr>
          <w:noProof/>
          <w:sz w:val="18"/>
          <w:szCs w:val="24"/>
        </w:rPr>
        <w:t>, pp. 345–351, 2008.</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[6]</w:t>
      </w:r>
      <w:r w:rsidRPr="00F1721A">
        <w:rPr>
          <w:noProof/>
          <w:sz w:val="18"/>
          <w:szCs w:val="24"/>
        </w:rPr>
        <w:tab/>
        <w:t xml:space="preserve">M. D. Hennen, M. Niessen, C. Heyers, H. J. Brauer, and R. W. De Doncker, “Development and control of an integrated and distributed inverter for a fault tolerant five-phase switched reluctance traction drive,” </w:t>
      </w:r>
      <w:r w:rsidRPr="00F1721A">
        <w:rPr>
          <w:i/>
          <w:iCs/>
          <w:noProof/>
          <w:sz w:val="18"/>
          <w:szCs w:val="24"/>
        </w:rPr>
        <w:t>IEEE Trans. Power Electron.</w:t>
      </w:r>
      <w:r w:rsidRPr="00F1721A">
        <w:rPr>
          <w:noProof/>
          <w:sz w:val="18"/>
          <w:szCs w:val="24"/>
        </w:rPr>
        <w:t>, vol. 27, no. 2, pp. 547–554, 2012.</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[7]</w:t>
      </w:r>
      <w:r w:rsidRPr="00F1721A">
        <w:rPr>
          <w:noProof/>
          <w:sz w:val="18"/>
          <w:szCs w:val="24"/>
        </w:rPr>
        <w:tab/>
        <w:t xml:space="preserve">A. Galassini, A. Costabeber, C. Gerada, G. Buticchi, and D. Barater, “State space model of a modular speed-drooped system for high reliability integrated modular motor drives,” </w:t>
      </w:r>
      <w:r w:rsidRPr="00F1721A">
        <w:rPr>
          <w:i/>
          <w:iCs/>
          <w:noProof/>
          <w:sz w:val="18"/>
          <w:szCs w:val="24"/>
        </w:rPr>
        <w:t>Electr. Syst. Aircraft, Railw. Sh. Propulsion, ESARS</w:t>
      </w:r>
      <w:r w:rsidRPr="00F1721A">
        <w:rPr>
          <w:noProof/>
          <w:sz w:val="18"/>
          <w:szCs w:val="24"/>
        </w:rPr>
        <w:t>, vol. 2015–May, 2015.</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[8]</w:t>
      </w:r>
      <w:r w:rsidRPr="00F1721A">
        <w:rPr>
          <w:noProof/>
          <w:sz w:val="18"/>
          <w:szCs w:val="24"/>
        </w:rPr>
        <w:tab/>
        <w:t xml:space="preserve">J. Wang, Y. Li, and Y. Han, “Integrated Modular Motor Drive Design With GaN Power FETs,” </w:t>
      </w:r>
      <w:r w:rsidRPr="00F1721A">
        <w:rPr>
          <w:i/>
          <w:iCs/>
          <w:noProof/>
          <w:sz w:val="18"/>
          <w:szCs w:val="24"/>
        </w:rPr>
        <w:t>IEEE Trans. Ind. Appl.</w:t>
      </w:r>
      <w:r w:rsidRPr="00F1721A">
        <w:rPr>
          <w:noProof/>
          <w:sz w:val="18"/>
          <w:szCs w:val="24"/>
        </w:rPr>
        <w:t>, vol. 51, no. c, pp. 3198–3207, 2015.</w:t>
      </w:r>
    </w:p>
    <w:p w:rsidR="00F1721A" w:rsidRPr="00F1721A" w:rsidRDefault="00F1721A" w:rsidP="00F1721A">
      <w:pPr>
        <w:widowControl w:val="0"/>
        <w:autoSpaceDE w:val="0"/>
        <w:autoSpaceDN w:val="0"/>
        <w:adjustRightInd w:val="0"/>
        <w:ind w:left="640" w:hanging="640"/>
        <w:rPr>
          <w:noProof/>
          <w:sz w:val="18"/>
          <w:szCs w:val="24"/>
        </w:rPr>
      </w:pPr>
      <w:r w:rsidRPr="00F1721A">
        <w:rPr>
          <w:noProof/>
          <w:sz w:val="18"/>
          <w:szCs w:val="24"/>
        </w:rPr>
        <w:t>[9]</w:t>
      </w:r>
      <w:r w:rsidRPr="00F1721A">
        <w:rPr>
          <w:noProof/>
          <w:sz w:val="18"/>
          <w:szCs w:val="24"/>
        </w:rPr>
        <w:tab/>
        <w:t xml:space="preserve">A. Roekke and R. Nilssen, “Analytical Calculation of Yoke Flux Patterns in Fractional-Slot Permanent Magnet Machines,” </w:t>
      </w:r>
      <w:r w:rsidRPr="00F1721A">
        <w:rPr>
          <w:i/>
          <w:iCs/>
          <w:noProof/>
          <w:sz w:val="18"/>
          <w:szCs w:val="24"/>
        </w:rPr>
        <w:t>IEEE Trans. Magn.</w:t>
      </w:r>
      <w:r w:rsidRPr="00F1721A">
        <w:rPr>
          <w:noProof/>
          <w:sz w:val="18"/>
          <w:szCs w:val="24"/>
        </w:rPr>
        <w:t>, vol. 9464, no. c, pp. 1–1, 2016.</w:t>
      </w:r>
    </w:p>
    <w:p w:rsidR="00F1721A" w:rsidRPr="00F1721A" w:rsidRDefault="00F1721A" w:rsidP="00F1721A">
      <w:pPr>
        <w:widowControl w:val="0"/>
        <w:autoSpaceDE w:val="0"/>
        <w:autoSpaceDN w:val="0"/>
        <w:adjustRightInd w:val="0"/>
        <w:ind w:left="640" w:hanging="640"/>
        <w:rPr>
          <w:noProof/>
          <w:sz w:val="18"/>
        </w:rPr>
      </w:pPr>
      <w:r w:rsidRPr="00F1721A">
        <w:rPr>
          <w:noProof/>
          <w:sz w:val="18"/>
          <w:szCs w:val="24"/>
        </w:rPr>
        <w:t>[10]</w:t>
      </w:r>
      <w:r w:rsidRPr="00F1721A">
        <w:rPr>
          <w:noProof/>
          <w:sz w:val="18"/>
          <w:szCs w:val="24"/>
        </w:rPr>
        <w:tab/>
        <w:t xml:space="preserve">G. Su and L. Tang, “A segmented traction drive system with a small dc bus capacitor,” in </w:t>
      </w:r>
      <w:r w:rsidRPr="00F1721A">
        <w:rPr>
          <w:i/>
          <w:iCs/>
          <w:noProof/>
          <w:sz w:val="18"/>
          <w:szCs w:val="24"/>
        </w:rPr>
        <w:t>2012 IEEE Energy Conversion Congress and Exposition (ECCE)</w:t>
      </w:r>
      <w:r w:rsidRPr="00F1721A">
        <w:rPr>
          <w:noProof/>
          <w:sz w:val="18"/>
          <w:szCs w:val="24"/>
        </w:rPr>
        <w:t>, 2012, pp. 2847–2853.</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6"/>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5CF" w:rsidRDefault="00B125CF">
      <w:r>
        <w:separator/>
      </w:r>
    </w:p>
  </w:endnote>
  <w:endnote w:type="continuationSeparator" w:id="0">
    <w:p w:rsidR="00B125CF" w:rsidRDefault="00B1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5CF" w:rsidRDefault="00B125CF">
      <w:r>
        <w:separator/>
      </w:r>
    </w:p>
  </w:footnote>
  <w:footnote w:type="continuationSeparator" w:id="0">
    <w:p w:rsidR="00B125CF" w:rsidRDefault="00B12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7C56"/>
    <w:rsid w:val="000C3B19"/>
    <w:rsid w:val="000F2A3A"/>
    <w:rsid w:val="001000CE"/>
    <w:rsid w:val="00101C27"/>
    <w:rsid w:val="001136AB"/>
    <w:rsid w:val="00113D70"/>
    <w:rsid w:val="0011580F"/>
    <w:rsid w:val="001210DD"/>
    <w:rsid w:val="001557F7"/>
    <w:rsid w:val="001564CC"/>
    <w:rsid w:val="0016616B"/>
    <w:rsid w:val="0019011D"/>
    <w:rsid w:val="00191FEC"/>
    <w:rsid w:val="001C152E"/>
    <w:rsid w:val="001E0A59"/>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72CED"/>
    <w:rsid w:val="00494735"/>
    <w:rsid w:val="004A63D9"/>
    <w:rsid w:val="004A726A"/>
    <w:rsid w:val="004B22BD"/>
    <w:rsid w:val="004C6147"/>
    <w:rsid w:val="00536AF7"/>
    <w:rsid w:val="005556B5"/>
    <w:rsid w:val="00561FE8"/>
    <w:rsid w:val="0058161B"/>
    <w:rsid w:val="00594755"/>
    <w:rsid w:val="005B2D2E"/>
    <w:rsid w:val="005D33AB"/>
    <w:rsid w:val="005F0A73"/>
    <w:rsid w:val="00605C97"/>
    <w:rsid w:val="00615F25"/>
    <w:rsid w:val="006229FA"/>
    <w:rsid w:val="00635B54"/>
    <w:rsid w:val="00647F83"/>
    <w:rsid w:val="00680149"/>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470F1"/>
    <w:rsid w:val="00951A75"/>
    <w:rsid w:val="00972934"/>
    <w:rsid w:val="0097562A"/>
    <w:rsid w:val="009770BE"/>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25CF"/>
    <w:rsid w:val="00B1472A"/>
    <w:rsid w:val="00B22CD7"/>
    <w:rsid w:val="00B429EC"/>
    <w:rsid w:val="00B435BD"/>
    <w:rsid w:val="00B51EE7"/>
    <w:rsid w:val="00B82DCA"/>
    <w:rsid w:val="00B844B3"/>
    <w:rsid w:val="00B956C4"/>
    <w:rsid w:val="00BA65FF"/>
    <w:rsid w:val="00BB7C38"/>
    <w:rsid w:val="00BD62EB"/>
    <w:rsid w:val="00BE03E7"/>
    <w:rsid w:val="00BE382C"/>
    <w:rsid w:val="00C0745C"/>
    <w:rsid w:val="00C25551"/>
    <w:rsid w:val="00C312A7"/>
    <w:rsid w:val="00C4127E"/>
    <w:rsid w:val="00C56AF2"/>
    <w:rsid w:val="00C6224D"/>
    <w:rsid w:val="00C713F2"/>
    <w:rsid w:val="00C716EF"/>
    <w:rsid w:val="00C87B8A"/>
    <w:rsid w:val="00C91B33"/>
    <w:rsid w:val="00CD30BE"/>
    <w:rsid w:val="00D01AAE"/>
    <w:rsid w:val="00D228B6"/>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07B7"/>
    <w:rsid w:val="00E13E4C"/>
    <w:rsid w:val="00E14FD4"/>
    <w:rsid w:val="00E301DA"/>
    <w:rsid w:val="00E3175E"/>
    <w:rsid w:val="00E45CE2"/>
    <w:rsid w:val="00E94D86"/>
    <w:rsid w:val="00EA143B"/>
    <w:rsid w:val="00EA4056"/>
    <w:rsid w:val="00ED46CA"/>
    <w:rsid w:val="00EF0F94"/>
    <w:rsid w:val="00EF2938"/>
    <w:rsid w:val="00F12383"/>
    <w:rsid w:val="00F1721A"/>
    <w:rsid w:val="00F22B00"/>
    <w:rsid w:val="00F30255"/>
    <w:rsid w:val="00F3413D"/>
    <w:rsid w:val="00F46070"/>
    <w:rsid w:val="00F96AAB"/>
    <w:rsid w:val="00FA5284"/>
    <w:rsid w:val="00FB32AE"/>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uiPriority w:val="59"/>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A2CB5F-E55F-45A8-B82B-930D2113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120</TotalTime>
  <Pages>6</Pages>
  <Words>8503</Words>
  <Characters>48471</Characters>
  <Application>Microsoft Office Word</Application>
  <DocSecurity>0</DocSecurity>
  <Lines>403</Lines>
  <Paragraphs>113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56861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8</cp:revision>
  <cp:lastPrinted>2017-05-18T16:52:00Z</cp:lastPrinted>
  <dcterms:created xsi:type="dcterms:W3CDTF">2017-06-06T17:47:00Z</dcterms:created>
  <dcterms:modified xsi:type="dcterms:W3CDTF">2017-06-12T09:33:00Z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