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Tümleşik motor sürücü sistemine uygun optimum DA bara kondansatör seçimi gerçekleştirilmiştir</w:t>
      </w:r>
      <w:r w:rsidR="008138E9">
        <w:rPr>
          <w:i/>
        </w:rPr>
        <w:t xml:space="preserve">. Tasarlanan sistemin başarımı, </w:t>
      </w:r>
      <w:r w:rsidR="0016616B">
        <w:rPr>
          <w:i/>
        </w:rPr>
        <w:t>MATLAB/Simulink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bağlanırlar. Motorun ve sürücünün ayrı olarak bulunması, sistemin toplam hacminin ve ağırlığının artmasına, böylece </w:t>
      </w:r>
      <w:r>
        <w:t>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ve sürücünün aynı anda soğutulması zordur ve detaylı ısıl analiz gerektirmektedir. Buna ek olarak, tüm elektronik devre </w:t>
      </w:r>
      <w:r w:rsidR="00DA6DBB">
        <w:lastRenderedPageBreak/>
        <w:t>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8138E9">
        <w:t>parazittik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006B1A1F">
        <w:rPr>
          <w:sz w:val="18"/>
          <w:szCs w:val="18"/>
        </w:rPr>
        <w:instrText xml:space="preserve"> \* MERGEFORMAT </w:instrText>
      </w:r>
      <w:r w:rsidRPr="006B1A1F">
        <w:rPr>
          <w:sz w:val="18"/>
          <w:szCs w:val="18"/>
        </w:rPr>
      </w:r>
      <w:r w:rsidRPr="006B1A1F">
        <w:rPr>
          <w:sz w:val="18"/>
          <w:szCs w:val="18"/>
        </w:rPr>
        <w:fldChar w:fldCharType="separate"/>
      </w:r>
      <w:r w:rsidR="00A87F15" w:rsidRPr="00A87F15">
        <w:rPr>
          <w:sz w:val="18"/>
          <w:szCs w:val="18"/>
        </w:rPr>
        <w:t xml:space="preserve">Şekil </w:t>
      </w:r>
      <w:r w:rsidR="00A87F15" w:rsidRPr="00A87F15">
        <w:rPr>
          <w:noProof/>
          <w:sz w:val="18"/>
          <w:szCs w:val="18"/>
        </w:rPr>
        <w:t>1</w:t>
      </w:r>
      <w:r w:rsidRPr="006B1A1F">
        <w:rPr>
          <w:sz w:val="18"/>
          <w:szCs w:val="18"/>
        </w:rPr>
        <w:fldChar w:fldCharType="end"/>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A87F15">
        <w:rPr>
          <w:noProof/>
        </w:rPr>
        <w:t>1</w:t>
      </w:r>
      <w:r w:rsidRPr="006B1A1F">
        <w:fldChar w:fldCharType="end"/>
      </w:r>
      <w:bookmarkEnd w:id="0"/>
      <w:r w:rsidRPr="006B1A1F">
        <w:t>.</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Pr>
          <w:sz w:val="18"/>
          <w:szCs w:val="18"/>
        </w:rPr>
        <w:instrText xml:space="preserve"> \* MERGEFORMAT </w:instrText>
      </w:r>
      <w:r w:rsidR="006B1A1F" w:rsidRPr="006B1A1F">
        <w:rPr>
          <w:sz w:val="18"/>
          <w:szCs w:val="18"/>
        </w:rPr>
      </w:r>
      <w:r w:rsidR="006B1A1F" w:rsidRPr="006B1A1F">
        <w:rPr>
          <w:sz w:val="18"/>
          <w:szCs w:val="18"/>
        </w:rPr>
        <w:fldChar w:fldCharType="separate"/>
      </w:r>
      <w:r w:rsidR="00A87F15" w:rsidRPr="00A87F15">
        <w:rPr>
          <w:sz w:val="18"/>
          <w:szCs w:val="18"/>
        </w:rPr>
        <w:t xml:space="preserve">Şekil </w:t>
      </w:r>
      <w:r w:rsidR="00A87F15" w:rsidRPr="00A87F15">
        <w:rPr>
          <w:noProof/>
          <w:sz w:val="18"/>
          <w:szCs w:val="18"/>
        </w:rPr>
        <w:t>2</w:t>
      </w:r>
      <w:r w:rsidR="006B1A1F" w:rsidRPr="006B1A1F">
        <w:rPr>
          <w:sz w:val="18"/>
          <w:szCs w:val="18"/>
        </w:rPr>
        <w:fldChar w:fldCharType="end"/>
      </w:r>
      <w:r w:rsidR="006B1A1F" w:rsidRPr="006B1A1F">
        <w:rPr>
          <w:sz w:val="18"/>
          <w:szCs w:val="18"/>
        </w:rPr>
        <w:t xml:space="preserve">‘de geleneksel motor sürücü yapısı ve ayrık sargılı motor yapısı farklı tipte çevirici </w:t>
      </w:r>
      <w:r w:rsidR="006B1A1F" w:rsidRPr="006B1A1F">
        <w:rPr>
          <w:sz w:val="18"/>
          <w:szCs w:val="18"/>
        </w:rPr>
        <w:t>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A87F15">
        <w:rPr>
          <w:noProof/>
        </w:rPr>
        <w:t>2</w:t>
      </w:r>
      <w:r>
        <w:fldChar w:fldCharType="end"/>
      </w:r>
      <w:bookmarkEnd w:id="1"/>
      <w:r>
        <w:t>. 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transistörleri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[4]</w:t>
      </w:r>
      <w:r w:rsidR="00C54657">
        <w:rPr>
          <w:sz w:val="18"/>
          <w:szCs w:val="18"/>
        </w:rPr>
        <w:fldChar w:fldCharType="end"/>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yüzde yirmisini, </w:t>
      </w:r>
      <w:r>
        <w:rPr>
          <w:sz w:val="18"/>
          <w:szCs w:val="18"/>
        </w:rPr>
        <w:t xml:space="preserve">ağırlığının </w:t>
      </w:r>
      <w:r w:rsidR="00C54657">
        <w:rPr>
          <w:sz w:val="18"/>
          <w:szCs w:val="18"/>
        </w:rPr>
        <w:t>ise yüzde otunuzu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w:t>
      </w:r>
      <w:r w:rsidR="00403DC2">
        <w:lastRenderedPageBreak/>
        <w:t xml:space="preserve">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A87F15">
        <w:t xml:space="preserve">Şekil </w:t>
      </w:r>
      <w:r w:rsidR="00A87F15">
        <w:rPr>
          <w:noProof/>
        </w:rPr>
        <w:t>3</w:t>
      </w:r>
      <w:r w:rsidR="00A87F15">
        <w:t>: Sistemde kullanılan doğrultucu devre şeması</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A87F15">
        <w:t xml:space="preserve">Tablo </w:t>
      </w:r>
      <w:r w:rsidR="00A87F15">
        <w:rPr>
          <w:noProof/>
        </w:rPr>
        <w:t>1</w:t>
      </w:r>
      <w:r w:rsidR="00403DC2">
        <w:fldChar w:fldCharType="end"/>
      </w:r>
      <w:r w:rsidR="00403DC2">
        <w:t>’de gösterilmiştir.</w:t>
      </w: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sidR="00A87F15">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88.8pt" o:ole="">
            <v:imagedata r:id="rId11" o:title=""/>
          </v:shape>
          <o:OLEObject Type="Embed" ProgID="Visio.Drawing.15" ShapeID="_x0000_i1025" DrawAspect="Content" ObjectID="_1558892572"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A87F15">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w:t>
      </w:r>
      <w:r w:rsidR="008138E9">
        <w:rPr>
          <w:sz w:val="18"/>
          <w:szCs w:val="18"/>
        </w:rPr>
        <w:t>transistor</w:t>
      </w:r>
      <w:r w:rsidR="00951A75">
        <w:rPr>
          <w:sz w:val="18"/>
          <w:szCs w:val="18"/>
        </w:rPr>
        <w:t xml:space="preserve">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w:t>
      </w:r>
      <w:r w:rsidR="008138E9">
        <w:rPr>
          <w:sz w:val="18"/>
          <w:szCs w:val="18"/>
        </w:rPr>
        <w:t>parazittik i</w:t>
      </w:r>
      <w:r w:rsidR="00EF2214">
        <w:rPr>
          <w:sz w:val="18"/>
          <w:szCs w:val="18"/>
        </w:rPr>
        <w:t>ndüktans</w:t>
      </w:r>
      <w:r w:rsidR="008138E9">
        <w:rPr>
          <w:sz w:val="18"/>
          <w:szCs w:val="18"/>
        </w:rPr>
        <w:t>ların</w:t>
      </w:r>
      <w:r w:rsidR="00EF2214">
        <w:rPr>
          <w:sz w:val="18"/>
          <w:szCs w:val="18"/>
        </w:rPr>
        <w:t xml:space="preserve"> (</w:t>
      </w:r>
      <w:r w:rsidR="008138E9">
        <w:rPr>
          <w:sz w:val="18"/>
          <w:szCs w:val="18"/>
        </w:rPr>
        <w:t>transistor</w:t>
      </w:r>
      <w:r w:rsidR="00EF2214">
        <w:rPr>
          <w:sz w:val="18"/>
          <w:szCs w:val="18"/>
        </w:rPr>
        <w:t xml:space="preserve">, kondansatör ve baradan kaynaklı) anahtarlama anlarında </w:t>
      </w:r>
      <w:r w:rsidR="008138E9">
        <w:rPr>
          <w:sz w:val="18"/>
          <w:szCs w:val="18"/>
        </w:rPr>
        <w:t>transistorlar</w:t>
      </w:r>
      <w:r w:rsidR="00EF2214">
        <w:rPr>
          <w:sz w:val="18"/>
          <w:szCs w:val="18"/>
        </w:rPr>
        <w:t xml:space="preserve">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w:t>
      </w:r>
      <w:r w:rsidR="002062DA">
        <w:t xml:space="preserve">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00A87F15">
        <w:t xml:space="preserve">Şekil </w:t>
      </w:r>
      <w:r w:rsidR="00A87F15">
        <w:rPr>
          <w:noProof/>
        </w:rPr>
        <w:t>4</w:t>
      </w:r>
      <w:r w:rsidR="00A87F15">
        <w:t>: Interleaving tekniği kullanıldığında DA bara akımının etkin değerinin farklı modül sayıları ve faz kayması açılarına göre değişimi</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rsidR="00A87F15">
        <w:t xml:space="preserve">Şekil </w:t>
      </w:r>
      <w:r w:rsidR="00A87F15">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4" w:name="_Ref484544822"/>
      <w:r>
        <w:t xml:space="preserve">Şekil </w:t>
      </w:r>
      <w:r>
        <w:fldChar w:fldCharType="begin"/>
      </w:r>
      <w:r>
        <w:instrText xml:space="preserve"> SEQ Şekil \* ARABIC </w:instrText>
      </w:r>
      <w:r>
        <w:fldChar w:fldCharType="separate"/>
      </w:r>
      <w:r w:rsidR="00A87F15">
        <w:rPr>
          <w:noProof/>
        </w:rPr>
        <w:t>4</w:t>
      </w:r>
      <w:r>
        <w:fldChar w:fldCharType="end"/>
      </w:r>
      <w:r>
        <w:t>: Interleaving tekniği kullanıldığında DA bara akımının etkin değerinin farklı modül sayıları ve faz kayması açılarına göre değişimi</w:t>
      </w:r>
      <w:bookmarkEnd w:id="4"/>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9A4E6D">
        <w:t xml:space="preserve">Fraksiyonel oluklu makinalara yönelik var olan </w:t>
      </w:r>
      <w:r w:rsidR="009A4E6D">
        <w:lastRenderedPageBreak/>
        <w:t xml:space="preserve">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A87F15"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A87F15"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A87F15"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A87F15"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A23E4E" w:rsidP="00A23E4E">
      <w:pPr>
        <w:pStyle w:val="BodyTextKeep"/>
        <w:ind w:right="0"/>
      </w:pPr>
      <w:r>
        <w:object w:dxaOrig="4275" w:dyaOrig="4605">
          <v:shape id="_x0000_i1026" type="#_x0000_t75" style="width:213.8pt;height:230.6pt" o:ole="">
            <v:imagedata r:id="rId14" o:title=""/>
          </v:shape>
          <o:OLEObject Type="Embed" ProgID="Visio.Drawing.15" ShapeID="_x0000_i1026" DrawAspect="Content" ObjectID="_1558892573" r:id="rId15"/>
        </w:object>
      </w:r>
    </w:p>
    <w:p w:rsidR="00A23E4E" w:rsidRDefault="00A23E4E" w:rsidP="00A23E4E">
      <w:pPr>
        <w:pStyle w:val="Caption"/>
      </w:pPr>
      <w:bookmarkStart w:id="5" w:name="_Ref484545057"/>
      <w:r>
        <w:t xml:space="preserve">Şekil </w:t>
      </w:r>
      <w:r>
        <w:fldChar w:fldCharType="begin"/>
      </w:r>
      <w:r>
        <w:instrText xml:space="preserve"> SEQ Şekil \* ARABIC </w:instrText>
      </w:r>
      <w:r>
        <w:fldChar w:fldCharType="separate"/>
      </w:r>
      <w:r w:rsidR="00A87F15">
        <w:rPr>
          <w:noProof/>
        </w:rPr>
        <w:t>5</w:t>
      </w:r>
      <w:r>
        <w:fldChar w:fldCharType="end"/>
      </w:r>
      <w:bookmarkEnd w:id="5"/>
      <w:r>
        <w:t>: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w:t>
      </w:r>
      <w:r>
        <w:rPr>
          <w:sz w:val="18"/>
          <w:szCs w:val="18"/>
        </w:rPr>
        <w:t xml:space="preserve">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kritik parametreleri </w:t>
      </w:r>
      <w:r w:rsidR="000C3B19" w:rsidRPr="000C3B19">
        <w:rPr>
          <w:sz w:val="18"/>
          <w:szCs w:val="18"/>
        </w:rPr>
        <w:fldChar w:fldCharType="begin"/>
      </w:r>
      <w:r w:rsidR="000C3B19" w:rsidRPr="000C3B19">
        <w:rPr>
          <w:sz w:val="18"/>
          <w:szCs w:val="18"/>
        </w:rPr>
        <w:instrText xml:space="preserve"> REF _Ref484549515 \h </w:instrText>
      </w:r>
      <w:r w:rsidR="000C3B19">
        <w:rPr>
          <w:sz w:val="18"/>
          <w:szCs w:val="18"/>
        </w:rPr>
        <w:instrText xml:space="preserve"> \* MERGEFORMAT </w:instrText>
      </w:r>
      <w:r w:rsidR="000C3B19" w:rsidRPr="000C3B19">
        <w:rPr>
          <w:sz w:val="18"/>
          <w:szCs w:val="18"/>
        </w:rPr>
      </w:r>
      <w:r w:rsidR="000C3B19" w:rsidRPr="000C3B19">
        <w:rPr>
          <w:sz w:val="18"/>
          <w:szCs w:val="18"/>
        </w:rPr>
        <w:fldChar w:fldCharType="separate"/>
      </w:r>
      <w:r w:rsidR="00A87F15" w:rsidRPr="00A87F15">
        <w:rPr>
          <w:sz w:val="18"/>
          <w:szCs w:val="18"/>
        </w:rPr>
        <w:t xml:space="preserve">Tablo </w:t>
      </w:r>
      <w:r w:rsidR="00A87F15" w:rsidRPr="00A87F15">
        <w:rPr>
          <w:noProof/>
          <w:sz w:val="18"/>
          <w:szCs w:val="18"/>
        </w:rPr>
        <w:t>2</w:t>
      </w:r>
      <w:r w:rsidR="000C3B19" w:rsidRPr="000C3B19">
        <w:rPr>
          <w:sz w:val="18"/>
          <w:szCs w:val="18"/>
        </w:rPr>
        <w:fldChar w:fldCharType="end"/>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6" w:name="_Ref484549515"/>
      <w:r>
        <w:t xml:space="preserve">Tablo </w:t>
      </w:r>
      <w:r>
        <w:fldChar w:fldCharType="begin"/>
      </w:r>
      <w:r>
        <w:instrText xml:space="preserve"> SEQ Tablo \* ARABIC </w:instrText>
      </w:r>
      <w:r>
        <w:fldChar w:fldCharType="separate"/>
      </w:r>
      <w:r w:rsidR="00A87F15">
        <w:rPr>
          <w:noProof/>
        </w:rPr>
        <w:t>2</w:t>
      </w:r>
      <w:r>
        <w:fldChar w:fldCharType="end"/>
      </w:r>
      <w:r>
        <w:t>: Seçilen GaN’lar ve kritik parametreleri</w:t>
      </w:r>
      <w:bookmarkEnd w:id="6"/>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1E76A7" w:rsidRDefault="001E76A7" w:rsidP="001E76A7">
      <w:r>
        <w:t xml:space="preserve">Güç yarıiletken kayıpları, </w:t>
      </w:r>
      <w:r w:rsidR="006120BD">
        <w:t>transistor</w:t>
      </w:r>
      <w:r>
        <w:t xml:space="preserve"> iletim kayıpları (P</w:t>
      </w:r>
      <w:r w:rsidRPr="001E76A7">
        <w:rPr>
          <w:vertAlign w:val="subscript"/>
        </w:rPr>
        <w:t>tc</w:t>
      </w:r>
      <w:r>
        <w:t>) ve anahtarlama kayıpları (P</w:t>
      </w:r>
      <w:r w:rsidRPr="001E76A7">
        <w:rPr>
          <w:vertAlign w:val="subscript"/>
        </w:rPr>
        <w:t>ts</w:t>
      </w:r>
      <w:r>
        <w:t xml:space="preserve">), ters paralel diyot (veya ters iletim </w:t>
      </w:r>
      <w:r w:rsidR="006120BD">
        <w:t>transistor</w:t>
      </w:r>
      <w:r>
        <w:t>) iletim kayıpları (P</w:t>
      </w:r>
      <w:r>
        <w:rPr>
          <w:vertAlign w:val="subscript"/>
        </w:rPr>
        <w:t>d</w:t>
      </w:r>
      <w:r w:rsidRPr="001E76A7">
        <w:rPr>
          <w:vertAlign w:val="subscript"/>
        </w:rPr>
        <w:t>c</w:t>
      </w:r>
      <w:r>
        <w:t>) ve anahtarlama kayıpları (P</w:t>
      </w:r>
      <w:r>
        <w:rPr>
          <w:vertAlign w:val="subscript"/>
        </w:rPr>
        <w:t>dr</w:t>
      </w:r>
      <w:r>
        <w:t>)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A87F1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A87F15">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A87F1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A87F1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A87F1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A87F1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156E8E" w:rsidRPr="00156E8E">
        <w:rPr>
          <w:vertAlign w:val="subscript"/>
        </w:rPr>
        <w:t>c,rms</w:t>
      </w:r>
      <w:r w:rsidR="00156E8E">
        <w:t>). Buna ek olarak, kondansatör sıcaklık artışı (T</w:t>
      </w:r>
      <w:r w:rsidR="00156E8E" w:rsidRPr="00156E8E">
        <w:rPr>
          <w:vertAlign w:val="subscript"/>
        </w:rPr>
        <w:t>core</w:t>
      </w:r>
      <w:r w:rsidR="00156E8E">
        <w:t>) da kondansatör ömrünü etkilediğinden dolayı incelenmelidir. Tüm bu parametrelerin analitik olarak elde edilmiş ve Eşitlik 12-</w:t>
      </w:r>
      <w:r w:rsidR="00156E8E">
        <w:lastRenderedPageBreak/>
        <w:t xml:space="preserve">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460001" w:rsidRPr="00460001">
        <w:rPr>
          <w:vertAlign w:val="subscript"/>
        </w:rPr>
        <w:t>th,c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A87F15" w:rsidP="00A87F15">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ad>
                      <m:radPr>
                        <m:degHide m:val="1"/>
                        <m:ctrlPr>
                          <w:rPr>
                            <w:rFonts w:ascii="Cambria Math" w:hAnsi="Cambria Math"/>
                            <w:i/>
                            <w:sz w:val="18"/>
                            <w:szCs w:val="18"/>
                          </w:rPr>
                        </m:ctrlPr>
                      </m:radPr>
                      <m:deg/>
                      <m:e>
                        <m:r>
                          <w:rPr>
                            <w:rFonts w:ascii="Cambria Math" w:hAnsi="Cambria Math"/>
                            <w:sz w:val="18"/>
                            <w:szCs w:val="18"/>
                          </w:rPr>
                          <m:t>2</m:t>
                        </m:r>
                      </m:e>
                    </m:ra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A87F15">
            <w:pPr>
              <w:jc w:val="center"/>
              <w:rPr>
                <w:sz w:val="18"/>
                <w:szCs w:val="18"/>
              </w:rPr>
            </w:pPr>
          </w:p>
        </w:tc>
        <w:tc>
          <w:tcPr>
            <w:tcW w:w="558" w:type="dxa"/>
          </w:tcPr>
          <w:p w:rsidR="00156E8E" w:rsidRPr="00156E8E" w:rsidRDefault="00156E8E" w:rsidP="00A87F15">
            <w:pPr>
              <w:jc w:val="center"/>
              <w:rPr>
                <w:sz w:val="18"/>
                <w:szCs w:val="18"/>
              </w:rPr>
            </w:pPr>
            <w:r w:rsidRPr="00156E8E">
              <w:rPr>
                <w:sz w:val="18"/>
                <w:szCs w:val="18"/>
              </w:rPr>
              <w:t>(12)</w:t>
            </w:r>
          </w:p>
        </w:tc>
      </w:tr>
      <w:tr w:rsidR="00156E8E" w:rsidRPr="00156E8E" w:rsidTr="00460001">
        <w:tc>
          <w:tcPr>
            <w:tcW w:w="3978" w:type="dxa"/>
            <w:vAlign w:val="center"/>
          </w:tcPr>
          <w:p w:rsidR="00156E8E" w:rsidRPr="00156E8E" w:rsidRDefault="00A87F15" w:rsidP="00A87F15">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sidRPr="00156E8E">
              <w:rPr>
                <w:sz w:val="18"/>
                <w:szCs w:val="18"/>
              </w:rPr>
              <w:t>(13)</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A87F15"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A87F15"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A87F15">
            <w:pPr>
              <w:rPr>
                <w:sz w:val="18"/>
                <w:szCs w:val="18"/>
              </w:rPr>
            </w:pPr>
          </w:p>
        </w:tc>
        <w:tc>
          <w:tcPr>
            <w:tcW w:w="558" w:type="dxa"/>
            <w:vAlign w:val="center"/>
          </w:tcPr>
          <w:p w:rsidR="00156E8E" w:rsidRPr="00156E8E" w:rsidRDefault="00460001" w:rsidP="00A87F15">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E248D6" w:rsidP="00BE382C">
      <w:pPr>
        <w:pStyle w:val="BodyTextKeep"/>
        <w:ind w:right="0"/>
      </w:pPr>
      <w:r>
        <w:t xml:space="preserve">Konvansiyonel IGBT’li motor sürücü ile GaN’lı TMMS sistemi kayıp analizi karşılaştırmalı sonuçları </w:t>
      </w:r>
      <w:r>
        <w:fldChar w:fldCharType="begin"/>
      </w:r>
      <w:r>
        <w:instrText xml:space="preserve"> REF _Ref485060119 \h </w:instrText>
      </w:r>
      <w:r>
        <w:fldChar w:fldCharType="separate"/>
      </w:r>
      <w:r w:rsidR="00A87F15">
        <w:t xml:space="preserve">Şekil </w:t>
      </w:r>
      <w:r w:rsidR="00A87F15">
        <w:rPr>
          <w:noProof/>
        </w:rPr>
        <w:t>6</w:t>
      </w:r>
      <w:r w:rsidR="00A87F15">
        <w:t xml:space="preserve"> </w:t>
      </w:r>
      <w:r>
        <w:fldChar w:fldCharType="end"/>
      </w:r>
      <w:r>
        <w:t>‘</w:t>
      </w:r>
      <w:bookmarkStart w:id="7" w:name="_GoBack"/>
      <w:bookmarkEnd w:id="7"/>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6pt;height:128.1pt" o:ole="">
            <v:imagedata r:id="rId16" o:title=""/>
          </v:shape>
          <o:OLEObject Type="Embed" ProgID="Visio.Drawing.15" ShapeID="_x0000_i1027" DrawAspect="Content" ObjectID="_1558892574" r:id="rId17"/>
        </w:object>
      </w:r>
    </w:p>
    <w:p w:rsidR="00460001" w:rsidRDefault="00E248D6" w:rsidP="00FC52D5">
      <w:pPr>
        <w:pStyle w:val="Caption"/>
      </w:pPr>
      <w:bookmarkStart w:id="8" w:name="_Ref485060119"/>
      <w:r>
        <w:t xml:space="preserve">Şekil </w:t>
      </w:r>
      <w:r>
        <w:fldChar w:fldCharType="begin"/>
      </w:r>
      <w:r>
        <w:instrText xml:space="preserve"> SEQ Şekil \* ARABIC </w:instrText>
      </w:r>
      <w:r>
        <w:fldChar w:fldCharType="separate"/>
      </w:r>
      <w:r w:rsidR="00A87F15">
        <w:rPr>
          <w:noProof/>
        </w:rPr>
        <w:t>6</w:t>
      </w:r>
      <w:r>
        <w:fldChar w:fldCharType="end"/>
      </w:r>
      <w:r>
        <w:t>: Konvansiyonel motor sürücü sistemi ile TMMS sistemi kayıp analizi sonuçları</w:t>
      </w:r>
      <w:bookmarkEnd w:id="8"/>
    </w:p>
    <w:p w:rsidR="002D07F5" w:rsidRDefault="002D07F5" w:rsidP="00FC52D5"/>
    <w:p w:rsidR="00FC52D5" w:rsidRDefault="00FC52D5" w:rsidP="00FC52D5">
      <w:r>
        <w:t>Kayıplar yorumla</w:t>
      </w:r>
    </w:p>
    <w:p w:rsidR="00FC52D5" w:rsidRPr="00FC52D5" w:rsidRDefault="00FC52D5" w:rsidP="00FC52D5"/>
    <w:p w:rsidR="00460001" w:rsidRDefault="00460001" w:rsidP="00BE382C">
      <w:pPr>
        <w:pStyle w:val="BodyTextKeep"/>
        <w:ind w:right="0"/>
      </w:pPr>
      <w:r>
        <w:t>Interleaving grafiği</w:t>
      </w:r>
    </w:p>
    <w:p w:rsidR="00460001" w:rsidRDefault="00460001" w:rsidP="00BE382C">
      <w:pPr>
        <w:pStyle w:val="BodyTextKeep"/>
        <w:ind w:right="0"/>
      </w:pPr>
    </w:p>
    <w:p w:rsidR="00460001" w:rsidRDefault="00460001" w:rsidP="00BE382C">
      <w:pPr>
        <w:pStyle w:val="BodyTextKeep"/>
        <w:ind w:right="0"/>
      </w:pPr>
      <w:r>
        <w:t>Kondansatör sayısal sonuçlar</w:t>
      </w:r>
    </w:p>
    <w:p w:rsidR="00460001" w:rsidRDefault="00460001" w:rsidP="00BE382C">
      <w:pPr>
        <w:pStyle w:val="BodyTextKeep"/>
        <w:ind w:right="0"/>
      </w:pPr>
    </w:p>
    <w:p w:rsidR="00460001" w:rsidRDefault="00460001" w:rsidP="00BE382C">
      <w:pPr>
        <w:pStyle w:val="BodyTextKeep"/>
        <w:ind w:right="0"/>
      </w:pPr>
      <w:r>
        <w:t>Kondansatör seçim sonuçları</w:t>
      </w:r>
    </w:p>
    <w:p w:rsidR="00460001" w:rsidRDefault="00460001" w:rsidP="00BE382C">
      <w:pPr>
        <w:pStyle w:val="BodyTextKeep"/>
        <w:ind w:right="0"/>
      </w:pPr>
    </w:p>
    <w:p w:rsidR="00460001" w:rsidRDefault="00460001" w:rsidP="00BE382C">
      <w:pPr>
        <w:pStyle w:val="BodyTextKeep"/>
        <w:ind w:right="0"/>
      </w:pPr>
      <w:r>
        <w:t>DC Link gerilimi dalgalanma - Balance olayı</w:t>
      </w:r>
    </w:p>
    <w:p w:rsidR="00D56760" w:rsidRDefault="00D56760" w:rsidP="00BE382C">
      <w:pPr>
        <w:pStyle w:val="BodyTextKeep"/>
        <w:ind w:right="0"/>
      </w:pPr>
    </w:p>
    <w:p w:rsidR="00460001" w:rsidRDefault="00460001" w:rsidP="00BE382C">
      <w:pPr>
        <w:pStyle w:val="BodyTextKeep"/>
        <w:ind w:right="0"/>
      </w:pPr>
      <w:r>
        <w:t>4 modül birden DC bara akımları</w:t>
      </w:r>
    </w:p>
    <w:p w:rsidR="00460001" w:rsidRDefault="00460001" w:rsidP="00BE382C">
      <w:pPr>
        <w:pStyle w:val="BodyTextKeep"/>
        <w:ind w:right="0"/>
      </w:pPr>
    </w:p>
    <w:p w:rsidR="00460001" w:rsidRDefault="00460001" w:rsidP="00BE382C">
      <w:pPr>
        <w:pStyle w:val="BodyTextKeep"/>
        <w:ind w:right="0"/>
      </w:pPr>
      <w:r>
        <w:t>Power density sonucu</w:t>
      </w:r>
    </w:p>
    <w:p w:rsidR="00460001" w:rsidRDefault="00460001" w:rsidP="00BE382C">
      <w:pPr>
        <w:pStyle w:val="BodyTextKeep"/>
        <w:ind w:right="0"/>
      </w:pPr>
    </w:p>
    <w:p w:rsidR="00460001" w:rsidRDefault="00460001" w:rsidP="00BE382C">
      <w:pPr>
        <w:pStyle w:val="BodyTextKeep"/>
        <w:ind w:right="0"/>
      </w:pPr>
    </w:p>
    <w:p w:rsidR="006120BD" w:rsidRDefault="006120BD">
      <w:pPr>
        <w:jc w:val="left"/>
        <w:rPr>
          <w:b/>
          <w:bCs/>
          <w:sz w:val="22"/>
          <w:szCs w:val="22"/>
        </w:rPr>
      </w:pPr>
      <w:r>
        <w:br w:type="page"/>
      </w:r>
    </w:p>
    <w:p w:rsidR="00D56760" w:rsidRPr="009D09D2" w:rsidRDefault="00D56760" w:rsidP="00D56760">
      <w:pPr>
        <w:pStyle w:val="Heading1"/>
      </w:pPr>
      <w:r w:rsidRPr="009D09D2">
        <w:lastRenderedPageBreak/>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18"/>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E50" w:rsidRDefault="003C2E50">
      <w:r>
        <w:separator/>
      </w:r>
    </w:p>
  </w:endnote>
  <w:endnote w:type="continuationSeparator" w:id="0">
    <w:p w:rsidR="003C2E50" w:rsidRDefault="003C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F15" w:rsidRDefault="00A87F15">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A87F15" w:rsidRDefault="00A87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F15" w:rsidRDefault="00A87F15">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A87F15" w:rsidRDefault="00A87F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E50" w:rsidRDefault="003C2E50">
      <w:r>
        <w:separator/>
      </w:r>
    </w:p>
  </w:footnote>
  <w:footnote w:type="continuationSeparator" w:id="0">
    <w:p w:rsidR="003C2E50" w:rsidRDefault="003C2E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6DBE"/>
    <w:rsid w:val="000B7C56"/>
    <w:rsid w:val="000C3B19"/>
    <w:rsid w:val="000F2A3A"/>
    <w:rsid w:val="001000CE"/>
    <w:rsid w:val="00101C27"/>
    <w:rsid w:val="001136AB"/>
    <w:rsid w:val="00113D70"/>
    <w:rsid w:val="0011580F"/>
    <w:rsid w:val="001210DD"/>
    <w:rsid w:val="001557F7"/>
    <w:rsid w:val="001564CC"/>
    <w:rsid w:val="00156E8E"/>
    <w:rsid w:val="0016616B"/>
    <w:rsid w:val="0019011D"/>
    <w:rsid w:val="00191FEC"/>
    <w:rsid w:val="001C152E"/>
    <w:rsid w:val="001E0A59"/>
    <w:rsid w:val="001E4653"/>
    <w:rsid w:val="001E76A7"/>
    <w:rsid w:val="001F42AC"/>
    <w:rsid w:val="002030E9"/>
    <w:rsid w:val="002062DA"/>
    <w:rsid w:val="00212690"/>
    <w:rsid w:val="00242A63"/>
    <w:rsid w:val="00246D75"/>
    <w:rsid w:val="00287DAD"/>
    <w:rsid w:val="002A0A94"/>
    <w:rsid w:val="002A6340"/>
    <w:rsid w:val="002D07F5"/>
    <w:rsid w:val="002D44E0"/>
    <w:rsid w:val="0030012D"/>
    <w:rsid w:val="0030032F"/>
    <w:rsid w:val="00303AD8"/>
    <w:rsid w:val="0031613C"/>
    <w:rsid w:val="00316A2D"/>
    <w:rsid w:val="00353398"/>
    <w:rsid w:val="00360AC2"/>
    <w:rsid w:val="00381803"/>
    <w:rsid w:val="003A40B2"/>
    <w:rsid w:val="003C1C41"/>
    <w:rsid w:val="003C1EA9"/>
    <w:rsid w:val="003C2E50"/>
    <w:rsid w:val="003C3A7E"/>
    <w:rsid w:val="003C53FF"/>
    <w:rsid w:val="003D0C32"/>
    <w:rsid w:val="003D1ADF"/>
    <w:rsid w:val="003D4058"/>
    <w:rsid w:val="003F5457"/>
    <w:rsid w:val="00403DC2"/>
    <w:rsid w:val="00413425"/>
    <w:rsid w:val="00460001"/>
    <w:rsid w:val="00472CED"/>
    <w:rsid w:val="00494735"/>
    <w:rsid w:val="004A63D9"/>
    <w:rsid w:val="004A726A"/>
    <w:rsid w:val="004B22BD"/>
    <w:rsid w:val="004C6147"/>
    <w:rsid w:val="00536AF7"/>
    <w:rsid w:val="005556B5"/>
    <w:rsid w:val="00561FE8"/>
    <w:rsid w:val="0058161B"/>
    <w:rsid w:val="00594755"/>
    <w:rsid w:val="005B2D2E"/>
    <w:rsid w:val="005D33AB"/>
    <w:rsid w:val="005F0A73"/>
    <w:rsid w:val="00604AA2"/>
    <w:rsid w:val="00605C97"/>
    <w:rsid w:val="006120BD"/>
    <w:rsid w:val="00615F25"/>
    <w:rsid w:val="006229FA"/>
    <w:rsid w:val="00635B54"/>
    <w:rsid w:val="00647F83"/>
    <w:rsid w:val="00680149"/>
    <w:rsid w:val="00686ED6"/>
    <w:rsid w:val="0069048F"/>
    <w:rsid w:val="006B1A1F"/>
    <w:rsid w:val="006B743E"/>
    <w:rsid w:val="006E790D"/>
    <w:rsid w:val="006E7A23"/>
    <w:rsid w:val="006F1533"/>
    <w:rsid w:val="00707F0D"/>
    <w:rsid w:val="007350CB"/>
    <w:rsid w:val="00784433"/>
    <w:rsid w:val="007850D3"/>
    <w:rsid w:val="00794F4D"/>
    <w:rsid w:val="00795619"/>
    <w:rsid w:val="007C0C2F"/>
    <w:rsid w:val="007E4D89"/>
    <w:rsid w:val="00803F2F"/>
    <w:rsid w:val="0080791E"/>
    <w:rsid w:val="00812DC4"/>
    <w:rsid w:val="008138E9"/>
    <w:rsid w:val="00823ECD"/>
    <w:rsid w:val="00832027"/>
    <w:rsid w:val="00842357"/>
    <w:rsid w:val="008464FC"/>
    <w:rsid w:val="00872C76"/>
    <w:rsid w:val="008821AB"/>
    <w:rsid w:val="0088584A"/>
    <w:rsid w:val="008A1B4B"/>
    <w:rsid w:val="008B729C"/>
    <w:rsid w:val="008C2386"/>
    <w:rsid w:val="008E3484"/>
    <w:rsid w:val="008F03E1"/>
    <w:rsid w:val="008F5B7E"/>
    <w:rsid w:val="008F6598"/>
    <w:rsid w:val="00904F1E"/>
    <w:rsid w:val="00923623"/>
    <w:rsid w:val="0093622C"/>
    <w:rsid w:val="009470F1"/>
    <w:rsid w:val="00951A75"/>
    <w:rsid w:val="00972934"/>
    <w:rsid w:val="0097562A"/>
    <w:rsid w:val="009770BE"/>
    <w:rsid w:val="009A4E6D"/>
    <w:rsid w:val="009B677B"/>
    <w:rsid w:val="009C01D7"/>
    <w:rsid w:val="009D09D2"/>
    <w:rsid w:val="009D0CD7"/>
    <w:rsid w:val="009D4286"/>
    <w:rsid w:val="009F40AC"/>
    <w:rsid w:val="00A04B42"/>
    <w:rsid w:val="00A06D8F"/>
    <w:rsid w:val="00A171B2"/>
    <w:rsid w:val="00A23E4E"/>
    <w:rsid w:val="00A25E4B"/>
    <w:rsid w:val="00A8116F"/>
    <w:rsid w:val="00A87F15"/>
    <w:rsid w:val="00AA0C7F"/>
    <w:rsid w:val="00AC1166"/>
    <w:rsid w:val="00AF6517"/>
    <w:rsid w:val="00B0484F"/>
    <w:rsid w:val="00B1472A"/>
    <w:rsid w:val="00B21514"/>
    <w:rsid w:val="00B22CD7"/>
    <w:rsid w:val="00B429EC"/>
    <w:rsid w:val="00B435BD"/>
    <w:rsid w:val="00B51EE7"/>
    <w:rsid w:val="00B82DCA"/>
    <w:rsid w:val="00B844B3"/>
    <w:rsid w:val="00B956C4"/>
    <w:rsid w:val="00B95945"/>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87B8A"/>
    <w:rsid w:val="00C91B33"/>
    <w:rsid w:val="00CD30BE"/>
    <w:rsid w:val="00CF087F"/>
    <w:rsid w:val="00D01AAE"/>
    <w:rsid w:val="00D228B6"/>
    <w:rsid w:val="00D46DB7"/>
    <w:rsid w:val="00D56760"/>
    <w:rsid w:val="00D652F7"/>
    <w:rsid w:val="00D669BF"/>
    <w:rsid w:val="00D770E1"/>
    <w:rsid w:val="00D84537"/>
    <w:rsid w:val="00D863EE"/>
    <w:rsid w:val="00D930E2"/>
    <w:rsid w:val="00DA2A3E"/>
    <w:rsid w:val="00DA6DBB"/>
    <w:rsid w:val="00DB6625"/>
    <w:rsid w:val="00DC4316"/>
    <w:rsid w:val="00DD5487"/>
    <w:rsid w:val="00DE752D"/>
    <w:rsid w:val="00DF3C2C"/>
    <w:rsid w:val="00E00100"/>
    <w:rsid w:val="00E107B7"/>
    <w:rsid w:val="00E13E4C"/>
    <w:rsid w:val="00E14FD4"/>
    <w:rsid w:val="00E248D6"/>
    <w:rsid w:val="00E301DA"/>
    <w:rsid w:val="00E3175E"/>
    <w:rsid w:val="00E45CE2"/>
    <w:rsid w:val="00E56B89"/>
    <w:rsid w:val="00E94D86"/>
    <w:rsid w:val="00EA143B"/>
    <w:rsid w:val="00EA4056"/>
    <w:rsid w:val="00ED46CA"/>
    <w:rsid w:val="00EF0F94"/>
    <w:rsid w:val="00EF2214"/>
    <w:rsid w:val="00EF2938"/>
    <w:rsid w:val="00F12383"/>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64EECD-5258-4645-B377-1BCDCCCA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1166</TotalTime>
  <Pages>6</Pages>
  <Words>11641</Words>
  <Characters>66354</Characters>
  <Application>Microsoft Office Word</Application>
  <DocSecurity>0</DocSecurity>
  <Lines>552</Lines>
  <Paragraphs>155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22</cp:revision>
  <cp:lastPrinted>2017-06-13T08:15:00Z</cp:lastPrinted>
  <dcterms:created xsi:type="dcterms:W3CDTF">2017-06-06T17:47:00Z</dcterms:created>
  <dcterms:modified xsi:type="dcterms:W3CDTF">2017-06-13T17:56:00Z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