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CD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097C26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E873C9" w:rsidRDefault="00E873C9"/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Pr="00B77656">
        <w:t xml:space="preserve"> IEEE </w:t>
      </w:r>
      <w:proofErr w:type="spellStart"/>
      <w:r w:rsidRPr="00B77656">
        <w:t>En</w:t>
      </w:r>
      <w:proofErr w:type="spellEnd"/>
      <w:r w:rsidRPr="00B77656">
        <w:t xml:space="preserve">- </w:t>
      </w:r>
      <w:proofErr w:type="spellStart"/>
      <w:r w:rsidRPr="00B77656">
        <w:t>ergy</w:t>
      </w:r>
      <w:proofErr w:type="spellEnd"/>
      <w:r w:rsidRPr="00B77656">
        <w:t xml:space="preserve"> Conversion Congress and Exposition (ECCE), Pittsburgh, PA., 2014, pp. 4881-4887.</w:t>
      </w:r>
    </w:p>
    <w:p w:rsidR="00E645C4" w:rsidRDefault="00E645C4" w:rsidP="00E645C4">
      <w:pPr>
        <w:pStyle w:val="NormalWeb"/>
      </w:pPr>
      <w:r>
        <w:t xml:space="preserve">Wang, J., &amp; Han, Y. (2014).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>
        <w:t>Yehui</w:t>
      </w:r>
      <w:proofErr w:type="spellEnd"/>
      <w:r>
        <w:t xml:space="preserve"> Han. (2014).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>, C., &amp; Johnson, M. (2015). FEA based thermal analysis of various topologies for Integrated Motor Drives</w:t>
      </w:r>
      <w:bookmarkStart w:id="0" w:name="_GoBack"/>
      <w:bookmarkEnd w:id="0"/>
      <w:r>
        <w:t xml:space="preserve">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7716C6" w:rsidRDefault="007716C6" w:rsidP="00FA5458">
      <w:pPr>
        <w:pStyle w:val="NormalWeb"/>
      </w:pP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lastRenderedPageBreak/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1874F2">
        <w:rPr>
          <w:b/>
        </w:rPr>
        <w:t>J. Wang, Y. Li, and Y. Han,</w:t>
      </w:r>
      <w:r w:rsidRPr="001874F2">
        <w:t xml:space="preserve"> "</w:t>
      </w:r>
      <w:r w:rsidRPr="001874F2">
        <w:rPr>
          <w:b/>
        </w:rPr>
        <w:t xml:space="preserve">Integrated modular motor drive design with GaN power FETs," in IEEE Transactions on Industry Applica- </w:t>
      </w:r>
      <w:proofErr w:type="spellStart"/>
      <w:r w:rsidRPr="001874F2">
        <w:rPr>
          <w:b/>
        </w:rPr>
        <w:t>tions</w:t>
      </w:r>
      <w:proofErr w:type="spellEnd"/>
      <w:r w:rsidRPr="001874F2">
        <w:t xml:space="preserve">, vol. 51, no. 4, Jul.-Aug., </w:t>
      </w:r>
      <w:r w:rsidRPr="001874F2">
        <w:rPr>
          <w:b/>
        </w:rPr>
        <w:t>2015</w:t>
      </w:r>
      <w:r w:rsidRPr="001874F2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7716C6">
      <w:pPr>
        <w:pStyle w:val="NormalWeb"/>
        <w:ind w:left="480" w:hanging="480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lastRenderedPageBreak/>
        <w:t>2017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t xml:space="preserve">Thesis, Doctoral. 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874F2"/>
    <w:rsid w:val="00253BA3"/>
    <w:rsid w:val="002D1C04"/>
    <w:rsid w:val="003469FE"/>
    <w:rsid w:val="003A10CF"/>
    <w:rsid w:val="003B0541"/>
    <w:rsid w:val="003F5B01"/>
    <w:rsid w:val="0042184D"/>
    <w:rsid w:val="004329AB"/>
    <w:rsid w:val="00471A00"/>
    <w:rsid w:val="004F62D8"/>
    <w:rsid w:val="00505E9D"/>
    <w:rsid w:val="005A72A6"/>
    <w:rsid w:val="005A72FC"/>
    <w:rsid w:val="005D0B9E"/>
    <w:rsid w:val="006014EE"/>
    <w:rsid w:val="00651399"/>
    <w:rsid w:val="00672281"/>
    <w:rsid w:val="006759C6"/>
    <w:rsid w:val="006A1AC1"/>
    <w:rsid w:val="007556AE"/>
    <w:rsid w:val="007716C6"/>
    <w:rsid w:val="008028F1"/>
    <w:rsid w:val="008B27CF"/>
    <w:rsid w:val="00A33AA1"/>
    <w:rsid w:val="00A80C6B"/>
    <w:rsid w:val="00B77656"/>
    <w:rsid w:val="00B97390"/>
    <w:rsid w:val="00BA10C8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00E7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tamp/stamp.jsp?arnumber=63636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mesutto</cp:lastModifiedBy>
  <cp:revision>16</cp:revision>
  <dcterms:created xsi:type="dcterms:W3CDTF">2018-02-18T09:11:00Z</dcterms:created>
  <dcterms:modified xsi:type="dcterms:W3CDTF">2018-02-19T10:32:00Z</dcterms:modified>
</cp:coreProperties>
</file>