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CC6F4B" w:rsidP="00CC6F4B">
      <w:pPr>
        <w:pStyle w:val="papertitle"/>
        <w:rPr>
          <w:rFonts w:eastAsia="MS Mincho"/>
        </w:rPr>
      </w:pPr>
      <w:r w:rsidRPr="00CC6F4B">
        <w:rPr>
          <w:rFonts w:eastAsia="MS Mincho"/>
          <w:b/>
          <w:i/>
        </w:rPr>
        <w:t xml:space="preserve">Design </w:t>
      </w:r>
      <w:r>
        <w:rPr>
          <w:rFonts w:eastAsia="MS Mincho"/>
          <w:b/>
          <w:i/>
        </w:rPr>
        <w:t>of</w:t>
      </w:r>
      <w:r w:rsidRPr="00CC6F4B">
        <w:rPr>
          <w:rFonts w:eastAsia="MS Mincho"/>
          <w:b/>
          <w:i/>
        </w:rPr>
        <w:t xml:space="preserve"> an Integrated Modular Motor Drive </w:t>
      </w:r>
      <w:r>
        <w:rPr>
          <w:rFonts w:eastAsia="MS Mincho"/>
          <w:b/>
          <w:i/>
        </w:rPr>
        <w:t>S</w:t>
      </w:r>
      <w:r w:rsidRPr="00CC6F4B">
        <w:rPr>
          <w:rFonts w:eastAsia="MS Mincho"/>
          <w:b/>
          <w:i/>
        </w:rPr>
        <w:t>ystem</w:t>
      </w:r>
      <w:r w:rsidR="008A55B5">
        <w:rPr>
          <w:rFonts w:eastAsia="MS Mincho"/>
        </w:rPr>
        <w:t xml:space="preserve"> </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62378F">
      <w:pPr>
        <w:pStyle w:val="Author"/>
        <w:rPr>
          <w:rFonts w:eastAsia="MS Mincho"/>
        </w:rPr>
      </w:pPr>
      <w:r>
        <w:rPr>
          <w:rFonts w:eastAsia="MS Mincho"/>
        </w:rPr>
        <w:lastRenderedPageBreak/>
        <w:t>Mesut Uğur</w:t>
      </w:r>
    </w:p>
    <w:p w:rsidR="008A55B5" w:rsidRDefault="0062378F">
      <w:pPr>
        <w:pStyle w:val="Affiliation"/>
        <w:rPr>
          <w:rFonts w:eastAsia="MS Mincho"/>
        </w:rPr>
      </w:pPr>
      <w:r>
        <w:rPr>
          <w:rFonts w:eastAsia="MS Mincho"/>
        </w:rPr>
        <w:t>Department of Electrical and Electronics Engineering</w:t>
      </w:r>
    </w:p>
    <w:p w:rsidR="008A55B5" w:rsidRDefault="0062378F">
      <w:pPr>
        <w:pStyle w:val="Affiliation"/>
        <w:rPr>
          <w:rFonts w:eastAsia="MS Mincho"/>
        </w:rPr>
      </w:pPr>
      <w:r>
        <w:rPr>
          <w:rFonts w:eastAsia="MS Mincho"/>
        </w:rPr>
        <w:t>Middle East Technical University</w:t>
      </w:r>
    </w:p>
    <w:p w:rsidR="008A55B5" w:rsidRDefault="0062378F">
      <w:pPr>
        <w:pStyle w:val="Affiliation"/>
        <w:rPr>
          <w:rFonts w:eastAsia="MS Mincho"/>
        </w:rPr>
      </w:pPr>
      <w:r>
        <w:rPr>
          <w:rFonts w:eastAsia="MS Mincho"/>
        </w:rPr>
        <w:t>Ankara, Turkey</w:t>
      </w:r>
    </w:p>
    <w:p w:rsidR="008A55B5" w:rsidRDefault="0062378F">
      <w:pPr>
        <w:pStyle w:val="Affiliation"/>
        <w:rPr>
          <w:rFonts w:eastAsia="MS Mincho"/>
        </w:rPr>
      </w:pPr>
      <w:r>
        <w:rPr>
          <w:rFonts w:eastAsia="MS Mincho"/>
        </w:rPr>
        <w:t>ugurm@metu.edu.tr</w:t>
      </w:r>
    </w:p>
    <w:p w:rsidR="008A55B5" w:rsidRDefault="0062378F">
      <w:pPr>
        <w:pStyle w:val="Author"/>
        <w:rPr>
          <w:rFonts w:eastAsia="MS Mincho"/>
        </w:rPr>
      </w:pPr>
      <w:r>
        <w:rPr>
          <w:rFonts w:eastAsia="MS Mincho"/>
        </w:rPr>
        <w:lastRenderedPageBreak/>
        <w:t>Ozan Keysan</w:t>
      </w:r>
    </w:p>
    <w:p w:rsidR="0062378F" w:rsidRDefault="0062378F" w:rsidP="0062378F">
      <w:pPr>
        <w:pStyle w:val="Affiliation"/>
        <w:rPr>
          <w:rFonts w:eastAsia="MS Mincho"/>
        </w:rPr>
      </w:pPr>
      <w:r>
        <w:rPr>
          <w:rFonts w:eastAsia="MS Mincho"/>
        </w:rPr>
        <w:t>Department of Electrical and Electronics Engineering</w:t>
      </w:r>
    </w:p>
    <w:p w:rsidR="0062378F" w:rsidRDefault="0062378F" w:rsidP="0062378F">
      <w:pPr>
        <w:pStyle w:val="Affiliation"/>
        <w:rPr>
          <w:rFonts w:eastAsia="MS Mincho"/>
        </w:rPr>
      </w:pPr>
      <w:r>
        <w:rPr>
          <w:rFonts w:eastAsia="MS Mincho"/>
        </w:rPr>
        <w:t>Middle East Technical University</w:t>
      </w:r>
    </w:p>
    <w:p w:rsidR="0062378F" w:rsidRDefault="0062378F" w:rsidP="0062378F">
      <w:pPr>
        <w:pStyle w:val="Affiliation"/>
        <w:rPr>
          <w:rFonts w:eastAsia="MS Mincho"/>
        </w:rPr>
      </w:pPr>
      <w:r>
        <w:rPr>
          <w:rFonts w:eastAsia="MS Mincho"/>
        </w:rPr>
        <w:t>Ankara, Turkey</w:t>
      </w:r>
    </w:p>
    <w:p w:rsidR="008A55B5" w:rsidRDefault="0062378F">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keysan@metu.edu.tr</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rsidP="003F5138">
      <w:pPr>
        <w:jc w:val="both"/>
        <w:rPr>
          <w:b/>
          <w:sz w:val="18"/>
          <w:szCs w:val="18"/>
        </w:rPr>
      </w:pPr>
      <w:r>
        <w:rPr>
          <w:rFonts w:eastAsia="MS Mincho"/>
          <w:i/>
          <w:iCs/>
        </w:rPr>
        <w:lastRenderedPageBreak/>
        <w:t>Abstract</w:t>
      </w:r>
      <w:r>
        <w:rPr>
          <w:rFonts w:eastAsia="MS Mincho"/>
        </w:rPr>
        <w:t>—</w:t>
      </w:r>
      <w:r w:rsidR="003F5138" w:rsidRPr="003F5138">
        <w:rPr>
          <w:b/>
          <w:sz w:val="18"/>
          <w:szCs w:val="18"/>
        </w:rPr>
        <w:t xml:space="preserve"> </w:t>
      </w:r>
      <w:proofErr w:type="gramStart"/>
      <w:r w:rsidR="003F5138" w:rsidRPr="003C6E85">
        <w:rPr>
          <w:b/>
          <w:sz w:val="18"/>
          <w:szCs w:val="18"/>
        </w:rPr>
        <w:t>In</w:t>
      </w:r>
      <w:proofErr w:type="gramEnd"/>
      <w:r w:rsidR="003F5138" w:rsidRPr="003C6E85">
        <w:rPr>
          <w:b/>
          <w:sz w:val="18"/>
          <w:szCs w:val="18"/>
        </w:rPr>
        <w:t xml:space="preserve"> this study, design</w:t>
      </w:r>
      <w:r w:rsidR="003F5138">
        <w:rPr>
          <w:b/>
          <w:sz w:val="18"/>
          <w:szCs w:val="18"/>
        </w:rPr>
        <w:t xml:space="preserve"> procedure</w:t>
      </w:r>
      <w:r w:rsidR="003F5138" w:rsidRPr="003C6E85">
        <w:rPr>
          <w:b/>
          <w:sz w:val="18"/>
          <w:szCs w:val="18"/>
        </w:rPr>
        <w:t xml:space="preserve"> of an Integrated Modular Motor Drive (IMMD) is </w:t>
      </w:r>
      <w:r w:rsidR="003F5138">
        <w:rPr>
          <w:b/>
          <w:sz w:val="18"/>
          <w:szCs w:val="18"/>
        </w:rPr>
        <w:t>presented</w:t>
      </w:r>
      <w:r w:rsidR="003F5138" w:rsidRPr="003C6E85">
        <w:rPr>
          <w:b/>
          <w:sz w:val="18"/>
          <w:szCs w:val="18"/>
        </w:rPr>
        <w:t xml:space="preserve">. The design is based on a modular fractional slot concentrated winding permanent magnet synchronous machine (FSCW-PMSM) and power stage with gallium nitride (GaN) power field effect transistors (FETs). Suitable slot/pole combination and winding configuration are obtained </w:t>
      </w:r>
      <w:r w:rsidR="003F5138">
        <w:rPr>
          <w:b/>
          <w:sz w:val="18"/>
          <w:szCs w:val="18"/>
        </w:rPr>
        <w:t xml:space="preserve">in order </w:t>
      </w:r>
      <w:r w:rsidR="003F5138" w:rsidRPr="003C6E85">
        <w:rPr>
          <w:b/>
          <w:sz w:val="18"/>
          <w:szCs w:val="18"/>
        </w:rPr>
        <w:t xml:space="preserve">to maximize the stator winding factor as well as </w:t>
      </w:r>
      <w:r w:rsidR="003F5138">
        <w:rPr>
          <w:b/>
          <w:sz w:val="18"/>
          <w:szCs w:val="18"/>
        </w:rPr>
        <w:t xml:space="preserve">to </w:t>
      </w:r>
      <w:r w:rsidR="003F5138" w:rsidRPr="003C6E85">
        <w:rPr>
          <w:b/>
          <w:sz w:val="18"/>
          <w:szCs w:val="18"/>
        </w:rPr>
        <w:t>reduce the space harmonics on the modular motor. Optimum selection of number of series and parallel motor drive modules is achieved and power device selection is performed based on loss characterization.</w:t>
      </w:r>
      <w:r w:rsidR="003F5138">
        <w:rPr>
          <w:b/>
          <w:sz w:val="18"/>
          <w:szCs w:val="18"/>
        </w:rPr>
        <w:t xml:space="preserve"> Selection of DC link capacitor bank is performed and the effect of interleaving on the capacitor size is investigated.</w:t>
      </w:r>
      <w:r w:rsidR="003F5138" w:rsidRPr="003C6E85">
        <w:rPr>
          <w:b/>
          <w:sz w:val="18"/>
          <w:szCs w:val="18"/>
        </w:rPr>
        <w:t xml:space="preserve"> The performance of the system is obtained with Ansys/Maxwell for the motor and with MATLAB/Simulink for the power stage. The efficiency of the motor drive is enhanced by 2% compared to a conventional motor drive power stage.  Power density values larger than 15 W/cm</w:t>
      </w:r>
      <w:r w:rsidR="003F5138" w:rsidRPr="003C6E85">
        <w:rPr>
          <w:b/>
          <w:sz w:val="18"/>
          <w:szCs w:val="18"/>
          <w:vertAlign w:val="superscript"/>
        </w:rPr>
        <w:t>3</w:t>
      </w:r>
      <w:r w:rsidR="003F5138" w:rsidRPr="003C6E85">
        <w:rPr>
          <w:b/>
          <w:sz w:val="18"/>
          <w:szCs w:val="18"/>
        </w:rPr>
        <w:t xml:space="preserve"> has been achieved which is </w:t>
      </w:r>
      <w:r w:rsidR="003F5138">
        <w:rPr>
          <w:b/>
          <w:sz w:val="18"/>
          <w:szCs w:val="18"/>
        </w:rPr>
        <w:t>usually not obtained</w:t>
      </w:r>
      <w:r w:rsidR="003F5138" w:rsidRPr="003C6E85">
        <w:rPr>
          <w:b/>
          <w:sz w:val="18"/>
          <w:szCs w:val="18"/>
        </w:rPr>
        <w:t xml:space="preserve"> with conventional motor drive systems.</w:t>
      </w:r>
    </w:p>
    <w:p w:rsidR="003F5138" w:rsidRPr="003F5138" w:rsidRDefault="003F5138" w:rsidP="003F5138">
      <w:pPr>
        <w:jc w:val="both"/>
        <w:rPr>
          <w:b/>
          <w:sz w:val="18"/>
          <w:szCs w:val="18"/>
        </w:rPr>
      </w:pPr>
    </w:p>
    <w:p w:rsidR="008A55B5" w:rsidRDefault="0072064C">
      <w:pPr>
        <w:pStyle w:val="keywords"/>
        <w:rPr>
          <w:rFonts w:eastAsia="MS Mincho"/>
        </w:rPr>
      </w:pPr>
      <w:r>
        <w:rPr>
          <w:rFonts w:eastAsia="MS Mincho"/>
        </w:rPr>
        <w:t>Keywords—</w:t>
      </w:r>
      <w:r w:rsidR="00484409">
        <w:rPr>
          <w:rFonts w:eastAsia="MS Mincho"/>
        </w:rPr>
        <w:t>integrated modular motor drive; permanent magnet synchronous motor</w:t>
      </w:r>
      <w:r w:rsidR="008A55B5">
        <w:rPr>
          <w:rFonts w:eastAsia="MS Mincho"/>
        </w:rPr>
        <w:t xml:space="preserve">; </w:t>
      </w:r>
      <w:r w:rsidR="00484409">
        <w:rPr>
          <w:rFonts w:eastAsia="MS Mincho"/>
        </w:rPr>
        <w:t>gallium nitride</w:t>
      </w:r>
      <w:r w:rsidR="008A55B5">
        <w:rPr>
          <w:rFonts w:eastAsia="MS Mincho"/>
        </w:rPr>
        <w:t xml:space="preserve">; </w:t>
      </w:r>
      <w:r w:rsidR="00484409">
        <w:rPr>
          <w:rFonts w:eastAsia="MS Mincho"/>
        </w:rPr>
        <w:t>DC bus capacitor bank</w:t>
      </w:r>
    </w:p>
    <w:p w:rsidR="008A55B5" w:rsidRDefault="008A55B5" w:rsidP="00CB1404">
      <w:pPr>
        <w:pStyle w:val="Heading1"/>
      </w:pPr>
      <w:r>
        <w:t xml:space="preserve"> </w:t>
      </w:r>
      <w:r w:rsidR="00AA0504">
        <w:t>Introduction</w:t>
      </w:r>
    </w:p>
    <w:p w:rsidR="00AA0504" w:rsidRPr="00AA0504" w:rsidRDefault="00AA0504" w:rsidP="00AA0504">
      <w:pPr>
        <w:spacing w:after="120" w:line="228" w:lineRule="auto"/>
        <w:ind w:firstLine="227"/>
        <w:jc w:val="both"/>
      </w:pPr>
      <w:r w:rsidRPr="00AA0504">
        <w:t>In conventional motor drive systems, the drive units are placed in separate cabinets which increases the overall weight and volume of the system and decreases the power density of the system. Furthermore, the drive units are connected to the motor by means of long cables which causes transient voltage overshoots due to the high frequency pulse width modulation (PWM) operation.</w:t>
      </w:r>
    </w:p>
    <w:p w:rsidR="00AA0504" w:rsidRPr="00AA0504" w:rsidRDefault="00AA0504" w:rsidP="00AA0504">
      <w:pPr>
        <w:spacing w:after="120" w:line="228" w:lineRule="auto"/>
        <w:ind w:firstLine="227"/>
        <w:jc w:val="both"/>
      </w:pPr>
      <w:r w:rsidRPr="00AA0504">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Pr="00AA0504">
        <w:fldChar w:fldCharType="begin" w:fldLock="1"/>
      </w:r>
      <w: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"(Lo Calzo et al., 2016)" }, "properties" : {  }, "schema" : "https://github.com/citation-style-language/schema/raw/master/csl-citation.json" }</w:instrText>
      </w:r>
      <w:r w:rsidRPr="00AA0504">
        <w:fldChar w:fldCharType="separate"/>
      </w:r>
      <w:r w:rsidRPr="00AA0504">
        <w:rPr>
          <w:noProof/>
        </w:rPr>
        <w:t>[1]</w:t>
      </w:r>
      <w:r w:rsidRPr="00AA0504">
        <w:fldChar w:fldCharType="end"/>
      </w:r>
      <w:r w:rsidRPr="00AA0504">
        <w:t xml:space="preserve">. By doing so, the power density of the system can be enhanced significantly which is very critical in aerospace and electric traction applications </w:t>
      </w:r>
      <w:r w:rsidRPr="00AA0504">
        <w:fldChar w:fldCharType="begin" w:fldLock="1"/>
      </w:r>
      <w: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"(Hennen, Niessen, Heyers, Brauer, &amp; De Doncker, 2012)" }, "properties" : {  }, "schema" : "https://github.com/citation-style-language/schema/raw/master/csl-citation.json" }</w:instrText>
      </w:r>
      <w:r w:rsidRPr="00AA0504">
        <w:fldChar w:fldCharType="separate"/>
      </w:r>
      <w:r w:rsidRPr="00AA0504">
        <w:rPr>
          <w:noProof/>
        </w:rPr>
        <w:t>[2]</w:t>
      </w:r>
      <w:r w:rsidRPr="00AA0504">
        <w:fldChar w:fldCharType="end"/>
      </w:r>
      <w:r w:rsidRPr="00AA0504">
        <w:t xml:space="preserve">. In addition to that, cost reduction up to 20% is possible thanks to the elimination of enclosures and connection equipment </w:t>
      </w:r>
      <w:r w:rsidRPr="00AA0504">
        <w:fldChar w:fldCharType="begin" w:fldLock="1"/>
      </w:r>
      <w: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"(Lo Calzo et al., 2016)" }, "properties" : {  }, "schema" : "https://github.com/citation-style-language/schema/raw/master/csl-citation.json" }</w:instrText>
      </w:r>
      <w:r w:rsidRPr="00AA0504">
        <w:fldChar w:fldCharType="separate"/>
      </w:r>
      <w:r w:rsidRPr="00AA0504">
        <w:rPr>
          <w:noProof/>
        </w:rPr>
        <w:t>[1]</w:t>
      </w:r>
      <w:r w:rsidRPr="00AA0504">
        <w:fldChar w:fldCharType="end"/>
      </w:r>
      <w:r w:rsidRPr="00AA0504">
        <w:t>.</w:t>
      </w:r>
      <w:r w:rsidR="00450438">
        <w:t xml:space="preserve"> T</w:t>
      </w:r>
      <w:r w:rsidRPr="00AA0504">
        <w:t xml:space="preserve">he absence of connection cables yields less leakage current on the winding insulation which will extend the lifespan of the motor as well as minimize electromagnetic interference (EMI) problems </w:t>
      </w:r>
      <w:r w:rsidRPr="00AA0504">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"(Wang, Li, &amp; Han, 2015)" }, "properties" : {  }, "schema" : "https://github.com/citation-style-language/schema/raw/master/csl-citation.json" }</w:instrText>
      </w:r>
      <w:r w:rsidRPr="00AA0504">
        <w:fldChar w:fldCharType="separate"/>
      </w:r>
      <w:r w:rsidRPr="00AA0504">
        <w:rPr>
          <w:noProof/>
        </w:rPr>
        <w:t>[3]</w:t>
      </w:r>
      <w:r w:rsidRPr="00AA0504">
        <w:fldChar w:fldCharType="end"/>
      </w:r>
      <w:r w:rsidRPr="00AA0504">
        <w:t>.</w:t>
      </w:r>
    </w:p>
    <w:p w:rsidR="00AA0504" w:rsidRPr="00AA0504" w:rsidRDefault="00450438" w:rsidP="00AA0504">
      <w:pPr>
        <w:spacing w:after="120" w:line="228" w:lineRule="auto"/>
        <w:ind w:firstLine="227"/>
        <w:jc w:val="both"/>
      </w:pPr>
      <w:r>
        <w:t>With modularization</w:t>
      </w:r>
      <w:r w:rsidR="00AA0504" w:rsidRPr="00AA0504">
        <w:t xml:space="preserve">, the overall system is segmented with modules sharing the total power equally. By this way, the fault </w:t>
      </w:r>
      <w:r w:rsidR="00AA0504" w:rsidRPr="00AA0504">
        <w:lastRenderedPageBreak/>
        <w:t xml:space="preserve">tolerance of the system is increased </w:t>
      </w:r>
      <w:r w:rsidR="00AA0504" w:rsidRPr="00AA0504">
        <w:fldChar w:fldCharType="begin" w:fldLock="1"/>
      </w:r>
      <w:r w:rsidR="00AA0504">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"(Wolmarans et al., 2008)" }, "properties" : {  }, "schema" : "https://github.com/citation-style-language/schema/raw/master/csl-citation.json" }</w:instrText>
      </w:r>
      <w:r w:rsidR="00AA0504" w:rsidRPr="00AA0504">
        <w:fldChar w:fldCharType="separate"/>
      </w:r>
      <w:r w:rsidR="00AA0504" w:rsidRPr="00AA0504">
        <w:rPr>
          <w:noProof/>
        </w:rPr>
        <w:t>[4]</w:t>
      </w:r>
      <w:r w:rsidR="00AA0504" w:rsidRPr="00AA0504">
        <w:fldChar w:fldCharType="end"/>
      </w:r>
      <w:r w:rsidR="00AA0504" w:rsidRPr="00AA0504">
        <w:t xml:space="preserve">. The current and voltage ratings of the power semiconductor devices can also be decreased by modularization. Moreover, the components </w:t>
      </w:r>
      <w:proofErr w:type="gramStart"/>
      <w:r w:rsidR="00AA0504" w:rsidRPr="00AA0504">
        <w:t>which</w:t>
      </w:r>
      <w:proofErr w:type="gramEnd"/>
      <w:r w:rsidR="00AA0504" w:rsidRPr="00AA0504">
        <w:t xml:space="preserve"> produce heat due to power loss are spread and distributed in a wider surface area which makes the thermal design more convenient as well as decreases the possible of hot spot formation. Finally, the manufacturing, installation and maintenance costs decrease thanks to the modular structure </w:t>
      </w:r>
      <w:r w:rsidR="00AA0504" w:rsidRPr="00AA0504">
        <w:fldChar w:fldCharType="begin" w:fldLock="1"/>
      </w:r>
      <w:r w:rsidR="00AA050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"(Lo Calzo et al., 2016)" }, "properties" : {  }, "schema" : "https://github.com/citation-style-language/schema/raw/master/csl-citation.json" }</w:instrText>
      </w:r>
      <w:r w:rsidR="00AA0504" w:rsidRPr="00AA0504">
        <w:fldChar w:fldCharType="separate"/>
      </w:r>
      <w:r w:rsidR="00AA0504" w:rsidRPr="00AA0504">
        <w:rPr>
          <w:noProof/>
        </w:rPr>
        <w:t>[1]</w:t>
      </w:r>
      <w:r w:rsidR="00AA0504" w:rsidRPr="00AA0504">
        <w:fldChar w:fldCharType="end"/>
      </w:r>
      <w:r w:rsidR="00AA0504" w:rsidRPr="00AA0504">
        <w:t>.</w:t>
      </w:r>
    </w:p>
    <w:p w:rsidR="00AA0504" w:rsidRPr="00AA0504" w:rsidRDefault="00450438" w:rsidP="00AA0504">
      <w:pPr>
        <w:spacing w:after="120" w:line="228" w:lineRule="auto"/>
        <w:ind w:firstLine="227"/>
        <w:jc w:val="both"/>
      </w:pPr>
      <w:r>
        <w:t>However, i</w:t>
      </w:r>
      <w:r w:rsidR="00AA0504" w:rsidRPr="00AA0504">
        <w:t>ntegration of the motor and drive br</w:t>
      </w:r>
      <w:r>
        <w:t>ings several challenges. First</w:t>
      </w:r>
      <w:r w:rsidR="00AA0504" w:rsidRPr="00AA0504">
        <w:t xml:space="preserve">, fitting all the drive components to the available space requires size optimization and careful layout design </w:t>
      </w:r>
      <w:r w:rsidR="00AA0504" w:rsidRPr="00AA0504">
        <w:fldChar w:fldCharType="begin" w:fldLock="1"/>
      </w:r>
      <w:r w:rsidR="00AA050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"(Wang et al., 2015)" }, "properties" : {  }, "schema" : "https://github.com/citation-style-language/schema/raw/master/csl-citation.json" }</w:instrText>
      </w:r>
      <w:r w:rsidR="00AA0504" w:rsidRPr="00AA0504">
        <w:fldChar w:fldCharType="separate"/>
      </w:r>
      <w:r w:rsidR="00AA0504" w:rsidRPr="00AA0504">
        <w:rPr>
          <w:noProof/>
        </w:rPr>
        <w:t>[3]</w:t>
      </w:r>
      <w:r w:rsidR="00AA0504" w:rsidRPr="00AA0504">
        <w:fldChar w:fldCharType="end"/>
      </w:r>
      <w:r w:rsidR="00AA0504" w:rsidRPr="00AA0504">
        <w:t xml:space="preserve">. Second, it is difficult to cool the motor and drive simultaneously since they both produce heat. Furthermore, all the electronic components are subjected to a higher ambient temperature and continuous vibration and should be selected accordingly </w:t>
      </w:r>
      <w:r w:rsidR="00AA0504" w:rsidRPr="00AA0504">
        <w:fldChar w:fldCharType="begin" w:fldLock="1"/>
      </w:r>
      <w:r w:rsidR="00AA050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"(Wang et al., 2015)" }, "properties" : {  }, "schema" : "https://github.com/citation-style-language/schema/raw/master/csl-citation.json" }</w:instrText>
      </w:r>
      <w:r w:rsidR="00AA0504" w:rsidRPr="00AA0504">
        <w:fldChar w:fldCharType="separate"/>
      </w:r>
      <w:r w:rsidR="00AA0504" w:rsidRPr="00AA0504">
        <w:rPr>
          <w:noProof/>
        </w:rPr>
        <w:t>[3]</w:t>
      </w:r>
      <w:r w:rsidR="00AA0504" w:rsidRPr="00AA0504">
        <w:fldChar w:fldCharType="end"/>
      </w:r>
      <w:r w:rsidR="00AA0504" w:rsidRPr="00AA0504">
        <w:t>.</w:t>
      </w:r>
    </w:p>
    <w:p w:rsidR="00AA0504" w:rsidRPr="00AA0504" w:rsidRDefault="00AA0504" w:rsidP="00AA0504">
      <w:pPr>
        <w:spacing w:after="120" w:line="228" w:lineRule="auto"/>
        <w:ind w:firstLine="227"/>
        <w:jc w:val="both"/>
      </w:pPr>
      <w:r w:rsidRPr="00AA0504">
        <w:t xml:space="preserve">To overcome these challenges, it has been proposed in the literature that wide band gap (WBG) power semiconductor devices such as Gallium Nitride (GaN) can be used which are capable of operating at high frequencies </w:t>
      </w:r>
      <w:r w:rsidRPr="00AA0504">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"(Wang et al., 2015)" }, "properties" : {  }, "schema" : "https://github.com/citation-style-language/schema/raw/master/csl-citation.json" }</w:instrText>
      </w:r>
      <w:r w:rsidRPr="00AA0504">
        <w:fldChar w:fldCharType="separate"/>
      </w:r>
      <w:r w:rsidRPr="00AA0504">
        <w:rPr>
          <w:noProof/>
        </w:rPr>
        <w:t>[3]</w:t>
      </w:r>
      <w:r w:rsidRPr="00AA0504">
        <w:fldChar w:fldCharType="end"/>
      </w:r>
      <w:r w:rsidRPr="00AA0504">
        <w:t xml:space="preserve">. By doing so, the size of the passive components can be reduced as well as the size of the heat sink thanks to superior efficiency values </w:t>
      </w:r>
      <w:r w:rsidRPr="00AA0504">
        <w:fldChar w:fldCharType="begin" w:fldLock="1"/>
      </w:r>
      <w:r>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"[5]", "plainTextFormattedCitation" : "[5]", "previouslyFormattedCitation" : "(Morita et al., 2011)" }, "properties" : {  }, "schema" : "https://github.com/citation-style-language/schema/raw/master/csl-citation.json" }</w:instrText>
      </w:r>
      <w:r w:rsidRPr="00AA0504">
        <w:fldChar w:fldCharType="separate"/>
      </w:r>
      <w:r w:rsidRPr="00AA0504">
        <w:rPr>
          <w:noProof/>
        </w:rPr>
        <w:t>[5]</w:t>
      </w:r>
      <w:r w:rsidRPr="00AA0504">
        <w:fldChar w:fldCharType="end"/>
      </w:r>
      <w:r w:rsidRPr="00AA0504">
        <w:t xml:space="preserve">. </w:t>
      </w:r>
      <w:r w:rsidR="00450438">
        <w:t>However</w:t>
      </w:r>
      <w:r w:rsidRPr="00AA0504">
        <w:t>, high frequency operation highlights the parasitic components on the power stage and gate drive circuits which makes layout design critical.</w:t>
      </w:r>
    </w:p>
    <w:p w:rsidR="00AA0504" w:rsidRPr="00AA0504" w:rsidRDefault="00AA0504" w:rsidP="00AA0504">
      <w:pPr>
        <w:spacing w:after="120" w:line="228" w:lineRule="auto"/>
        <w:ind w:firstLine="227"/>
        <w:jc w:val="both"/>
      </w:pPr>
      <w:r w:rsidRPr="00AA0504">
        <w:t>In this paper, design of an IMMD system is presented with enhanced power density, increased efficiency and enhanced fault tolerance capability. In Section 2, basic structure and current technology prospects of IMMDs are introduced. In section 3, design of the system including the motor and the drive is explained. In section 4, simulation results are presented and in section 5, conclusions are given.</w:t>
      </w:r>
    </w:p>
    <w:p w:rsidR="008A55B5" w:rsidRDefault="00450438" w:rsidP="00450438">
      <w:pPr>
        <w:pStyle w:val="Heading1"/>
      </w:pPr>
      <w:r>
        <w:t>Basıc Structure of IMMD</w:t>
      </w:r>
    </w:p>
    <w:p w:rsidR="00450438" w:rsidRPr="00450438" w:rsidRDefault="00450438" w:rsidP="00450438">
      <w:pPr>
        <w:spacing w:after="120" w:line="228" w:lineRule="auto"/>
        <w:ind w:firstLine="227"/>
        <w:jc w:val="both"/>
      </w:pPr>
      <w:r w:rsidRPr="00450438">
        <w:t xml:space="preserve">There are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 </w:t>
      </w:r>
      <w:r w:rsidRPr="00450438">
        <w:fldChar w:fldCharType="begin" w:fldLock="1"/>
      </w:r>
      <w:r w:rsidRPr="00450438">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Pr="00450438">
        <w:fldChar w:fldCharType="separate"/>
      </w:r>
      <w:r w:rsidRPr="00450438">
        <w:rPr>
          <w:noProof/>
        </w:rPr>
        <w:t>[1]</w:t>
      </w:r>
      <w:r w:rsidRPr="00450438">
        <w:fldChar w:fldCharType="end"/>
      </w:r>
      <w:r w:rsidRPr="00450438">
        <w:t>.</w:t>
      </w:r>
    </w:p>
    <w:p w:rsidR="00BE1CB5" w:rsidRDefault="00BE1CB5" w:rsidP="00450438">
      <w:pPr>
        <w:spacing w:after="120" w:line="228" w:lineRule="auto"/>
        <w:ind w:firstLine="227"/>
        <w:jc w:val="both"/>
      </w:pPr>
    </w:p>
    <w:p w:rsidR="00BE1CB5" w:rsidRPr="00450438" w:rsidRDefault="00557F87" w:rsidP="00BE1CB5">
      <w:pPr>
        <w:spacing w:after="120" w:line="228" w:lineRule="auto"/>
        <w:jc w:val="both"/>
      </w:pPr>
      <w:r w:rsidRPr="00450438">
        <w:rPr>
          <w:noProof/>
          <w:lang w:val="tr-TR" w:eastAsia="tr-TR"/>
        </w:rPr>
        <w:lastRenderedPageBreak/>
        <w:drawing>
          <wp:inline distT="0" distB="0" distL="0" distR="0">
            <wp:extent cx="2984500" cy="1228725"/>
            <wp:effectExtent l="0" t="0" r="635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1228725"/>
                    </a:xfrm>
                    <a:prstGeom prst="rect">
                      <a:avLst/>
                    </a:prstGeom>
                    <a:noFill/>
                    <a:ln>
                      <a:noFill/>
                    </a:ln>
                  </pic:spPr>
                </pic:pic>
              </a:graphicData>
            </a:graphic>
          </wp:inline>
        </w:drawing>
      </w:r>
    </w:p>
    <w:p w:rsidR="00BE1CB5" w:rsidRPr="00450438" w:rsidRDefault="00BE1CB5" w:rsidP="00BE1CB5">
      <w:pPr>
        <w:spacing w:before="80" w:after="200"/>
        <w:jc w:val="both"/>
        <w:rPr>
          <w:sz w:val="16"/>
          <w:szCs w:val="16"/>
        </w:rPr>
      </w:pPr>
      <w:r w:rsidRPr="00450438">
        <w:rPr>
          <w:sz w:val="16"/>
          <w:szCs w:val="16"/>
        </w:rPr>
        <w:t xml:space="preserve">Fig. 1. IMMDs with stator back-iron integration </w:t>
      </w:r>
      <w:r w:rsidRPr="00450438">
        <w:rPr>
          <w:sz w:val="16"/>
          <w:szCs w:val="16"/>
        </w:rPr>
        <w:fldChar w:fldCharType="begin" w:fldLock="1"/>
      </w:r>
      <w:r w:rsidRPr="00450438">
        <w:rPr>
          <w:sz w:val="16"/>
          <w:szCs w:val="16"/>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Pr="00450438">
        <w:rPr>
          <w:sz w:val="16"/>
          <w:szCs w:val="16"/>
        </w:rPr>
        <w:fldChar w:fldCharType="separate"/>
      </w:r>
      <w:r w:rsidRPr="00450438">
        <w:rPr>
          <w:noProof/>
          <w:sz w:val="16"/>
          <w:szCs w:val="16"/>
        </w:rPr>
        <w:t>[1]</w:t>
      </w:r>
      <w:r w:rsidRPr="00450438">
        <w:rPr>
          <w:sz w:val="16"/>
          <w:szCs w:val="16"/>
        </w:rPr>
        <w:fldChar w:fldCharType="end"/>
      </w:r>
    </w:p>
    <w:p w:rsidR="00450438" w:rsidRPr="00450438" w:rsidRDefault="00450438" w:rsidP="00450438">
      <w:pPr>
        <w:spacing w:after="120" w:line="228" w:lineRule="auto"/>
        <w:ind w:firstLine="227"/>
        <w:jc w:val="both"/>
      </w:pPr>
      <w:r w:rsidRPr="00450438">
        <w:t xml:space="preserve">Each stator winding belonging to different pole pairs on the stator are usually connected in series to form one phase of the stator in conventional motors. On the other hand, the windings in different poles can be connected to separate motor drive units in modular motors. These types of motors are also called split-winding motors </w:t>
      </w:r>
      <w:r w:rsidRPr="00450438">
        <w:fldChar w:fldCharType="begin" w:fldLock="1"/>
      </w:r>
      <w:r w:rsidRPr="00450438">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"noteIndex" : 0 }, "schema" : "https://github.com/citation-style-language/schema/raw/master/csl-citation.json" }</w:instrText>
      </w:r>
      <w:r w:rsidRPr="00450438">
        <w:fldChar w:fldCharType="separate"/>
      </w:r>
      <w:r w:rsidRPr="00450438">
        <w:rPr>
          <w:noProof/>
        </w:rPr>
        <w:t>[4]</w:t>
      </w:r>
      <w:r w:rsidRPr="00450438">
        <w:fldChar w:fldCharType="end"/>
      </w:r>
      <w:r w:rsidR="00BE1CB5">
        <w:t>,</w:t>
      </w:r>
      <w:r w:rsidRPr="00450438">
        <w:t xml:space="preserve"> </w:t>
      </w:r>
      <w:r w:rsidR="00BE1CB5">
        <w:t>as</w:t>
      </w:r>
      <w:r w:rsidRPr="00450438">
        <w:t xml:space="preserve"> the redundancy and fault tolerance of the system is enhanced thanks to this modularization. Moreover, the motor drive modules can be connected with different configurations which makes the design more flexible.</w:t>
      </w:r>
    </w:p>
    <w:p w:rsidR="00450438" w:rsidRPr="00450438" w:rsidRDefault="00450438" w:rsidP="00450438">
      <w:pPr>
        <w:spacing w:after="120" w:line="228" w:lineRule="auto"/>
        <w:ind w:firstLine="227"/>
        <w:jc w:val="both"/>
      </w:pPr>
      <w:r w:rsidRPr="00450438">
        <w:t xml:space="preserve">A general block diagram of one module of an IMMD system is shown in Fig. 2 </w:t>
      </w:r>
      <w:r w:rsidRPr="00450438">
        <w:fldChar w:fldCharType="begin" w:fldLock="1"/>
      </w:r>
      <w:r w:rsidRPr="00450438">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Pr="00450438">
        <w:fldChar w:fldCharType="separate"/>
      </w:r>
      <w:r w:rsidRPr="00450438">
        <w:rPr>
          <w:noProof/>
        </w:rPr>
        <w:t>[3]</w:t>
      </w:r>
      <w:r w:rsidRPr="00450438">
        <w:fldChar w:fldCharType="end"/>
      </w:r>
      <w:r w:rsidRPr="00450438">
        <w:t xml:space="preserve">. 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 </w:t>
      </w:r>
      <w:r w:rsidRPr="00450438">
        <w:fldChar w:fldCharType="begin" w:fldLock="1"/>
      </w:r>
      <w:r w:rsidRPr="00450438">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"[6]", "plainTextFormattedCitation" : "[6]", "previouslyFormattedCitation" : "[7]" }, "properties" : { "noteIndex" : 0 }, "schema" : "https://github.com/citation-style-language/schema/raw/master/csl-citation.json" }</w:instrText>
      </w:r>
      <w:r w:rsidRPr="00450438">
        <w:fldChar w:fldCharType="separate"/>
      </w:r>
      <w:r w:rsidRPr="00450438">
        <w:rPr>
          <w:noProof/>
        </w:rPr>
        <w:t>[6]</w:t>
      </w:r>
      <w:r w:rsidRPr="00450438">
        <w:fldChar w:fldCharType="end"/>
      </w:r>
      <w:r w:rsidRPr="00450438">
        <w:t>.</w:t>
      </w:r>
    </w:p>
    <w:p w:rsidR="00450438" w:rsidRPr="003C6E85" w:rsidRDefault="00557F87" w:rsidP="00450438">
      <w:pPr>
        <w:rPr>
          <w:sz w:val="18"/>
          <w:szCs w:val="18"/>
        </w:rPr>
      </w:pPr>
      <w:r>
        <w:rPr>
          <w:noProof/>
          <w:sz w:val="18"/>
          <w:szCs w:val="18"/>
          <w:lang w:val="tr-TR" w:eastAsia="tr-TR"/>
        </w:rPr>
        <w:drawing>
          <wp:inline distT="0" distB="0" distL="0" distR="0">
            <wp:extent cx="3220085" cy="162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085" cy="1621155"/>
                    </a:xfrm>
                    <a:prstGeom prst="rect">
                      <a:avLst/>
                    </a:prstGeom>
                    <a:noFill/>
                    <a:ln>
                      <a:noFill/>
                    </a:ln>
                  </pic:spPr>
                </pic:pic>
              </a:graphicData>
            </a:graphic>
          </wp:inline>
        </w:drawing>
      </w:r>
    </w:p>
    <w:p w:rsidR="00450438" w:rsidRPr="003C6E85" w:rsidRDefault="00450438" w:rsidP="00450438">
      <w:pPr>
        <w:rPr>
          <w:sz w:val="12"/>
          <w:szCs w:val="12"/>
        </w:rPr>
      </w:pPr>
    </w:p>
    <w:p w:rsidR="00450438" w:rsidRPr="00450438" w:rsidRDefault="00450438" w:rsidP="00450438">
      <w:pPr>
        <w:spacing w:before="80" w:after="200"/>
        <w:jc w:val="left"/>
        <w:rPr>
          <w:sz w:val="16"/>
          <w:szCs w:val="16"/>
        </w:rPr>
      </w:pPr>
      <w:r w:rsidRPr="00450438">
        <w:rPr>
          <w:sz w:val="16"/>
          <w:szCs w:val="16"/>
        </w:rPr>
        <w:t xml:space="preserve">Fig. 2. General block diagram of one module of an IMMD </w:t>
      </w:r>
      <w:r w:rsidRPr="00450438">
        <w:rPr>
          <w:sz w:val="16"/>
          <w:szCs w:val="16"/>
        </w:rPr>
        <w:fldChar w:fldCharType="begin" w:fldLock="1"/>
      </w:r>
      <w:r w:rsidRPr="00450438">
        <w:rPr>
          <w:sz w:val="16"/>
          <w:szCs w:val="16"/>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Pr="00450438">
        <w:rPr>
          <w:sz w:val="16"/>
          <w:szCs w:val="16"/>
        </w:rPr>
        <w:fldChar w:fldCharType="separate"/>
      </w:r>
      <w:r w:rsidRPr="00450438">
        <w:rPr>
          <w:noProof/>
          <w:sz w:val="16"/>
          <w:szCs w:val="16"/>
        </w:rPr>
        <w:t>[3]</w:t>
      </w:r>
      <w:r w:rsidRPr="00450438">
        <w:rPr>
          <w:sz w:val="16"/>
          <w:szCs w:val="16"/>
        </w:rPr>
        <w:fldChar w:fldCharType="end"/>
      </w:r>
    </w:p>
    <w:p w:rsidR="00450438" w:rsidRPr="00450438" w:rsidRDefault="00450438" w:rsidP="00450438">
      <w:pPr>
        <w:pStyle w:val="BodyTextKeep"/>
        <w:keepNext w:val="0"/>
        <w:spacing w:after="120" w:line="228" w:lineRule="auto"/>
        <w:ind w:right="0" w:firstLine="227"/>
        <w:rPr>
          <w:sz w:val="20"/>
          <w:szCs w:val="20"/>
          <w:lang w:val="en-US"/>
        </w:rPr>
      </w:pPr>
      <w:r w:rsidRPr="00450438">
        <w:rPr>
          <w:sz w:val="20"/>
          <w:szCs w:val="20"/>
          <w:lang w:val="en-US"/>
        </w:rPr>
        <w:t xml:space="preserve">As for the power electronics, many different topologies have been proposed for AC motor drive systems such as, two-level inverter, multilevel neutral point clamped inverter, multilayer flying capacitor inverter, inverter with high frequency transformer etc. </w:t>
      </w:r>
      <w:r w:rsidRPr="00450438">
        <w:rPr>
          <w:sz w:val="20"/>
          <w:szCs w:val="20"/>
          <w:lang w:val="en-US"/>
        </w:rPr>
        <w:fldChar w:fldCharType="begin" w:fldLock="1"/>
      </w:r>
      <w:r w:rsidRPr="00450438">
        <w:rPr>
          <w:sz w:val="20"/>
          <w:szCs w:val="20"/>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Pr="00450438">
        <w:rPr>
          <w:sz w:val="20"/>
          <w:szCs w:val="20"/>
          <w:lang w:val="en-US"/>
        </w:rPr>
        <w:fldChar w:fldCharType="separate"/>
      </w:r>
      <w:r w:rsidRPr="00450438">
        <w:rPr>
          <w:noProof/>
          <w:sz w:val="20"/>
          <w:szCs w:val="20"/>
          <w:lang w:val="en-US"/>
        </w:rPr>
        <w:t>[1]</w:t>
      </w:r>
      <w:r w:rsidRPr="00450438">
        <w:rPr>
          <w:sz w:val="20"/>
          <w:szCs w:val="20"/>
          <w:lang w:val="en-US"/>
        </w:rPr>
        <w:fldChar w:fldCharType="end"/>
      </w:r>
      <w:r w:rsidRPr="00450438">
        <w:rPr>
          <w:sz w:val="20"/>
          <w:szCs w:val="20"/>
          <w:lang w:val="en-US"/>
        </w:rPr>
        <w:t xml:space="preserve">. As mentioned previously, for a modular motor drive, several other motor drive topologies become available thanks to the design flexibility. Furthermore, the aforementioned topologies can be connected in series and/or parallel on the DC link to form a new topology. Series and parallel connection of motor drive inverter modules on the DC link are shown in Fig. 3 alongside with a conventional motor drive </w:t>
      </w:r>
      <w:r w:rsidRPr="00450438">
        <w:rPr>
          <w:sz w:val="20"/>
          <w:szCs w:val="20"/>
          <w:lang w:val="en-US"/>
        </w:rPr>
        <w:fldChar w:fldCharType="begin" w:fldLock="1"/>
      </w:r>
      <w:r w:rsidRPr="00450438">
        <w:rPr>
          <w:sz w:val="20"/>
          <w:szCs w:val="20"/>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"noteIndex" : 0 }, "schema" : "https://github.com/citation-style-language/schema/raw/master/csl-citation.json" }</w:instrText>
      </w:r>
      <w:r w:rsidRPr="00450438">
        <w:rPr>
          <w:sz w:val="20"/>
          <w:szCs w:val="20"/>
          <w:lang w:val="en-US"/>
        </w:rPr>
        <w:fldChar w:fldCharType="separate"/>
      </w:r>
      <w:r w:rsidRPr="00450438">
        <w:rPr>
          <w:noProof/>
          <w:sz w:val="20"/>
          <w:szCs w:val="20"/>
          <w:lang w:val="en-US"/>
        </w:rPr>
        <w:t>[2]</w:t>
      </w:r>
      <w:r w:rsidRPr="00450438">
        <w:rPr>
          <w:sz w:val="20"/>
          <w:szCs w:val="20"/>
          <w:lang w:val="en-US"/>
        </w:rPr>
        <w:fldChar w:fldCharType="end"/>
      </w:r>
      <w:r w:rsidRPr="00450438">
        <w:rPr>
          <w:sz w:val="20"/>
          <w:szCs w:val="20"/>
          <w:lang w:val="en-US"/>
        </w:rPr>
        <w:t xml:space="preserve">. These types of connections are possible due to the fact that the windings, which are split and hence electrically isolated, do not cause circulating currents among the inverter modules. The major advantage of this possibility is to be able to split the voltage and/or current requirement of each inverter. </w:t>
      </w:r>
      <w:r w:rsidRPr="00450438">
        <w:rPr>
          <w:sz w:val="20"/>
          <w:szCs w:val="20"/>
          <w:lang w:val="en-US"/>
        </w:rPr>
        <w:lastRenderedPageBreak/>
        <w:t>One practical usage of this fact is the availability of low voltage power semiconductor device utilization such as GaN in case of high DC link voltage.</w:t>
      </w:r>
    </w:p>
    <w:p w:rsidR="00450438" w:rsidRPr="003C6E85" w:rsidRDefault="00557F87" w:rsidP="00450438">
      <w:pPr>
        <w:rPr>
          <w:sz w:val="18"/>
          <w:szCs w:val="18"/>
        </w:rPr>
      </w:pPr>
      <w:r w:rsidRPr="00450438">
        <w:rPr>
          <w:noProof/>
          <w:sz w:val="18"/>
          <w:szCs w:val="18"/>
          <w:lang w:val="tr-TR" w:eastAsia="tr-TR"/>
        </w:rPr>
        <w:drawing>
          <wp:inline distT="0" distB="0" distL="0" distR="0">
            <wp:extent cx="3192145" cy="975995"/>
            <wp:effectExtent l="0" t="0" r="8255" b="0"/>
            <wp:docPr id="3"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145" cy="975995"/>
                    </a:xfrm>
                    <a:prstGeom prst="rect">
                      <a:avLst/>
                    </a:prstGeom>
                    <a:noFill/>
                    <a:ln>
                      <a:noFill/>
                    </a:ln>
                  </pic:spPr>
                </pic:pic>
              </a:graphicData>
            </a:graphic>
          </wp:inline>
        </w:drawing>
      </w:r>
    </w:p>
    <w:p w:rsidR="00450438" w:rsidRPr="003C6E85" w:rsidRDefault="00450438" w:rsidP="00450438">
      <w:pPr>
        <w:rPr>
          <w:sz w:val="8"/>
          <w:szCs w:val="8"/>
        </w:rPr>
      </w:pPr>
    </w:p>
    <w:p w:rsidR="00450438" w:rsidRPr="003C6E85" w:rsidRDefault="00450438" w:rsidP="00450438">
      <w:pPr>
        <w:rPr>
          <w:sz w:val="14"/>
          <w:szCs w:val="14"/>
        </w:rPr>
      </w:pPr>
      <w:r w:rsidRPr="003C6E85">
        <w:rPr>
          <w:sz w:val="14"/>
          <w:szCs w:val="14"/>
        </w:rPr>
        <w:t>Series</w:t>
      </w:r>
      <w:r w:rsidRPr="003C6E85">
        <w:rPr>
          <w:sz w:val="14"/>
          <w:szCs w:val="14"/>
        </w:rPr>
        <w:tab/>
      </w:r>
      <w:r w:rsidRPr="003C6E85">
        <w:rPr>
          <w:sz w:val="14"/>
          <w:szCs w:val="14"/>
        </w:rPr>
        <w:tab/>
        <w:t>Parallel</w:t>
      </w:r>
      <w:r w:rsidRPr="003C6E85">
        <w:rPr>
          <w:sz w:val="14"/>
          <w:szCs w:val="14"/>
        </w:rPr>
        <w:tab/>
      </w:r>
      <w:r w:rsidRPr="003C6E85">
        <w:rPr>
          <w:sz w:val="14"/>
          <w:szCs w:val="14"/>
        </w:rPr>
        <w:tab/>
        <w:t>Conventional</w:t>
      </w:r>
    </w:p>
    <w:p w:rsidR="00450438" w:rsidRPr="003C6E85" w:rsidRDefault="00450438" w:rsidP="00450438">
      <w:pPr>
        <w:rPr>
          <w:sz w:val="12"/>
          <w:szCs w:val="12"/>
        </w:rPr>
      </w:pPr>
    </w:p>
    <w:p w:rsidR="00450438" w:rsidRPr="00450438" w:rsidRDefault="00450438" w:rsidP="00450438">
      <w:pPr>
        <w:spacing w:before="80" w:after="200"/>
        <w:jc w:val="left"/>
        <w:rPr>
          <w:sz w:val="16"/>
          <w:szCs w:val="16"/>
        </w:rPr>
      </w:pPr>
      <w:r w:rsidRPr="00450438">
        <w:rPr>
          <w:sz w:val="16"/>
          <w:szCs w:val="16"/>
        </w:rPr>
        <w:t xml:space="preserve">Fig. 3. Different motor drive inverter connections for a modular motor </w:t>
      </w:r>
      <w:r w:rsidRPr="00450438">
        <w:rPr>
          <w:sz w:val="16"/>
          <w:szCs w:val="16"/>
        </w:rPr>
        <w:fldChar w:fldCharType="begin" w:fldLock="1"/>
      </w:r>
      <w:r w:rsidRPr="00450438">
        <w:rPr>
          <w:sz w:val="16"/>
          <w:szCs w:val="16"/>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"noteIndex" : 0 }, "schema" : "https://github.com/citation-style-language/schema/raw/master/csl-citation.json" }</w:instrText>
      </w:r>
      <w:r w:rsidRPr="00450438">
        <w:rPr>
          <w:sz w:val="16"/>
          <w:szCs w:val="16"/>
        </w:rPr>
        <w:fldChar w:fldCharType="separate"/>
      </w:r>
      <w:r w:rsidRPr="00450438">
        <w:rPr>
          <w:noProof/>
          <w:sz w:val="16"/>
          <w:szCs w:val="16"/>
        </w:rPr>
        <w:t>[2]</w:t>
      </w:r>
      <w:r w:rsidRPr="00450438">
        <w:rPr>
          <w:sz w:val="16"/>
          <w:szCs w:val="16"/>
        </w:rPr>
        <w:fldChar w:fldCharType="end"/>
      </w:r>
    </w:p>
    <w:p w:rsidR="00450438" w:rsidRDefault="00450438" w:rsidP="00450438">
      <w:pPr>
        <w:spacing w:after="120" w:line="228" w:lineRule="auto"/>
        <w:ind w:firstLine="227"/>
        <w:jc w:val="both"/>
      </w:pPr>
      <w:r w:rsidRPr="00450438">
        <w:t xml:space="preserve">The employability of GaN devices is especially crucial for IMMD systems because these devices are one of the so-called WBG type semiconductor devices. These devices have much higher switching speeds compared to conventional silicon based devices such as Insulated Gate Bipolar Transistors (IGBTs) and admissible on-state losses which make them very efficient </w:t>
      </w:r>
      <w:r w:rsidRPr="00450438">
        <w:fldChar w:fldCharType="begin" w:fldLock="1"/>
      </w:r>
      <w:r w:rsidRPr="00450438">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"[8]" }, "properties" : { "noteIndex" : 0 }, "schema" : "https://github.com/citation-style-language/schema/raw/master/csl-citation.json" }</w:instrText>
      </w:r>
      <w:r w:rsidRPr="00450438">
        <w:fldChar w:fldCharType="separate"/>
      </w:r>
      <w:r w:rsidRPr="00450438">
        <w:rPr>
          <w:noProof/>
        </w:rPr>
        <w:t>[7]</w:t>
      </w:r>
      <w:r w:rsidRPr="00450438">
        <w:fldChar w:fldCharType="end"/>
      </w:r>
      <w:r w:rsidRPr="00450438">
        <w:t xml:space="preserve">. Moreover, they have higher maximum junction temperatures. The volume reduction challenge of IMMDs can be 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 </w:t>
      </w:r>
      <w:r w:rsidRPr="00450438">
        <w:fldChar w:fldCharType="begin" w:fldLock="1"/>
      </w:r>
      <w:r w:rsidRPr="00450438">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"[8]" }, "properties" : { "noteIndex" : 0 }, "schema" : "https://github.com/citation-style-language/schema/raw/master/csl-citation.json" }</w:instrText>
      </w:r>
      <w:r w:rsidRPr="00450438">
        <w:fldChar w:fldCharType="separate"/>
      </w:r>
      <w:r w:rsidRPr="00450438">
        <w:rPr>
          <w:noProof/>
        </w:rPr>
        <w:t>[7]</w:t>
      </w:r>
      <w:r w:rsidRPr="00450438">
        <w:fldChar w:fldCharType="end"/>
      </w:r>
      <w:r w:rsidRPr="00450438">
        <w:t xml:space="preserve">. Another reason is that the efficiency of the system is high not only in rated power, but also for a wide range of output power </w:t>
      </w:r>
      <w:r w:rsidRPr="00450438">
        <w:fldChar w:fldCharType="begin" w:fldLock="1"/>
      </w:r>
      <w:r w:rsidRPr="00450438">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"[5]", "plainTextFormattedCitation" : "[5]", "previouslyFormattedCitation" : "[6]" }, "properties" : { "noteIndex" : 0 }, "schema" : "https://github.com/citation-style-language/schema/raw/master/csl-citation.json" }</w:instrText>
      </w:r>
      <w:r w:rsidRPr="00450438">
        <w:fldChar w:fldCharType="separate"/>
      </w:r>
      <w:r w:rsidRPr="00450438">
        <w:rPr>
          <w:noProof/>
        </w:rPr>
        <w:t>[5]</w:t>
      </w:r>
      <w:r w:rsidRPr="00450438">
        <w:fldChar w:fldCharType="end"/>
      </w:r>
      <w:r w:rsidRPr="00450438">
        <w:t xml:space="preserve">. As a matter of fact, GaNs have been utilized in most of the very first IMMD prototypes thanks to these reasons </w:t>
      </w:r>
      <w:r w:rsidRPr="00450438">
        <w:fldChar w:fldCharType="begin" w:fldLock="1"/>
      </w:r>
      <w:r w:rsidRPr="00450438">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Pr="00450438">
        <w:fldChar w:fldCharType="separate"/>
      </w:r>
      <w:r w:rsidRPr="00450438">
        <w:rPr>
          <w:noProof/>
        </w:rPr>
        <w:t>[3]</w:t>
      </w:r>
      <w:r w:rsidRPr="00450438">
        <w:fldChar w:fldCharType="end"/>
      </w:r>
      <w:r w:rsidRPr="00450438">
        <w:t>.</w:t>
      </w:r>
    </w:p>
    <w:p w:rsidR="003E508C" w:rsidRPr="003C6E85" w:rsidRDefault="003E508C" w:rsidP="00450438">
      <w:pPr>
        <w:spacing w:after="120" w:line="228" w:lineRule="auto"/>
        <w:ind w:firstLine="227"/>
        <w:jc w:val="both"/>
        <w:rPr>
          <w:sz w:val="18"/>
          <w:szCs w:val="18"/>
        </w:rPr>
      </w:pPr>
      <w:r>
        <w:t xml:space="preserve">Selection of DC bus capacitor bank is very critical in IMMD systems in terms of power density since it usually constitutes 20% of the system volume and 30% of the system weight </w:t>
      </w:r>
      <w:r w:rsidRPr="003E508C">
        <w:rPr>
          <w:color w:val="FF0000"/>
        </w:rPr>
        <w:t>ref</w:t>
      </w:r>
      <w:r>
        <w:t xml:space="preserve">. Moreover, the height of the motor drive is mostly determined by these capacitors. In conventional motor drive systems, usually aluminum electrolytic type capacitors are used thanks to its low cost and high capacitance per volume. However, they have low </w:t>
      </w:r>
      <w:proofErr w:type="spellStart"/>
      <w:r>
        <w:t>rms</w:t>
      </w:r>
      <w:proofErr w:type="spellEnd"/>
      <w:r>
        <w:t xml:space="preserve"> current rating per unit volume and they are not very reliable as they have relatively shorter lifetime which is highly dependent on the operating parameters</w:t>
      </w:r>
      <w:r w:rsidRPr="003E508C">
        <w:rPr>
          <w:color w:val="FF0000"/>
        </w:rPr>
        <w:t xml:space="preserve"> ref</w:t>
      </w:r>
      <w:r>
        <w:t>. On the other hand, metal film type capacitors are a better choice in terms of current ratings, lifetime and reliability. For these reasons, the most common capacitor type used in DC buses of IMMD systems is metal film</w:t>
      </w:r>
      <w:r w:rsidRPr="003E508C">
        <w:rPr>
          <w:color w:val="FF0000"/>
        </w:rPr>
        <w:t xml:space="preserve"> ref</w:t>
      </w:r>
      <w:r>
        <w:t>. On the contrary to conventional motor drive applications, in addition to voltage, current and capacitance selection, power density, cost, height, thermal model and the effect of these parameters to the capacitor lifetime should be taken into account in IMMD systems.</w:t>
      </w:r>
    </w:p>
    <w:p w:rsidR="008A55B5" w:rsidRPr="00CB1404" w:rsidRDefault="00450438" w:rsidP="00CB1404">
      <w:pPr>
        <w:pStyle w:val="Heading1"/>
      </w:pPr>
      <w:r>
        <w:t>Desıgn of the IMMD System</w:t>
      </w:r>
    </w:p>
    <w:p w:rsidR="00450438" w:rsidRDefault="00450438" w:rsidP="00450438">
      <w:pPr>
        <w:pStyle w:val="BodyText"/>
      </w:pPr>
      <w:r>
        <w:t>The design process of the IMMD system can be considered in two</w:t>
      </w:r>
      <w:r w:rsidR="006E54B4">
        <w:t>-</w:t>
      </w:r>
      <w:r>
        <w:t xml:space="preserve">fold: design of the motor and design of the drive. The first assumption in the design process is that the motor drive input is a passive diode bridge rectifier with an LC DC link filter. The effects of this rectifier module on the rest of the system are kept out of the scope of this study. The machine is a three-phase </w:t>
      </w:r>
      <w:r>
        <w:lastRenderedPageBreak/>
        <w:t xml:space="preserve">PMSM having a modular stator with FSCW. Considering the applications where IMMD concept is suitable, it </w:t>
      </w:r>
      <w:r w:rsidR="006E54B4">
        <w:t>is decided to design</w:t>
      </w:r>
      <w:r>
        <w:t xml:space="preserve"> a low speed</w:t>
      </w:r>
      <w:r w:rsidR="006E54B4">
        <w:t>,</w:t>
      </w:r>
      <w:r>
        <w:t xml:space="preserve"> high torque motor. The system parameters used in the design process are shown in Table 1.</w:t>
      </w:r>
    </w:p>
    <w:p w:rsidR="00450438" w:rsidRDefault="00450438" w:rsidP="00450438">
      <w:pPr>
        <w:pStyle w:val="BodyText"/>
      </w:pPr>
      <w:r>
        <w:t xml:space="preserve">The first parameters to be decided is the number of three-phase modules. As stated before, the number of series or parallel connected modules can be varied according to the voltage and current requirements and the system parameters such as the DC link voltage and total output power. It has also been specified that GaN transistors should be used to reach the efficiency ratings and meet the volume reduction challenge. Blocking voltage rating of the current </w:t>
      </w:r>
      <w:r w:rsidR="006E54B4">
        <w:t xml:space="preserve">commercial </w:t>
      </w:r>
      <w:r>
        <w:t>GaN transistors is 650V at most [7]. If two-level full-bridge motor drive inverter modules are used, the minimum power semiconductor blocking voltage rating in this design is 810V. This value is calculated based on a safety margin considering the voltage overshoot effects due to parasitic inductances and high switching speed. It is clear that, at least two series modules should be used with the aforementioned GaN devices. This also makes the total number of modules an even number.</w:t>
      </w:r>
    </w:p>
    <w:p w:rsidR="00450438" w:rsidRPr="00C16EBF" w:rsidRDefault="00C95571" w:rsidP="00C95571">
      <w:pPr>
        <w:pStyle w:val="tablehead"/>
        <w:numPr>
          <w:ilvl w:val="0"/>
          <w:numId w:val="0"/>
        </w:numPr>
        <w:rPr>
          <w:rFonts w:eastAsia="MS Mincho"/>
          <w:noProof w:val="0"/>
          <w:spacing w:val="-1"/>
        </w:rPr>
      </w:pPr>
      <w:r>
        <w:t xml:space="preserve">TABLE I. </w:t>
      </w:r>
      <w:r w:rsidR="00C16EBF">
        <w:t>The system parameters used ın the IMMD desıgn process</w:t>
      </w: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05"/>
        <w:gridCol w:w="992"/>
      </w:tblGrid>
      <w:tr w:rsidR="00450438" w:rsidRPr="006E54B4" w:rsidTr="00CD33C8">
        <w:trPr>
          <w:jc w:val="center"/>
        </w:trPr>
        <w:tc>
          <w:tcPr>
            <w:tcW w:w="2405" w:type="dxa"/>
          </w:tcPr>
          <w:p w:rsidR="00450438" w:rsidRPr="006E54B4" w:rsidRDefault="00450438" w:rsidP="006E54B4">
            <w:pPr>
              <w:pStyle w:val="BodyText"/>
              <w:spacing w:after="0" w:line="240" w:lineRule="auto"/>
              <w:jc w:val="center"/>
              <w:rPr>
                <w:sz w:val="16"/>
                <w:szCs w:val="16"/>
              </w:rPr>
            </w:pPr>
            <w:r w:rsidRPr="006E54B4">
              <w:rPr>
                <w:sz w:val="16"/>
                <w:szCs w:val="16"/>
              </w:rPr>
              <w:t xml:space="preserve">DC link voltage, </w:t>
            </w:r>
            <w:proofErr w:type="spellStart"/>
            <w:r w:rsidRPr="006E54B4">
              <w:rPr>
                <w:sz w:val="16"/>
                <w:szCs w:val="16"/>
              </w:rPr>
              <w:t>V</w:t>
            </w:r>
            <w:r w:rsidRPr="006E54B4">
              <w:rPr>
                <w:sz w:val="16"/>
                <w:szCs w:val="16"/>
                <w:vertAlign w:val="subscript"/>
              </w:rPr>
              <w:t>dc</w:t>
            </w:r>
            <w:proofErr w:type="spellEnd"/>
          </w:p>
        </w:tc>
        <w:tc>
          <w:tcPr>
            <w:tcW w:w="992" w:type="dxa"/>
          </w:tcPr>
          <w:p w:rsidR="00450438" w:rsidRPr="006E54B4" w:rsidRDefault="00450438" w:rsidP="006E54B4">
            <w:pPr>
              <w:rPr>
                <w:sz w:val="16"/>
                <w:szCs w:val="16"/>
              </w:rPr>
            </w:pPr>
            <w:r w:rsidRPr="006E54B4">
              <w:rPr>
                <w:sz w:val="16"/>
                <w:szCs w:val="16"/>
              </w:rPr>
              <w:t>540 V</w:t>
            </w:r>
          </w:p>
        </w:tc>
      </w:tr>
      <w:tr w:rsidR="00450438" w:rsidRPr="006E54B4" w:rsidTr="00CD33C8">
        <w:trPr>
          <w:jc w:val="center"/>
        </w:trPr>
        <w:tc>
          <w:tcPr>
            <w:tcW w:w="2405" w:type="dxa"/>
          </w:tcPr>
          <w:p w:rsidR="00450438" w:rsidRPr="006E54B4" w:rsidRDefault="00450438" w:rsidP="006E54B4">
            <w:pPr>
              <w:rPr>
                <w:sz w:val="16"/>
                <w:szCs w:val="16"/>
              </w:rPr>
            </w:pPr>
            <w:r w:rsidRPr="006E54B4">
              <w:rPr>
                <w:sz w:val="16"/>
                <w:szCs w:val="16"/>
              </w:rPr>
              <w:t>Total output power, P</w:t>
            </w:r>
            <w:r w:rsidRPr="006E54B4">
              <w:rPr>
                <w:sz w:val="16"/>
                <w:szCs w:val="16"/>
                <w:vertAlign w:val="subscript"/>
              </w:rPr>
              <w:t>out</w:t>
            </w:r>
          </w:p>
        </w:tc>
        <w:tc>
          <w:tcPr>
            <w:tcW w:w="992" w:type="dxa"/>
          </w:tcPr>
          <w:p w:rsidR="00450438" w:rsidRPr="006E54B4" w:rsidRDefault="00450438" w:rsidP="006E54B4">
            <w:pPr>
              <w:rPr>
                <w:sz w:val="16"/>
                <w:szCs w:val="16"/>
              </w:rPr>
            </w:pPr>
            <w:r w:rsidRPr="006E54B4">
              <w:rPr>
                <w:sz w:val="16"/>
                <w:szCs w:val="16"/>
              </w:rPr>
              <w:t>8 kW</w:t>
            </w:r>
          </w:p>
        </w:tc>
      </w:tr>
      <w:tr w:rsidR="00450438" w:rsidRPr="006E54B4" w:rsidTr="00CD33C8">
        <w:trPr>
          <w:jc w:val="center"/>
        </w:trPr>
        <w:tc>
          <w:tcPr>
            <w:tcW w:w="2405" w:type="dxa"/>
          </w:tcPr>
          <w:p w:rsidR="00450438" w:rsidRPr="006E54B4" w:rsidRDefault="00450438" w:rsidP="006E54B4">
            <w:pPr>
              <w:rPr>
                <w:sz w:val="16"/>
                <w:szCs w:val="16"/>
              </w:rPr>
            </w:pPr>
            <w:r w:rsidRPr="006E54B4">
              <w:rPr>
                <w:sz w:val="16"/>
                <w:szCs w:val="16"/>
              </w:rPr>
              <w:t xml:space="preserve">Motor efficiency aim, </w:t>
            </w:r>
            <w:proofErr w:type="spellStart"/>
            <w:r w:rsidRPr="006E54B4">
              <w:rPr>
                <w:sz w:val="16"/>
                <w:szCs w:val="16"/>
              </w:rPr>
              <w:t>η</w:t>
            </w:r>
            <w:r w:rsidRPr="006E54B4">
              <w:rPr>
                <w:sz w:val="16"/>
                <w:szCs w:val="16"/>
                <w:vertAlign w:val="subscript"/>
              </w:rPr>
              <w:t>m,a</w:t>
            </w:r>
            <w:proofErr w:type="spellEnd"/>
          </w:p>
        </w:tc>
        <w:tc>
          <w:tcPr>
            <w:tcW w:w="992" w:type="dxa"/>
          </w:tcPr>
          <w:p w:rsidR="00450438" w:rsidRPr="006E54B4" w:rsidRDefault="00450438" w:rsidP="006E54B4">
            <w:pPr>
              <w:rPr>
                <w:sz w:val="16"/>
                <w:szCs w:val="16"/>
              </w:rPr>
            </w:pPr>
            <w:r w:rsidRPr="006E54B4">
              <w:rPr>
                <w:sz w:val="16"/>
                <w:szCs w:val="16"/>
              </w:rPr>
              <w:t>93%</w:t>
            </w:r>
          </w:p>
        </w:tc>
      </w:tr>
      <w:tr w:rsidR="00450438" w:rsidRPr="006E54B4" w:rsidTr="00CD33C8">
        <w:trPr>
          <w:jc w:val="center"/>
        </w:trPr>
        <w:tc>
          <w:tcPr>
            <w:tcW w:w="2405" w:type="dxa"/>
          </w:tcPr>
          <w:p w:rsidR="00450438" w:rsidRPr="006E54B4" w:rsidRDefault="00450438" w:rsidP="006E54B4">
            <w:pPr>
              <w:rPr>
                <w:sz w:val="16"/>
                <w:szCs w:val="16"/>
              </w:rPr>
            </w:pPr>
            <w:r w:rsidRPr="006E54B4">
              <w:rPr>
                <w:sz w:val="16"/>
                <w:szCs w:val="16"/>
              </w:rPr>
              <w:t xml:space="preserve">Drive efficiency aim, </w:t>
            </w:r>
            <w:proofErr w:type="spellStart"/>
            <w:r w:rsidRPr="006E54B4">
              <w:rPr>
                <w:sz w:val="16"/>
                <w:szCs w:val="16"/>
              </w:rPr>
              <w:t>η</w:t>
            </w:r>
            <w:r w:rsidRPr="006E54B4">
              <w:rPr>
                <w:sz w:val="16"/>
                <w:szCs w:val="16"/>
                <w:vertAlign w:val="subscript"/>
              </w:rPr>
              <w:t>d,a</w:t>
            </w:r>
            <w:proofErr w:type="spellEnd"/>
          </w:p>
        </w:tc>
        <w:tc>
          <w:tcPr>
            <w:tcW w:w="992" w:type="dxa"/>
          </w:tcPr>
          <w:p w:rsidR="00450438" w:rsidRPr="006E54B4" w:rsidRDefault="00450438" w:rsidP="006E54B4">
            <w:pPr>
              <w:rPr>
                <w:sz w:val="16"/>
                <w:szCs w:val="16"/>
              </w:rPr>
            </w:pPr>
            <w:r w:rsidRPr="006E54B4">
              <w:rPr>
                <w:sz w:val="16"/>
                <w:szCs w:val="16"/>
              </w:rPr>
              <w:t>98%</w:t>
            </w:r>
          </w:p>
        </w:tc>
      </w:tr>
      <w:tr w:rsidR="00450438" w:rsidRPr="006E54B4" w:rsidTr="00CD33C8">
        <w:trPr>
          <w:jc w:val="center"/>
        </w:trPr>
        <w:tc>
          <w:tcPr>
            <w:tcW w:w="2405" w:type="dxa"/>
          </w:tcPr>
          <w:p w:rsidR="00450438" w:rsidRPr="006E54B4" w:rsidRDefault="00450438" w:rsidP="006E54B4">
            <w:pPr>
              <w:rPr>
                <w:sz w:val="16"/>
                <w:szCs w:val="16"/>
              </w:rPr>
            </w:pPr>
            <w:r w:rsidRPr="006E54B4">
              <w:rPr>
                <w:sz w:val="16"/>
                <w:szCs w:val="16"/>
              </w:rPr>
              <w:t>Rated speed, N</w:t>
            </w:r>
            <w:r w:rsidRPr="006E54B4">
              <w:rPr>
                <w:sz w:val="16"/>
                <w:szCs w:val="16"/>
                <w:vertAlign w:val="subscript"/>
              </w:rPr>
              <w:t>r</w:t>
            </w:r>
          </w:p>
        </w:tc>
        <w:tc>
          <w:tcPr>
            <w:tcW w:w="992" w:type="dxa"/>
          </w:tcPr>
          <w:p w:rsidR="00450438" w:rsidRPr="006E54B4" w:rsidRDefault="00450438" w:rsidP="006E54B4">
            <w:pPr>
              <w:rPr>
                <w:sz w:val="16"/>
                <w:szCs w:val="16"/>
              </w:rPr>
            </w:pPr>
            <w:r w:rsidRPr="006E54B4">
              <w:rPr>
                <w:sz w:val="16"/>
                <w:szCs w:val="16"/>
              </w:rPr>
              <w:t>600 rpm</w:t>
            </w:r>
          </w:p>
        </w:tc>
      </w:tr>
    </w:tbl>
    <w:p w:rsidR="00450438" w:rsidRPr="006E54B4" w:rsidRDefault="00450438" w:rsidP="00450438">
      <w:pPr>
        <w:ind w:firstLine="227"/>
      </w:pPr>
    </w:p>
    <w:p w:rsidR="00C16EBF" w:rsidRDefault="00C16EBF" w:rsidP="00450438">
      <w:pPr>
        <w:pStyle w:val="BodyText"/>
      </w:pPr>
      <w:r w:rsidRPr="00C16EBF">
        <w:t xml:space="preserve">There are various parameters which </w:t>
      </w:r>
      <w:r w:rsidR="006E54B4">
        <w:t>a</w:t>
      </w:r>
      <w:r w:rsidRPr="00C16EBF">
        <w:t>ffect the number of parallel modules. One of them is the required power rating of each module which effect the current ratings of the semiconductor devices and drive efficiency. Another one is the number of stator slots. Instead of number of slots per pole per phase (</w:t>
      </w:r>
      <w:r w:rsidRPr="006E54B4">
        <w:rPr>
          <w:i/>
        </w:rPr>
        <w:t>q</w:t>
      </w:r>
      <w:r w:rsidRPr="00C16EBF">
        <w:t xml:space="preserve">) </w:t>
      </w:r>
      <w:r w:rsidR="006E54B4">
        <w:t xml:space="preserve">that is </w:t>
      </w:r>
      <w:r w:rsidRPr="00C16EBF">
        <w:t>used in conventional systems, a new parameter, number of slots per module per phase (</w:t>
      </w:r>
      <w:r w:rsidRPr="006E54B4">
        <w:rPr>
          <w:i/>
        </w:rPr>
        <w:t>w</w:t>
      </w:r>
      <w:r w:rsidRPr="00C16EBF">
        <w:t xml:space="preserve">) </w:t>
      </w:r>
      <w:r w:rsidR="006E54B4">
        <w:t>is</w:t>
      </w:r>
      <w:r w:rsidRPr="00C16EBF">
        <w:t xml:space="preserve"> defined in IMMDs. For example, if two series and two parallel modules are used, the minimum number of slots that can be used is 24. </w:t>
      </w:r>
      <w:r w:rsidR="006E54B4">
        <w:t>Finally</w:t>
      </w:r>
      <w:r w:rsidRPr="00C16EBF">
        <w:t xml:space="preserve">, the effect of interleaving and its utilization for minimization of DC link capacitor bank size is considered to determine the number of modules. In [8], the effect of the number of modules and applied interleaving angle to the current ripple on the DC link capacitor bank is studied for an IMMD system, and it has been shown that selecting four modules yields best results in terms of DC link capacitor size. Using that result, it is decided </w:t>
      </w:r>
      <w:r w:rsidR="006E54B4">
        <w:t>to use</w:t>
      </w:r>
      <w:r w:rsidRPr="00C16EBF">
        <w:t xml:space="preserve"> a total number of 4 modules which are </w:t>
      </w:r>
      <w:r w:rsidR="006E54B4">
        <w:t xml:space="preserve">connected in </w:t>
      </w:r>
      <w:r w:rsidRPr="00C16EBF">
        <w:t>2-series and 2-paralel</w:t>
      </w:r>
      <w:r w:rsidR="006E54B4">
        <w:t xml:space="preserve"> configuration</w:t>
      </w:r>
      <w:r w:rsidRPr="00C16EBF">
        <w:t>. The schematic diagram of the suggested IMMD syst</w:t>
      </w:r>
      <w:r w:rsidR="009117C1">
        <w:t>em topology is shown in Fig. 4.</w:t>
      </w:r>
    </w:p>
    <w:p w:rsidR="009117C1" w:rsidRDefault="009117C1" w:rsidP="009117C1">
      <w:pPr>
        <w:pStyle w:val="Heading2"/>
      </w:pPr>
      <w:r>
        <w:t>Design of the Motor Parameters</w:t>
      </w:r>
    </w:p>
    <w:p w:rsidR="009117C1" w:rsidRDefault="009117C1" w:rsidP="009117C1">
      <w:pPr>
        <w:pStyle w:val="BodyText"/>
      </w:pPr>
      <w:r>
        <w:t>The main dimensions of the motor are determined according to the torque requirement, magnetic loading (</w:t>
      </w:r>
      <w:r w:rsidRPr="00C95571">
        <w:rPr>
          <w:i/>
        </w:rPr>
        <w:t>B</w:t>
      </w:r>
      <w:r>
        <w:t>) and electrical loading (</w:t>
      </w:r>
      <w:r w:rsidRPr="00C95571">
        <w:rPr>
          <w:i/>
        </w:rPr>
        <w:t>A</w:t>
      </w:r>
      <w:r>
        <w:t xml:space="preserve">) selected for the IMMD application, as shown in (1). </w:t>
      </w:r>
      <w:r w:rsidRPr="00C95571">
        <w:rPr>
          <w:i/>
        </w:rPr>
        <w:t>V</w:t>
      </w:r>
      <w:r>
        <w:t xml:space="preserve"> stands for the volume which is shown in (2), where </w:t>
      </w:r>
      <w:r w:rsidRPr="00C95571">
        <w:rPr>
          <w:i/>
        </w:rPr>
        <w:t>D</w:t>
      </w:r>
      <w:r w:rsidRPr="00C95571">
        <w:rPr>
          <w:i/>
          <w:vertAlign w:val="subscript"/>
        </w:rPr>
        <w:t>is</w:t>
      </w:r>
      <w:r>
        <w:t xml:space="preserve"> is the bore diameter and </w:t>
      </w:r>
      <w:r w:rsidRPr="00C95571">
        <w:rPr>
          <w:i/>
        </w:rPr>
        <w:t>L</w:t>
      </w:r>
      <w:r w:rsidRPr="00C95571">
        <w:rPr>
          <w:i/>
          <w:vertAlign w:val="subscript"/>
        </w:rPr>
        <w:t>a</w:t>
      </w:r>
      <w:r>
        <w:t xml:space="preserve"> is the axial length of the motor. The aspect ratio, which is the ratio of the diameter to the length is selected as 1 for this application. The number of slots should be an integer multiple of 24 since the number of 3-phase modules is 4. For the given dimensions, 24 slots yield better results in terms of copper fill factor. Moreover, the number of rotor poles is found according to fundamental winding factor.</w:t>
      </w:r>
    </w:p>
    <w:p w:rsidR="00C16EBF" w:rsidRPr="003C6E85" w:rsidRDefault="00C95571" w:rsidP="00C16EBF">
      <w:r>
        <w:object w:dxaOrig="4920"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6pt;height:217.5pt" o:ole="">
            <v:imagedata r:id="rId9" o:title=""/>
          </v:shape>
          <o:OLEObject Type="Embed" ProgID="Visio.Drawing.15" ShapeID="_x0000_i1026" DrawAspect="Content" ObjectID="_1574455958" r:id="rId10"/>
        </w:object>
      </w:r>
    </w:p>
    <w:p w:rsidR="00C16EBF" w:rsidRPr="00C16EBF" w:rsidRDefault="00C16EBF" w:rsidP="00C16EBF">
      <w:pPr>
        <w:spacing w:before="80" w:after="200"/>
        <w:jc w:val="left"/>
        <w:rPr>
          <w:sz w:val="16"/>
          <w:szCs w:val="16"/>
        </w:rPr>
      </w:pPr>
      <w:r w:rsidRPr="00C16EBF">
        <w:rPr>
          <w:sz w:val="16"/>
          <w:szCs w:val="16"/>
        </w:rPr>
        <w:t>Fig. 4. Schematic diagram of the suggested IMMD topology</w:t>
      </w:r>
    </w:p>
    <w:p w:rsidR="00C16EBF" w:rsidRDefault="00C16EBF" w:rsidP="00C16EBF">
      <w:pPr>
        <w:pStyle w:val="BodyText"/>
      </w:pPr>
      <w:r>
        <w:t xml:space="preserve">The number of turns per coil side can be determined by the induced voltage requirement of each phase of each module, which can be expressed as in </w:t>
      </w:r>
      <w:r w:rsidR="00C95571">
        <w:t>(</w:t>
      </w:r>
      <w:r>
        <w:t>3</w:t>
      </w:r>
      <w:r w:rsidR="00C95571">
        <w:t>)</w:t>
      </w:r>
      <w:r>
        <w:t xml:space="preserve">, in </w:t>
      </w:r>
      <w:proofErr w:type="spellStart"/>
      <w:r>
        <w:t>rms</w:t>
      </w:r>
      <w:proofErr w:type="spellEnd"/>
      <w:r>
        <w:t xml:space="preserve">, where </w:t>
      </w:r>
      <w:proofErr w:type="spellStart"/>
      <w:r w:rsidRPr="00C95571">
        <w:rPr>
          <w:i/>
        </w:rPr>
        <w:t>N</w:t>
      </w:r>
      <w:r w:rsidRPr="00C95571">
        <w:rPr>
          <w:i/>
          <w:vertAlign w:val="subscript"/>
        </w:rPr>
        <w:t>ph</w:t>
      </w:r>
      <w:proofErr w:type="spellEnd"/>
      <w:r w:rsidRPr="00C95571">
        <w:rPr>
          <w:i/>
          <w:vertAlign w:val="subscript"/>
        </w:rPr>
        <w:t>-m</w:t>
      </w:r>
      <w:r>
        <w:t xml:space="preserve"> is number of turns per phase per module, </w:t>
      </w:r>
      <w:r w:rsidRPr="00C95571">
        <w:rPr>
          <w:i/>
        </w:rPr>
        <w:t>f</w:t>
      </w:r>
      <w:r>
        <w:t xml:space="preserve"> is the applied fundamental frequency at rated conditions, </w:t>
      </w:r>
      <w:proofErr w:type="spellStart"/>
      <w:r w:rsidRPr="00C95571">
        <w:rPr>
          <w:i/>
        </w:rPr>
        <w:t>Φ</w:t>
      </w:r>
      <w:r w:rsidRPr="00C95571">
        <w:rPr>
          <w:i/>
          <w:vertAlign w:val="subscript"/>
        </w:rPr>
        <w:t>pp</w:t>
      </w:r>
      <w:proofErr w:type="spellEnd"/>
      <w:r>
        <w:t xml:space="preserve"> is the flux under a pole and </w:t>
      </w:r>
      <w:r w:rsidRPr="00C95571">
        <w:rPr>
          <w:i/>
        </w:rPr>
        <w:t>k</w:t>
      </w:r>
      <w:r w:rsidRPr="00C95571">
        <w:rPr>
          <w:i/>
          <w:vertAlign w:val="subscript"/>
        </w:rPr>
        <w:t>w</w:t>
      </w:r>
      <w:r>
        <w:t xml:space="preserve"> is the fundamental winding factor. The flux per pole can be calculated using the machine dimensions and air gap flux density (</w:t>
      </w:r>
      <w:proofErr w:type="spellStart"/>
      <w:proofErr w:type="gramStart"/>
      <w:r w:rsidRPr="00C95571">
        <w:rPr>
          <w:i/>
        </w:rPr>
        <w:t>B</w:t>
      </w:r>
      <w:r w:rsidRPr="00C95571">
        <w:rPr>
          <w:i/>
          <w:vertAlign w:val="subscript"/>
        </w:rPr>
        <w:t>g</w:t>
      </w:r>
      <w:proofErr w:type="spellEnd"/>
      <w:proofErr w:type="gramEnd"/>
      <w:r>
        <w:t xml:space="preserve">) as in </w:t>
      </w:r>
      <w:r w:rsidR="00C95571">
        <w:t>(</w:t>
      </w:r>
      <w:r>
        <w:t>4</w:t>
      </w:r>
      <w:r w:rsidR="00C95571">
        <w:t>)</w:t>
      </w:r>
      <w:r>
        <w:t xml:space="preserve">, where </w:t>
      </w:r>
      <w:r w:rsidRPr="00C95571">
        <w:rPr>
          <w:i/>
        </w:rPr>
        <w:t>p</w:t>
      </w:r>
      <w:r>
        <w:t xml:space="preserve"> is the number of poles. The winding factor is determined using the pre-calculated tables created for fractional slot machines in terms of slot/pole combinations as </w:t>
      </w:r>
      <w:r w:rsidRPr="00C95571">
        <w:rPr>
          <w:i/>
        </w:rPr>
        <w:t>0.933</w:t>
      </w:r>
      <w:r>
        <w:t xml:space="preserve"> [6]. The fundamental frequency is also determined by the rated speed and pole number of the synchronous motor, as in </w:t>
      </w:r>
      <w:r w:rsidR="00C95571">
        <w:t>(</w:t>
      </w:r>
      <w:r>
        <w:t>5</w:t>
      </w:r>
      <w:r w:rsidR="00C95571">
        <w:t>)</w:t>
      </w:r>
      <w:r>
        <w:t xml:space="preserve">. Assuming that the motor drive inverters are switched with sinusoidal pulse width modulation (SPWM) technique, the terminal voltage of one phase of each module is determined using </w:t>
      </w:r>
      <w:r w:rsidR="00C95571">
        <w:t>(</w:t>
      </w:r>
      <w:r>
        <w:t>6</w:t>
      </w:r>
      <w:r w:rsidR="00C95571">
        <w:t>)</w:t>
      </w:r>
      <w:r>
        <w:t>. The required number of turns per coil side</w:t>
      </w:r>
      <w:r w:rsidR="00C95571">
        <w:t xml:space="preserve">, </w:t>
      </w:r>
      <w:proofErr w:type="spellStart"/>
      <w:r w:rsidR="00C95571" w:rsidRPr="00C95571">
        <w:rPr>
          <w:i/>
        </w:rPr>
        <w:t>z</w:t>
      </w:r>
      <w:r w:rsidR="00C95571" w:rsidRPr="00C95571">
        <w:rPr>
          <w:i/>
          <w:vertAlign w:val="subscript"/>
        </w:rPr>
        <w:t>Q</w:t>
      </w:r>
      <w:proofErr w:type="spellEnd"/>
      <w:r w:rsidRPr="00C95571">
        <w:rPr>
          <w:i/>
        </w:rPr>
        <w:t xml:space="preserve"> </w:t>
      </w:r>
      <w:r>
        <w:t xml:space="preserve">is found as </w:t>
      </w:r>
      <w:r w:rsidRPr="00C95571">
        <w:rPr>
          <w:i/>
        </w:rPr>
        <w:t>100</w:t>
      </w:r>
      <w:r w:rsidR="00557F87" w:rsidRPr="00557F87">
        <w:t xml:space="preserve"> </w:t>
      </w:r>
      <w:r w:rsidR="00557F87">
        <w:t>using (7)</w:t>
      </w:r>
      <w:r>
        <w:t>.</w:t>
      </w:r>
    </w:p>
    <w:p w:rsidR="00C16EBF" w:rsidRDefault="00C16EBF" w:rsidP="00C16EBF">
      <w:pPr>
        <w:pStyle w:val="BodyText"/>
      </w:pPr>
      <w:r>
        <w:t>The resultant motor parameters are shown in Table 2. In Fig</w:t>
      </w:r>
      <w:r w:rsidR="00557F87">
        <w:t>.</w:t>
      </w:r>
      <w:r>
        <w:t xml:space="preserve"> 5, the proposed 2-layer winding diagram of one module is shown. The main purpose </w:t>
      </w:r>
      <w:r w:rsidR="00557F87">
        <w:t xml:space="preserve">behind the selection </w:t>
      </w:r>
      <w:r>
        <w:t>of this diagram is having large enough winding factor while keeping the harmonic content low.</w:t>
      </w:r>
    </w:p>
    <w:p w:rsidR="00C16EBF" w:rsidRPr="003C6E85" w:rsidRDefault="00C16EBF" w:rsidP="00C16EBF">
      <w:pPr>
        <w:tabs>
          <w:tab w:val="center" w:pos="2268"/>
          <w:tab w:val="right" w:pos="4535"/>
        </w:tabs>
        <w:rPr>
          <w:color w:val="FF0000"/>
          <w:sz w:val="18"/>
          <w:szCs w:val="18"/>
        </w:rPr>
      </w:pPr>
      <w:r w:rsidRPr="003C6E85">
        <w:rPr>
          <w:i/>
          <w:color w:val="FF0000"/>
          <w:sz w:val="18"/>
          <w:szCs w:val="18"/>
        </w:rPr>
        <w:tab/>
      </w:r>
      <w:r w:rsidRPr="003C6E85">
        <w:rPr>
          <w:i/>
          <w:sz w:val="18"/>
          <w:szCs w:val="18"/>
        </w:rPr>
        <w:t>T = V B A</w:t>
      </w:r>
      <w:r w:rsidRPr="003C6E85">
        <w:rPr>
          <w:sz w:val="18"/>
          <w:szCs w:val="18"/>
        </w:rPr>
        <w:tab/>
        <w:t xml:space="preserve">  (1)</w:t>
      </w:r>
    </w:p>
    <w:p w:rsidR="00C16EBF" w:rsidRPr="003C6E85" w:rsidRDefault="00C16EBF" w:rsidP="00C16EBF">
      <w:pPr>
        <w:rPr>
          <w:i/>
          <w:iCs/>
          <w:color w:val="C0C0C0"/>
          <w:sz w:val="18"/>
          <w:szCs w:val="18"/>
        </w:rPr>
      </w:pPr>
      <w:r w:rsidRPr="003C6E85">
        <w:rPr>
          <w:i/>
          <w:iCs/>
          <w:color w:val="C0C0C0"/>
          <w:sz w:val="18"/>
          <w:szCs w:val="18"/>
        </w:rPr>
        <w:t xml:space="preserve"> </w:t>
      </w:r>
    </w:p>
    <w:p w:rsidR="00C16EBF" w:rsidRPr="003C6E85" w:rsidRDefault="00C16EBF" w:rsidP="00C16EBF">
      <w:pPr>
        <w:tabs>
          <w:tab w:val="center" w:pos="2268"/>
          <w:tab w:val="right" w:pos="4535"/>
        </w:tabs>
        <w:rPr>
          <w:color w:val="FF0000"/>
          <w:sz w:val="18"/>
          <w:szCs w:val="18"/>
        </w:rPr>
      </w:pPr>
      <w:r w:rsidRPr="003C6E85">
        <w:rPr>
          <w:i/>
          <w:sz w:val="18"/>
          <w:szCs w:val="18"/>
        </w:rPr>
        <w:tab/>
        <w:t>V = π D</w:t>
      </w:r>
      <w:r w:rsidRPr="003C6E85">
        <w:rPr>
          <w:i/>
          <w:sz w:val="18"/>
          <w:szCs w:val="18"/>
          <w:vertAlign w:val="superscript"/>
        </w:rPr>
        <w:t>2</w:t>
      </w:r>
      <w:r w:rsidRPr="003C6E85">
        <w:rPr>
          <w:i/>
          <w:sz w:val="18"/>
          <w:szCs w:val="18"/>
        </w:rPr>
        <w:t xml:space="preserve"> L / 4</w:t>
      </w:r>
      <w:r w:rsidRPr="003C6E85">
        <w:rPr>
          <w:sz w:val="18"/>
          <w:szCs w:val="18"/>
        </w:rPr>
        <w:tab/>
        <w:t xml:space="preserve">  (2)</w:t>
      </w:r>
    </w:p>
    <w:p w:rsidR="00C16EBF" w:rsidRPr="003C6E85" w:rsidRDefault="00C16EBF" w:rsidP="00C16EBF">
      <w:pPr>
        <w:rPr>
          <w:i/>
          <w:iCs/>
          <w:color w:val="C0C0C0"/>
          <w:sz w:val="18"/>
          <w:szCs w:val="18"/>
        </w:rPr>
      </w:pPr>
      <w:r w:rsidRPr="003C6E85">
        <w:rPr>
          <w:i/>
          <w:iCs/>
          <w:color w:val="C0C0C0"/>
          <w:sz w:val="18"/>
          <w:szCs w:val="18"/>
        </w:rPr>
        <w:t xml:space="preserve"> </w:t>
      </w:r>
    </w:p>
    <w:p w:rsidR="00C16EBF" w:rsidRPr="003C6E85" w:rsidRDefault="00C16EBF" w:rsidP="00C16EBF">
      <w:pPr>
        <w:tabs>
          <w:tab w:val="center" w:pos="2268"/>
          <w:tab w:val="right" w:pos="4535"/>
        </w:tabs>
        <w:rPr>
          <w:color w:val="FF0000"/>
          <w:sz w:val="18"/>
          <w:szCs w:val="18"/>
        </w:rPr>
      </w:pPr>
      <w:r w:rsidRPr="003C6E85">
        <w:rPr>
          <w:i/>
          <w:color w:val="FF0000"/>
          <w:sz w:val="18"/>
          <w:szCs w:val="18"/>
        </w:rPr>
        <w:tab/>
      </w:r>
      <w:proofErr w:type="spellStart"/>
      <w:r w:rsidRPr="003C6E85">
        <w:rPr>
          <w:i/>
          <w:sz w:val="18"/>
          <w:szCs w:val="18"/>
        </w:rPr>
        <w:t>E</w:t>
      </w:r>
      <w:r w:rsidRPr="003C6E85">
        <w:rPr>
          <w:i/>
          <w:sz w:val="18"/>
          <w:szCs w:val="18"/>
          <w:vertAlign w:val="subscript"/>
        </w:rPr>
        <w:t>ph</w:t>
      </w:r>
      <w:proofErr w:type="spellEnd"/>
      <w:r w:rsidRPr="003C6E85">
        <w:rPr>
          <w:i/>
          <w:sz w:val="18"/>
          <w:szCs w:val="18"/>
          <w:vertAlign w:val="subscript"/>
        </w:rPr>
        <w:t>-m</w:t>
      </w:r>
      <w:r w:rsidRPr="003C6E85">
        <w:rPr>
          <w:i/>
          <w:sz w:val="18"/>
          <w:szCs w:val="18"/>
        </w:rPr>
        <w:t xml:space="preserve"> = 4.44 </w:t>
      </w:r>
      <w:proofErr w:type="spellStart"/>
      <w:r w:rsidRPr="003C6E85">
        <w:rPr>
          <w:i/>
          <w:sz w:val="18"/>
          <w:szCs w:val="18"/>
        </w:rPr>
        <w:t>N</w:t>
      </w:r>
      <w:r w:rsidRPr="003C6E85">
        <w:rPr>
          <w:i/>
          <w:sz w:val="18"/>
          <w:szCs w:val="18"/>
          <w:vertAlign w:val="subscript"/>
        </w:rPr>
        <w:t>ph</w:t>
      </w:r>
      <w:proofErr w:type="spellEnd"/>
      <w:r w:rsidRPr="003C6E85">
        <w:rPr>
          <w:i/>
          <w:sz w:val="18"/>
          <w:szCs w:val="18"/>
          <w:vertAlign w:val="subscript"/>
        </w:rPr>
        <w:t>-m</w:t>
      </w:r>
      <w:r w:rsidRPr="003C6E85">
        <w:rPr>
          <w:i/>
          <w:sz w:val="18"/>
          <w:szCs w:val="18"/>
        </w:rPr>
        <w:t xml:space="preserve"> f </w:t>
      </w:r>
      <w:proofErr w:type="spellStart"/>
      <w:r w:rsidRPr="003C6E85">
        <w:rPr>
          <w:rFonts w:ascii="Calibri" w:hAnsi="Calibri" w:cs="Calibri"/>
          <w:i/>
          <w:sz w:val="18"/>
          <w:szCs w:val="18"/>
        </w:rPr>
        <w:t>Φ</w:t>
      </w:r>
      <w:r w:rsidRPr="003C6E85">
        <w:rPr>
          <w:i/>
          <w:sz w:val="18"/>
          <w:szCs w:val="18"/>
          <w:vertAlign w:val="subscript"/>
        </w:rPr>
        <w:t>pp</w:t>
      </w:r>
      <w:proofErr w:type="spellEnd"/>
      <w:r w:rsidRPr="003C6E85">
        <w:rPr>
          <w:i/>
          <w:sz w:val="18"/>
          <w:szCs w:val="18"/>
        </w:rPr>
        <w:t xml:space="preserve"> </w:t>
      </w:r>
      <w:proofErr w:type="gramStart"/>
      <w:r w:rsidRPr="003C6E85">
        <w:rPr>
          <w:i/>
          <w:sz w:val="18"/>
          <w:szCs w:val="18"/>
        </w:rPr>
        <w:t>k</w:t>
      </w:r>
      <w:r w:rsidRPr="003C6E85">
        <w:rPr>
          <w:i/>
          <w:sz w:val="18"/>
          <w:szCs w:val="18"/>
          <w:vertAlign w:val="subscript"/>
        </w:rPr>
        <w:t>w</w:t>
      </w:r>
      <w:proofErr w:type="gramEnd"/>
      <w:r w:rsidRPr="003C6E85">
        <w:rPr>
          <w:sz w:val="18"/>
          <w:szCs w:val="18"/>
        </w:rPr>
        <w:tab/>
        <w:t xml:space="preserve">  (3)</w:t>
      </w:r>
    </w:p>
    <w:p w:rsidR="00C16EBF" w:rsidRPr="003C6E85" w:rsidRDefault="00C16EBF" w:rsidP="00C16EBF">
      <w:pPr>
        <w:rPr>
          <w:i/>
          <w:iCs/>
          <w:color w:val="C0C0C0"/>
          <w:sz w:val="18"/>
          <w:szCs w:val="18"/>
        </w:rPr>
      </w:pPr>
      <w:r w:rsidRPr="003C6E85">
        <w:rPr>
          <w:i/>
          <w:iCs/>
          <w:color w:val="C0C0C0"/>
          <w:sz w:val="18"/>
          <w:szCs w:val="18"/>
        </w:rPr>
        <w:t xml:space="preserve"> </w:t>
      </w:r>
    </w:p>
    <w:p w:rsidR="00C16EBF" w:rsidRPr="003C6E85" w:rsidRDefault="00C16EBF" w:rsidP="00C16EBF">
      <w:pPr>
        <w:tabs>
          <w:tab w:val="center" w:pos="2268"/>
          <w:tab w:val="right" w:pos="4535"/>
        </w:tabs>
        <w:rPr>
          <w:color w:val="FF0000"/>
          <w:sz w:val="18"/>
          <w:szCs w:val="18"/>
        </w:rPr>
      </w:pPr>
      <w:r w:rsidRPr="003C6E85">
        <w:rPr>
          <w:i/>
          <w:color w:val="FF0000"/>
          <w:sz w:val="18"/>
          <w:szCs w:val="18"/>
        </w:rPr>
        <w:tab/>
      </w:r>
      <w:proofErr w:type="spellStart"/>
      <w:r w:rsidRPr="003C6E85">
        <w:rPr>
          <w:rFonts w:ascii="Calibri" w:hAnsi="Calibri" w:cs="Calibri"/>
          <w:i/>
          <w:sz w:val="18"/>
          <w:szCs w:val="18"/>
        </w:rPr>
        <w:t>Φ</w:t>
      </w:r>
      <w:r w:rsidRPr="003C6E85">
        <w:rPr>
          <w:i/>
          <w:sz w:val="18"/>
          <w:szCs w:val="18"/>
          <w:vertAlign w:val="subscript"/>
        </w:rPr>
        <w:t>pp</w:t>
      </w:r>
      <w:proofErr w:type="spellEnd"/>
      <w:r w:rsidRPr="003C6E85">
        <w:rPr>
          <w:i/>
          <w:sz w:val="18"/>
          <w:szCs w:val="18"/>
        </w:rPr>
        <w:t xml:space="preserve"> = 2 D</w:t>
      </w:r>
      <w:r w:rsidRPr="003C6E85">
        <w:rPr>
          <w:i/>
          <w:sz w:val="18"/>
          <w:szCs w:val="18"/>
          <w:vertAlign w:val="subscript"/>
        </w:rPr>
        <w:t>is</w:t>
      </w:r>
      <w:r w:rsidRPr="003C6E85">
        <w:rPr>
          <w:i/>
          <w:sz w:val="18"/>
          <w:szCs w:val="18"/>
        </w:rPr>
        <w:t xml:space="preserve"> L </w:t>
      </w:r>
      <w:proofErr w:type="spellStart"/>
      <w:proofErr w:type="gramStart"/>
      <w:r w:rsidRPr="003C6E85">
        <w:rPr>
          <w:i/>
          <w:sz w:val="18"/>
          <w:szCs w:val="18"/>
        </w:rPr>
        <w:t>B</w:t>
      </w:r>
      <w:r w:rsidRPr="003C6E85">
        <w:rPr>
          <w:i/>
          <w:sz w:val="18"/>
          <w:szCs w:val="18"/>
          <w:vertAlign w:val="subscript"/>
        </w:rPr>
        <w:t>g</w:t>
      </w:r>
      <w:proofErr w:type="spellEnd"/>
      <w:proofErr w:type="gramEnd"/>
      <w:r w:rsidRPr="003C6E85">
        <w:rPr>
          <w:i/>
          <w:sz w:val="18"/>
          <w:szCs w:val="18"/>
        </w:rPr>
        <w:t xml:space="preserve"> / p</w:t>
      </w:r>
      <w:r w:rsidRPr="003C6E85">
        <w:rPr>
          <w:sz w:val="18"/>
          <w:szCs w:val="18"/>
        </w:rPr>
        <w:tab/>
        <w:t xml:space="preserve">  (4)</w:t>
      </w:r>
    </w:p>
    <w:p w:rsidR="00C16EBF" w:rsidRPr="003C6E85" w:rsidRDefault="00C16EBF" w:rsidP="00C16EBF">
      <w:pPr>
        <w:rPr>
          <w:i/>
          <w:iCs/>
          <w:color w:val="C0C0C0"/>
          <w:sz w:val="18"/>
          <w:szCs w:val="18"/>
        </w:rPr>
      </w:pPr>
      <w:r w:rsidRPr="003C6E85">
        <w:rPr>
          <w:i/>
          <w:iCs/>
          <w:color w:val="C0C0C0"/>
          <w:sz w:val="18"/>
          <w:szCs w:val="18"/>
        </w:rPr>
        <w:t xml:space="preserve"> </w:t>
      </w:r>
    </w:p>
    <w:p w:rsidR="00C16EBF" w:rsidRPr="003C6E85" w:rsidRDefault="00C16EBF" w:rsidP="00C16EBF">
      <w:pPr>
        <w:tabs>
          <w:tab w:val="center" w:pos="2268"/>
          <w:tab w:val="right" w:pos="4535"/>
        </w:tabs>
        <w:rPr>
          <w:color w:val="FF0000"/>
          <w:sz w:val="18"/>
          <w:szCs w:val="18"/>
        </w:rPr>
      </w:pPr>
      <w:r w:rsidRPr="003C6E85">
        <w:rPr>
          <w:i/>
          <w:color w:val="FF0000"/>
          <w:sz w:val="18"/>
          <w:szCs w:val="18"/>
        </w:rPr>
        <w:tab/>
      </w:r>
      <w:r w:rsidRPr="003C6E85">
        <w:rPr>
          <w:rFonts w:ascii="Calibri" w:hAnsi="Calibri" w:cs="Calibri"/>
          <w:i/>
          <w:sz w:val="18"/>
          <w:szCs w:val="18"/>
        </w:rPr>
        <w:t>f</w:t>
      </w:r>
      <w:r w:rsidRPr="003C6E85">
        <w:rPr>
          <w:i/>
          <w:sz w:val="18"/>
          <w:szCs w:val="18"/>
        </w:rPr>
        <w:t xml:space="preserve"> = N</w:t>
      </w:r>
      <w:r w:rsidRPr="003C6E85">
        <w:rPr>
          <w:i/>
          <w:sz w:val="18"/>
          <w:szCs w:val="18"/>
          <w:vertAlign w:val="subscript"/>
        </w:rPr>
        <w:t>m</w:t>
      </w:r>
      <w:r w:rsidRPr="003C6E85">
        <w:rPr>
          <w:i/>
          <w:sz w:val="18"/>
          <w:szCs w:val="18"/>
        </w:rPr>
        <w:t xml:space="preserve"> p / 120</w:t>
      </w:r>
      <w:r w:rsidRPr="003C6E85">
        <w:rPr>
          <w:sz w:val="18"/>
          <w:szCs w:val="18"/>
        </w:rPr>
        <w:tab/>
        <w:t xml:space="preserve">  (5)</w:t>
      </w:r>
    </w:p>
    <w:p w:rsidR="00C16EBF" w:rsidRPr="003C6E85" w:rsidRDefault="00C16EBF" w:rsidP="00C16EBF">
      <w:pPr>
        <w:pStyle w:val="BodyTextKeep"/>
        <w:ind w:right="0"/>
        <w:rPr>
          <w:lang w:val="en-US"/>
        </w:rPr>
      </w:pPr>
    </w:p>
    <w:p w:rsidR="00C16EBF" w:rsidRPr="003C6E85" w:rsidRDefault="00C16EBF" w:rsidP="00C16EBF">
      <w:pPr>
        <w:tabs>
          <w:tab w:val="center" w:pos="2268"/>
          <w:tab w:val="right" w:pos="4535"/>
        </w:tabs>
        <w:rPr>
          <w:color w:val="FF0000"/>
          <w:sz w:val="18"/>
          <w:szCs w:val="18"/>
        </w:rPr>
      </w:pPr>
      <w:r w:rsidRPr="003C6E85">
        <w:rPr>
          <w:sz w:val="18"/>
          <w:szCs w:val="18"/>
        </w:rPr>
        <w:t xml:space="preserve"> </w:t>
      </w:r>
      <w:r w:rsidRPr="003C6E85">
        <w:rPr>
          <w:i/>
          <w:color w:val="FF0000"/>
          <w:sz w:val="18"/>
          <w:szCs w:val="18"/>
        </w:rPr>
        <w:tab/>
      </w:r>
      <w:proofErr w:type="spellStart"/>
      <w:r w:rsidRPr="003C6E85">
        <w:rPr>
          <w:i/>
          <w:sz w:val="18"/>
          <w:szCs w:val="18"/>
        </w:rPr>
        <w:t>V</w:t>
      </w:r>
      <w:r w:rsidRPr="003C6E85">
        <w:rPr>
          <w:i/>
          <w:sz w:val="18"/>
          <w:szCs w:val="18"/>
          <w:vertAlign w:val="subscript"/>
        </w:rPr>
        <w:t>ph</w:t>
      </w:r>
      <w:proofErr w:type="spellEnd"/>
      <w:r w:rsidRPr="003C6E85">
        <w:rPr>
          <w:i/>
          <w:sz w:val="18"/>
          <w:szCs w:val="18"/>
          <w:vertAlign w:val="subscript"/>
        </w:rPr>
        <w:t>-m</w:t>
      </w:r>
      <w:r w:rsidRPr="003C6E85">
        <w:rPr>
          <w:i/>
          <w:sz w:val="18"/>
          <w:szCs w:val="18"/>
        </w:rPr>
        <w:t xml:space="preserve"> = m</w:t>
      </w:r>
      <w:r w:rsidRPr="003C6E85">
        <w:rPr>
          <w:i/>
          <w:sz w:val="18"/>
          <w:szCs w:val="18"/>
          <w:vertAlign w:val="subscript"/>
        </w:rPr>
        <w:t>a</w:t>
      </w:r>
      <w:r w:rsidRPr="003C6E85">
        <w:rPr>
          <w:i/>
          <w:sz w:val="18"/>
          <w:szCs w:val="18"/>
        </w:rPr>
        <w:t xml:space="preserve"> </w:t>
      </w:r>
      <w:proofErr w:type="spellStart"/>
      <w:r w:rsidRPr="003C6E85">
        <w:rPr>
          <w:i/>
          <w:sz w:val="18"/>
          <w:szCs w:val="18"/>
        </w:rPr>
        <w:t>V</w:t>
      </w:r>
      <w:r w:rsidRPr="003C6E85">
        <w:rPr>
          <w:i/>
          <w:sz w:val="18"/>
          <w:szCs w:val="18"/>
          <w:vertAlign w:val="subscript"/>
        </w:rPr>
        <w:t>dc</w:t>
      </w:r>
      <w:proofErr w:type="spellEnd"/>
      <w:r w:rsidRPr="003C6E85">
        <w:rPr>
          <w:i/>
          <w:sz w:val="18"/>
          <w:szCs w:val="18"/>
          <w:vertAlign w:val="subscript"/>
        </w:rPr>
        <w:t>-m</w:t>
      </w:r>
      <w:r w:rsidRPr="003C6E85">
        <w:rPr>
          <w:i/>
          <w:sz w:val="18"/>
          <w:szCs w:val="18"/>
        </w:rPr>
        <w:t xml:space="preserve"> / 2</w:t>
      </w:r>
      <m:oMath>
        <m:rad>
          <m:radPr>
            <m:degHide m:val="1"/>
            <m:ctrlPr>
              <w:rPr>
                <w:rFonts w:ascii="Cambria Math" w:hAnsi="Cambria Math"/>
                <w:i/>
                <w:sz w:val="18"/>
                <w:szCs w:val="18"/>
              </w:rPr>
            </m:ctrlPr>
          </m:radPr>
          <m:deg/>
          <m:e>
            <m:r>
              <w:rPr>
                <w:rFonts w:ascii="Cambria Math" w:hAnsi="Cambria Math"/>
                <w:sz w:val="18"/>
                <w:szCs w:val="18"/>
              </w:rPr>
              <m:t>2</m:t>
            </m:r>
          </m:e>
        </m:rad>
      </m:oMath>
      <w:r w:rsidRPr="003C6E85">
        <w:rPr>
          <w:sz w:val="18"/>
          <w:szCs w:val="18"/>
        </w:rPr>
        <w:tab/>
        <w:t xml:space="preserve">  (6)</w:t>
      </w:r>
    </w:p>
    <w:p w:rsidR="00C16EBF" w:rsidRPr="003C6E85" w:rsidRDefault="00C16EBF" w:rsidP="00C16EBF">
      <w:pPr>
        <w:ind w:firstLine="227"/>
        <w:rPr>
          <w:color w:val="FF0000"/>
          <w:sz w:val="18"/>
          <w:szCs w:val="18"/>
        </w:rPr>
      </w:pPr>
    </w:p>
    <w:p w:rsidR="00C16EBF" w:rsidRPr="003C6E85" w:rsidRDefault="00C16EBF" w:rsidP="00C16EBF">
      <w:pPr>
        <w:tabs>
          <w:tab w:val="center" w:pos="2268"/>
          <w:tab w:val="right" w:pos="4535"/>
        </w:tabs>
        <w:rPr>
          <w:color w:val="FF0000"/>
          <w:sz w:val="18"/>
          <w:szCs w:val="18"/>
        </w:rPr>
      </w:pPr>
      <w:r w:rsidRPr="003C6E85">
        <w:rPr>
          <w:i/>
          <w:color w:val="FF0000"/>
          <w:sz w:val="18"/>
          <w:szCs w:val="18"/>
        </w:rPr>
        <w:tab/>
      </w:r>
      <w:proofErr w:type="spellStart"/>
      <w:proofErr w:type="gramStart"/>
      <w:r w:rsidRPr="003C6E85">
        <w:rPr>
          <w:i/>
          <w:sz w:val="18"/>
          <w:szCs w:val="18"/>
        </w:rPr>
        <w:t>z</w:t>
      </w:r>
      <w:r w:rsidRPr="003C6E85">
        <w:rPr>
          <w:i/>
          <w:sz w:val="18"/>
          <w:szCs w:val="18"/>
          <w:vertAlign w:val="subscript"/>
        </w:rPr>
        <w:t>Q</w:t>
      </w:r>
      <w:proofErr w:type="spellEnd"/>
      <w:proofErr w:type="gramEnd"/>
      <w:r w:rsidRPr="003C6E85">
        <w:rPr>
          <w:i/>
          <w:sz w:val="18"/>
          <w:szCs w:val="18"/>
        </w:rPr>
        <w:t xml:space="preserve"> = 2 </w:t>
      </w:r>
      <w:proofErr w:type="spellStart"/>
      <w:r w:rsidRPr="003C6E85">
        <w:rPr>
          <w:i/>
          <w:sz w:val="18"/>
          <w:szCs w:val="18"/>
        </w:rPr>
        <w:t>N</w:t>
      </w:r>
      <w:r w:rsidRPr="003C6E85">
        <w:rPr>
          <w:i/>
          <w:sz w:val="18"/>
          <w:szCs w:val="18"/>
          <w:vertAlign w:val="subscript"/>
        </w:rPr>
        <w:t>ph</w:t>
      </w:r>
      <w:proofErr w:type="spellEnd"/>
      <w:r w:rsidRPr="003C6E85">
        <w:rPr>
          <w:i/>
          <w:sz w:val="18"/>
          <w:szCs w:val="18"/>
          <w:vertAlign w:val="subscript"/>
        </w:rPr>
        <w:t>-m</w:t>
      </w:r>
      <w:r w:rsidRPr="003C6E85">
        <w:rPr>
          <w:i/>
          <w:sz w:val="18"/>
          <w:szCs w:val="18"/>
        </w:rPr>
        <w:t xml:space="preserve"> / w l</w:t>
      </w:r>
      <w:r w:rsidRPr="003C6E85">
        <w:rPr>
          <w:sz w:val="18"/>
          <w:szCs w:val="18"/>
        </w:rPr>
        <w:tab/>
        <w:t xml:space="preserve">  (7)</w:t>
      </w:r>
    </w:p>
    <w:p w:rsidR="00C16EBF" w:rsidRDefault="00C16EBF" w:rsidP="00C16EBF">
      <w:pPr>
        <w:rPr>
          <w:sz w:val="18"/>
          <w:szCs w:val="18"/>
        </w:rPr>
      </w:pPr>
    </w:p>
    <w:p w:rsidR="009117C1" w:rsidRDefault="00C95571" w:rsidP="00C95571">
      <w:pPr>
        <w:pStyle w:val="tablehead"/>
        <w:numPr>
          <w:ilvl w:val="0"/>
          <w:numId w:val="0"/>
        </w:numPr>
      </w:pPr>
      <w:r>
        <w:t>TABLE I</w:t>
      </w:r>
      <w:r>
        <w:t>I</w:t>
      </w:r>
      <w:r>
        <w:t>.</w:t>
      </w:r>
      <w:r>
        <w:tab/>
      </w:r>
      <w:r>
        <w:t xml:space="preserve">The </w:t>
      </w:r>
      <w:r>
        <w:t>resulta</w:t>
      </w:r>
    </w:p>
    <w:p w:rsidR="00C16EBF" w:rsidRPr="00C95571" w:rsidRDefault="00C95571" w:rsidP="00C95571">
      <w:pPr>
        <w:pStyle w:val="tablehead"/>
        <w:numPr>
          <w:ilvl w:val="0"/>
          <w:numId w:val="0"/>
        </w:numPr>
        <w:rPr>
          <w:rFonts w:eastAsia="MS Mincho"/>
          <w:noProof w:val="0"/>
          <w:spacing w:val="-1"/>
        </w:rPr>
      </w:pPr>
      <w:r>
        <w:lastRenderedPageBreak/>
        <w:t>nt motor parameters</w:t>
      </w: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77"/>
        <w:gridCol w:w="992"/>
      </w:tblGrid>
      <w:tr w:rsidR="00C16EBF" w:rsidRPr="00C95571" w:rsidTr="00C95571">
        <w:trPr>
          <w:trHeight w:val="95"/>
          <w:jc w:val="center"/>
        </w:trPr>
        <w:tc>
          <w:tcPr>
            <w:tcW w:w="2977" w:type="dxa"/>
            <w:vAlign w:val="center"/>
          </w:tcPr>
          <w:p w:rsidR="00C16EBF" w:rsidRPr="00C95571" w:rsidRDefault="00C16EBF" w:rsidP="00C95571">
            <w:pPr>
              <w:pStyle w:val="BodyText"/>
              <w:spacing w:after="0" w:line="240" w:lineRule="auto"/>
              <w:jc w:val="center"/>
              <w:rPr>
                <w:sz w:val="16"/>
                <w:szCs w:val="16"/>
              </w:rPr>
            </w:pPr>
            <w:r w:rsidRPr="00C95571">
              <w:rPr>
                <w:sz w:val="16"/>
                <w:szCs w:val="16"/>
              </w:rPr>
              <w:t>Number of stator slots, Q</w:t>
            </w:r>
            <w:r w:rsidRPr="00C95571">
              <w:rPr>
                <w:sz w:val="16"/>
                <w:szCs w:val="16"/>
                <w:vertAlign w:val="subscript"/>
              </w:rPr>
              <w:t>s</w:t>
            </w:r>
          </w:p>
        </w:tc>
        <w:tc>
          <w:tcPr>
            <w:tcW w:w="992" w:type="dxa"/>
            <w:vAlign w:val="center"/>
          </w:tcPr>
          <w:p w:rsidR="00C16EBF" w:rsidRPr="00C95571" w:rsidRDefault="00C16EBF" w:rsidP="00C95571">
            <w:pPr>
              <w:rPr>
                <w:sz w:val="16"/>
                <w:szCs w:val="16"/>
              </w:rPr>
            </w:pPr>
            <w:r w:rsidRPr="00C95571">
              <w:rPr>
                <w:sz w:val="16"/>
                <w:szCs w:val="16"/>
              </w:rPr>
              <w:t>24</w:t>
            </w:r>
          </w:p>
        </w:tc>
      </w:tr>
      <w:tr w:rsidR="00C16EBF" w:rsidRPr="00C95571" w:rsidTr="00C95571">
        <w:trPr>
          <w:jc w:val="center"/>
        </w:trPr>
        <w:tc>
          <w:tcPr>
            <w:tcW w:w="2977" w:type="dxa"/>
            <w:vAlign w:val="center"/>
          </w:tcPr>
          <w:p w:rsidR="00C16EBF" w:rsidRPr="00C95571" w:rsidRDefault="00C16EBF" w:rsidP="00C95571">
            <w:pPr>
              <w:rPr>
                <w:sz w:val="16"/>
                <w:szCs w:val="16"/>
              </w:rPr>
            </w:pPr>
            <w:r w:rsidRPr="00C95571">
              <w:rPr>
                <w:sz w:val="16"/>
                <w:szCs w:val="16"/>
              </w:rPr>
              <w:t>Number of rotor poles, p</w:t>
            </w:r>
          </w:p>
        </w:tc>
        <w:tc>
          <w:tcPr>
            <w:tcW w:w="992" w:type="dxa"/>
            <w:vAlign w:val="center"/>
          </w:tcPr>
          <w:p w:rsidR="00C16EBF" w:rsidRPr="00C95571" w:rsidRDefault="00C16EBF" w:rsidP="00C95571">
            <w:pPr>
              <w:rPr>
                <w:sz w:val="16"/>
                <w:szCs w:val="16"/>
              </w:rPr>
            </w:pPr>
            <w:r w:rsidRPr="00C95571">
              <w:rPr>
                <w:sz w:val="16"/>
                <w:szCs w:val="16"/>
              </w:rPr>
              <w:t>20</w:t>
            </w:r>
          </w:p>
        </w:tc>
      </w:tr>
      <w:tr w:rsidR="00C95571" w:rsidRPr="00C95571" w:rsidTr="00C95571">
        <w:trPr>
          <w:jc w:val="center"/>
        </w:trPr>
        <w:tc>
          <w:tcPr>
            <w:tcW w:w="2977" w:type="dxa"/>
            <w:vAlign w:val="center"/>
          </w:tcPr>
          <w:p w:rsidR="00C95571" w:rsidRPr="00C95571" w:rsidRDefault="00C95571" w:rsidP="00C95571">
            <w:pPr>
              <w:rPr>
                <w:sz w:val="16"/>
                <w:szCs w:val="16"/>
              </w:rPr>
            </w:pPr>
            <w:r w:rsidRPr="00C95571">
              <w:rPr>
                <w:sz w:val="16"/>
                <w:szCs w:val="16"/>
              </w:rPr>
              <w:t>Motor axial length, L</w:t>
            </w:r>
          </w:p>
        </w:tc>
        <w:tc>
          <w:tcPr>
            <w:tcW w:w="992" w:type="dxa"/>
            <w:vAlign w:val="center"/>
          </w:tcPr>
          <w:p w:rsidR="00C95571" w:rsidRPr="00C95571" w:rsidRDefault="00C95571" w:rsidP="00C95571">
            <w:pPr>
              <w:rPr>
                <w:sz w:val="16"/>
                <w:szCs w:val="16"/>
              </w:rPr>
            </w:pPr>
            <w:r w:rsidRPr="00C95571">
              <w:rPr>
                <w:sz w:val="16"/>
                <w:szCs w:val="16"/>
              </w:rPr>
              <w:t>150 mm</w:t>
            </w:r>
          </w:p>
        </w:tc>
      </w:tr>
      <w:tr w:rsidR="00C95571" w:rsidRPr="00C95571" w:rsidTr="00C95571">
        <w:trPr>
          <w:jc w:val="center"/>
        </w:trPr>
        <w:tc>
          <w:tcPr>
            <w:tcW w:w="2977" w:type="dxa"/>
            <w:vAlign w:val="center"/>
          </w:tcPr>
          <w:p w:rsidR="00C95571" w:rsidRPr="00C95571" w:rsidRDefault="00C95571" w:rsidP="00C95571">
            <w:pPr>
              <w:rPr>
                <w:sz w:val="16"/>
                <w:szCs w:val="16"/>
              </w:rPr>
            </w:pPr>
            <w:r w:rsidRPr="00C95571">
              <w:rPr>
                <w:sz w:val="16"/>
                <w:szCs w:val="16"/>
              </w:rPr>
              <w:t>Stator outer diameter, D</w:t>
            </w:r>
            <w:r w:rsidRPr="00C95571">
              <w:rPr>
                <w:sz w:val="16"/>
                <w:szCs w:val="16"/>
                <w:vertAlign w:val="subscript"/>
              </w:rPr>
              <w:t>os</w:t>
            </w:r>
          </w:p>
        </w:tc>
        <w:tc>
          <w:tcPr>
            <w:tcW w:w="992" w:type="dxa"/>
            <w:vAlign w:val="center"/>
          </w:tcPr>
          <w:p w:rsidR="00C95571" w:rsidRPr="00C95571" w:rsidRDefault="00C95571" w:rsidP="00C95571">
            <w:pPr>
              <w:rPr>
                <w:sz w:val="16"/>
                <w:szCs w:val="16"/>
              </w:rPr>
            </w:pPr>
            <w:r w:rsidRPr="00C95571">
              <w:rPr>
                <w:sz w:val="16"/>
                <w:szCs w:val="16"/>
              </w:rPr>
              <w:t>210 mm</w:t>
            </w:r>
          </w:p>
        </w:tc>
      </w:tr>
      <w:tr w:rsidR="00C95571" w:rsidRPr="00C95571" w:rsidTr="00C95571">
        <w:trPr>
          <w:jc w:val="center"/>
        </w:trPr>
        <w:tc>
          <w:tcPr>
            <w:tcW w:w="2977" w:type="dxa"/>
            <w:vAlign w:val="center"/>
          </w:tcPr>
          <w:p w:rsidR="00C95571" w:rsidRPr="00C95571" w:rsidRDefault="00C95571" w:rsidP="00C95571">
            <w:pPr>
              <w:rPr>
                <w:sz w:val="16"/>
                <w:szCs w:val="16"/>
              </w:rPr>
            </w:pPr>
            <w:r w:rsidRPr="00C95571">
              <w:rPr>
                <w:sz w:val="16"/>
                <w:szCs w:val="16"/>
              </w:rPr>
              <w:t>Stator inner diameter, D</w:t>
            </w:r>
            <w:r w:rsidRPr="00C95571">
              <w:rPr>
                <w:sz w:val="16"/>
                <w:szCs w:val="16"/>
                <w:vertAlign w:val="subscript"/>
              </w:rPr>
              <w:t>is</w:t>
            </w:r>
          </w:p>
        </w:tc>
        <w:tc>
          <w:tcPr>
            <w:tcW w:w="992" w:type="dxa"/>
            <w:vAlign w:val="center"/>
          </w:tcPr>
          <w:p w:rsidR="00C95571" w:rsidRPr="00C95571" w:rsidRDefault="00C95571" w:rsidP="00C95571">
            <w:pPr>
              <w:rPr>
                <w:sz w:val="16"/>
                <w:szCs w:val="16"/>
              </w:rPr>
            </w:pPr>
            <w:r w:rsidRPr="00C95571">
              <w:rPr>
                <w:sz w:val="16"/>
                <w:szCs w:val="16"/>
              </w:rPr>
              <w:t>155 mm</w:t>
            </w:r>
          </w:p>
        </w:tc>
      </w:tr>
      <w:tr w:rsidR="00C95571" w:rsidRPr="00C95571" w:rsidTr="00C95571">
        <w:trPr>
          <w:jc w:val="center"/>
        </w:trPr>
        <w:tc>
          <w:tcPr>
            <w:tcW w:w="2977" w:type="dxa"/>
            <w:vAlign w:val="center"/>
          </w:tcPr>
          <w:p w:rsidR="00C95571" w:rsidRPr="00C95571" w:rsidRDefault="00C95571" w:rsidP="00C95571">
            <w:pPr>
              <w:rPr>
                <w:sz w:val="16"/>
                <w:szCs w:val="16"/>
              </w:rPr>
            </w:pPr>
            <w:r w:rsidRPr="00C95571">
              <w:rPr>
                <w:sz w:val="16"/>
                <w:szCs w:val="16"/>
              </w:rPr>
              <w:t xml:space="preserve">Air gap length, </w:t>
            </w:r>
            <w:proofErr w:type="spellStart"/>
            <w:r w:rsidRPr="00C95571">
              <w:rPr>
                <w:sz w:val="16"/>
                <w:szCs w:val="16"/>
              </w:rPr>
              <w:t>l</w:t>
            </w:r>
            <w:r w:rsidRPr="00C95571">
              <w:rPr>
                <w:sz w:val="16"/>
                <w:szCs w:val="16"/>
                <w:vertAlign w:val="subscript"/>
              </w:rPr>
              <w:t>g</w:t>
            </w:r>
            <w:proofErr w:type="spellEnd"/>
          </w:p>
        </w:tc>
        <w:tc>
          <w:tcPr>
            <w:tcW w:w="992" w:type="dxa"/>
            <w:vAlign w:val="center"/>
          </w:tcPr>
          <w:p w:rsidR="00C95571" w:rsidRPr="00C95571" w:rsidRDefault="00C95571" w:rsidP="00C95571">
            <w:pPr>
              <w:rPr>
                <w:sz w:val="16"/>
                <w:szCs w:val="16"/>
              </w:rPr>
            </w:pPr>
            <w:r w:rsidRPr="00C95571">
              <w:rPr>
                <w:sz w:val="16"/>
                <w:szCs w:val="16"/>
              </w:rPr>
              <w:t>1 mm</w:t>
            </w:r>
          </w:p>
        </w:tc>
      </w:tr>
      <w:tr w:rsidR="00C95571" w:rsidRPr="00C95571" w:rsidTr="00C95571">
        <w:trPr>
          <w:jc w:val="center"/>
        </w:trPr>
        <w:tc>
          <w:tcPr>
            <w:tcW w:w="2977" w:type="dxa"/>
            <w:vAlign w:val="center"/>
          </w:tcPr>
          <w:p w:rsidR="00C95571" w:rsidRPr="00C95571" w:rsidRDefault="00C95571" w:rsidP="00C95571">
            <w:pPr>
              <w:rPr>
                <w:sz w:val="16"/>
                <w:szCs w:val="16"/>
              </w:rPr>
            </w:pPr>
            <w:r w:rsidRPr="00C95571">
              <w:rPr>
                <w:sz w:val="16"/>
                <w:szCs w:val="16"/>
              </w:rPr>
              <w:t>Magnet thickness, l</w:t>
            </w:r>
            <w:r w:rsidRPr="00C95571">
              <w:rPr>
                <w:sz w:val="16"/>
                <w:szCs w:val="16"/>
                <w:vertAlign w:val="subscript"/>
              </w:rPr>
              <w:t>m</w:t>
            </w:r>
          </w:p>
        </w:tc>
        <w:tc>
          <w:tcPr>
            <w:tcW w:w="992" w:type="dxa"/>
            <w:vAlign w:val="center"/>
          </w:tcPr>
          <w:p w:rsidR="00C95571" w:rsidRPr="00C95571" w:rsidRDefault="00C95571" w:rsidP="00C95571">
            <w:pPr>
              <w:rPr>
                <w:sz w:val="16"/>
                <w:szCs w:val="16"/>
              </w:rPr>
            </w:pPr>
            <w:r w:rsidRPr="00C95571">
              <w:rPr>
                <w:sz w:val="16"/>
                <w:szCs w:val="16"/>
              </w:rPr>
              <w:t>3.5 mm</w:t>
            </w:r>
          </w:p>
        </w:tc>
      </w:tr>
      <w:tr w:rsidR="00C95571" w:rsidRPr="00C95571" w:rsidTr="00C95571">
        <w:trPr>
          <w:jc w:val="center"/>
        </w:trPr>
        <w:tc>
          <w:tcPr>
            <w:tcW w:w="2977" w:type="dxa"/>
            <w:vAlign w:val="center"/>
          </w:tcPr>
          <w:p w:rsidR="00C95571" w:rsidRPr="00C95571" w:rsidRDefault="00C95571" w:rsidP="00C95571">
            <w:pPr>
              <w:rPr>
                <w:sz w:val="16"/>
                <w:szCs w:val="16"/>
              </w:rPr>
            </w:pPr>
            <w:r w:rsidRPr="00C95571">
              <w:rPr>
                <w:sz w:val="16"/>
                <w:szCs w:val="16"/>
              </w:rPr>
              <w:t xml:space="preserve">Number of turns per coil side, </w:t>
            </w:r>
            <w:proofErr w:type="spellStart"/>
            <w:r w:rsidRPr="00C95571">
              <w:rPr>
                <w:sz w:val="16"/>
                <w:szCs w:val="16"/>
              </w:rPr>
              <w:t>z</w:t>
            </w:r>
            <w:r w:rsidRPr="00C95571">
              <w:rPr>
                <w:sz w:val="16"/>
                <w:szCs w:val="16"/>
                <w:vertAlign w:val="subscript"/>
              </w:rPr>
              <w:t>Q</w:t>
            </w:r>
            <w:proofErr w:type="spellEnd"/>
          </w:p>
        </w:tc>
        <w:tc>
          <w:tcPr>
            <w:tcW w:w="992" w:type="dxa"/>
            <w:vAlign w:val="center"/>
          </w:tcPr>
          <w:p w:rsidR="00C95571" w:rsidRPr="00C95571" w:rsidRDefault="00C95571" w:rsidP="00C95571">
            <w:pPr>
              <w:rPr>
                <w:sz w:val="16"/>
                <w:szCs w:val="16"/>
              </w:rPr>
            </w:pPr>
            <w:r w:rsidRPr="00C95571">
              <w:rPr>
                <w:sz w:val="16"/>
                <w:szCs w:val="16"/>
              </w:rPr>
              <w:t>100</w:t>
            </w:r>
          </w:p>
        </w:tc>
      </w:tr>
      <w:tr w:rsidR="00C95571" w:rsidRPr="00C95571" w:rsidTr="00C95571">
        <w:trPr>
          <w:jc w:val="center"/>
        </w:trPr>
        <w:tc>
          <w:tcPr>
            <w:tcW w:w="2977" w:type="dxa"/>
            <w:vAlign w:val="center"/>
          </w:tcPr>
          <w:p w:rsidR="00C95571" w:rsidRPr="00C95571" w:rsidRDefault="00C95571" w:rsidP="00C95571">
            <w:pPr>
              <w:rPr>
                <w:sz w:val="16"/>
                <w:szCs w:val="16"/>
              </w:rPr>
            </w:pPr>
            <w:r w:rsidRPr="00C95571">
              <w:rPr>
                <w:sz w:val="16"/>
                <w:szCs w:val="16"/>
              </w:rPr>
              <w:t xml:space="preserve">Stator fill factor, </w:t>
            </w:r>
            <w:proofErr w:type="spellStart"/>
            <w:r w:rsidRPr="00C95571">
              <w:rPr>
                <w:sz w:val="16"/>
                <w:szCs w:val="16"/>
              </w:rPr>
              <w:t>k</w:t>
            </w:r>
            <w:r w:rsidRPr="00C95571">
              <w:rPr>
                <w:sz w:val="16"/>
                <w:szCs w:val="16"/>
                <w:vertAlign w:val="subscript"/>
              </w:rPr>
              <w:t>cu</w:t>
            </w:r>
            <w:proofErr w:type="spellEnd"/>
          </w:p>
        </w:tc>
        <w:tc>
          <w:tcPr>
            <w:tcW w:w="992" w:type="dxa"/>
            <w:vAlign w:val="center"/>
          </w:tcPr>
          <w:p w:rsidR="00C95571" w:rsidRPr="00C95571" w:rsidRDefault="00C95571" w:rsidP="00C95571">
            <w:pPr>
              <w:rPr>
                <w:sz w:val="16"/>
                <w:szCs w:val="16"/>
              </w:rPr>
            </w:pPr>
            <w:r w:rsidRPr="00C95571">
              <w:rPr>
                <w:sz w:val="16"/>
                <w:szCs w:val="16"/>
              </w:rPr>
              <w:t>0.6</w:t>
            </w:r>
          </w:p>
        </w:tc>
      </w:tr>
      <w:tr w:rsidR="00C95571" w:rsidRPr="00C95571" w:rsidTr="00C95571">
        <w:trPr>
          <w:jc w:val="center"/>
        </w:trPr>
        <w:tc>
          <w:tcPr>
            <w:tcW w:w="2977" w:type="dxa"/>
            <w:vAlign w:val="center"/>
          </w:tcPr>
          <w:p w:rsidR="00C95571" w:rsidRPr="00C95571" w:rsidRDefault="00C95571" w:rsidP="00C95571">
            <w:pPr>
              <w:rPr>
                <w:sz w:val="16"/>
                <w:szCs w:val="16"/>
              </w:rPr>
            </w:pPr>
            <w:r w:rsidRPr="00C95571">
              <w:rPr>
                <w:sz w:val="16"/>
                <w:szCs w:val="16"/>
              </w:rPr>
              <w:t xml:space="preserve">Stator winding factor, </w:t>
            </w:r>
            <w:proofErr w:type="spellStart"/>
            <w:r w:rsidRPr="00C95571">
              <w:rPr>
                <w:sz w:val="16"/>
                <w:szCs w:val="16"/>
              </w:rPr>
              <w:t>k</w:t>
            </w:r>
            <w:r w:rsidRPr="00C95571">
              <w:rPr>
                <w:sz w:val="16"/>
                <w:szCs w:val="16"/>
                <w:vertAlign w:val="subscript"/>
              </w:rPr>
              <w:t>ws</w:t>
            </w:r>
            <w:proofErr w:type="spellEnd"/>
          </w:p>
        </w:tc>
        <w:tc>
          <w:tcPr>
            <w:tcW w:w="992" w:type="dxa"/>
            <w:vAlign w:val="center"/>
          </w:tcPr>
          <w:p w:rsidR="00C95571" w:rsidRPr="00C95571" w:rsidRDefault="00C95571" w:rsidP="00C95571">
            <w:pPr>
              <w:rPr>
                <w:sz w:val="16"/>
                <w:szCs w:val="16"/>
              </w:rPr>
            </w:pPr>
            <w:r w:rsidRPr="00C95571">
              <w:rPr>
                <w:sz w:val="16"/>
                <w:szCs w:val="16"/>
              </w:rPr>
              <w:t>0.933</w:t>
            </w:r>
          </w:p>
        </w:tc>
      </w:tr>
    </w:tbl>
    <w:p w:rsidR="00C16EBF" w:rsidRPr="003C6E85" w:rsidRDefault="00C16EBF" w:rsidP="00C16EBF">
      <w:pPr>
        <w:jc w:val="left"/>
        <w:rPr>
          <w:b/>
        </w:rPr>
      </w:pPr>
    </w:p>
    <w:p w:rsidR="00C16EBF" w:rsidRPr="003C6E85" w:rsidRDefault="00334A75" w:rsidP="00C16EBF">
      <w:pPr>
        <w:rPr>
          <w:b/>
        </w:rPr>
      </w:pPr>
      <w:r>
        <w:object w:dxaOrig="5145" w:dyaOrig="2086">
          <v:shape id="_x0000_i1025" type="#_x0000_t75" style="width:191pt;height:77.5pt" o:ole="">
            <v:imagedata r:id="rId11" o:title=""/>
          </v:shape>
          <o:OLEObject Type="Embed" ProgID="Visio.Drawing.15" ShapeID="_x0000_i1025" DrawAspect="Content" ObjectID="_1574455959" r:id="rId12"/>
        </w:object>
      </w:r>
    </w:p>
    <w:p w:rsidR="00C16EBF" w:rsidRPr="00557F87" w:rsidRDefault="00C16EBF" w:rsidP="00557F87">
      <w:pPr>
        <w:spacing w:before="80" w:after="200"/>
        <w:jc w:val="left"/>
        <w:rPr>
          <w:sz w:val="16"/>
          <w:szCs w:val="16"/>
        </w:rPr>
      </w:pPr>
      <w:r w:rsidRPr="00557F87">
        <w:rPr>
          <w:sz w:val="16"/>
          <w:szCs w:val="16"/>
        </w:rPr>
        <w:t>Fig. 5. Proposed winding diagram of one module</w:t>
      </w:r>
    </w:p>
    <w:p w:rsidR="008A55B5" w:rsidRDefault="00C16EBF" w:rsidP="00EF3A1A">
      <w:pPr>
        <w:pStyle w:val="Heading2"/>
      </w:pPr>
      <w:r>
        <w:t>Design of the Drive</w:t>
      </w:r>
    </w:p>
    <w:p w:rsidR="00C16EBF" w:rsidRDefault="00C16EBF" w:rsidP="00557F87">
      <w:pPr>
        <w:pStyle w:val="BodyText"/>
      </w:pPr>
      <w:r>
        <w:t>The selection of power semiconductor device</w:t>
      </w:r>
      <w:r w:rsidR="00557F87">
        <w:t>s</w:t>
      </w:r>
      <w:r>
        <w:t xml:space="preserve"> is based on voltage and current requirements. Among the suitable alternatives, the final selection is based on </w:t>
      </w:r>
      <w:r w:rsidR="00557F87">
        <w:t xml:space="preserve">obtaining the </w:t>
      </w:r>
      <w:r>
        <w:t xml:space="preserve">highest motor drive efficiency. The voltage requirement of each device </w:t>
      </w:r>
      <w:r w:rsidR="00557F87">
        <w:t>has</w:t>
      </w:r>
      <w:r>
        <w:t xml:space="preserve"> already</w:t>
      </w:r>
      <w:r w:rsidR="00557F87">
        <w:t xml:space="preserve"> been</w:t>
      </w:r>
      <w:r>
        <w:t xml:space="preserve"> established. There are two GaN transistor types in the market which have breakdown voltage ratings as high as 650V, cascade GaNs manufactured by Transphorm and enhancement mode (e-mode) GaNs manufactured by GaN </w:t>
      </w:r>
      <w:r w:rsidR="00557F87">
        <w:t>S</w:t>
      </w:r>
      <w:r>
        <w:t>ystems [7]. The next step is to determine the current requirement. By using the phase voltage calculated in the previous step, the phase current of each module can</w:t>
      </w:r>
      <w:r w:rsidR="00334A75">
        <w:t xml:space="preserve"> be found by using (</w:t>
      </w:r>
      <w:r w:rsidR="00557F87">
        <w:t>8</w:t>
      </w:r>
      <w:r w:rsidR="00334A75">
        <w:t>)</w:t>
      </w:r>
      <w:r w:rsidR="00557F87">
        <w:t xml:space="preserve">. </w:t>
      </w:r>
    </w:p>
    <w:p w:rsidR="00334A75" w:rsidRDefault="00334A75" w:rsidP="00334A75">
      <w:pPr>
        <w:tabs>
          <w:tab w:val="center" w:pos="2268"/>
          <w:tab w:val="right" w:pos="4535"/>
        </w:tabs>
        <w:rPr>
          <w:sz w:val="18"/>
          <w:szCs w:val="18"/>
        </w:rPr>
      </w:pPr>
      <w:r w:rsidRPr="003C6E85">
        <w:rPr>
          <w:i/>
          <w:color w:val="FF0000"/>
          <w:sz w:val="18"/>
          <w:szCs w:val="18"/>
        </w:rPr>
        <w:tab/>
      </w:r>
      <w:proofErr w:type="spellStart"/>
      <w:r w:rsidRPr="003C6E85">
        <w:rPr>
          <w:i/>
          <w:sz w:val="18"/>
          <w:szCs w:val="18"/>
        </w:rPr>
        <w:t>I</w:t>
      </w:r>
      <w:r w:rsidRPr="003C6E85">
        <w:rPr>
          <w:i/>
          <w:sz w:val="18"/>
          <w:szCs w:val="18"/>
          <w:vertAlign w:val="subscript"/>
        </w:rPr>
        <w:t>ph</w:t>
      </w:r>
      <w:proofErr w:type="spellEnd"/>
      <w:r w:rsidRPr="003C6E85">
        <w:rPr>
          <w:i/>
          <w:sz w:val="18"/>
          <w:szCs w:val="18"/>
          <w:vertAlign w:val="subscript"/>
        </w:rPr>
        <w:t>-m</w:t>
      </w:r>
      <w:r w:rsidRPr="003C6E85">
        <w:rPr>
          <w:i/>
          <w:sz w:val="18"/>
          <w:szCs w:val="18"/>
        </w:rPr>
        <w:t xml:space="preserve"> = P</w:t>
      </w:r>
      <w:r w:rsidRPr="003C6E85">
        <w:rPr>
          <w:i/>
          <w:sz w:val="18"/>
          <w:szCs w:val="18"/>
          <w:vertAlign w:val="subscript"/>
        </w:rPr>
        <w:t>out-m</w:t>
      </w:r>
      <w:r w:rsidRPr="003C6E85">
        <w:rPr>
          <w:i/>
          <w:sz w:val="18"/>
          <w:szCs w:val="18"/>
        </w:rPr>
        <w:t xml:space="preserve"> / 3 </w:t>
      </w:r>
      <w:proofErr w:type="spellStart"/>
      <w:r w:rsidRPr="003C6E85">
        <w:rPr>
          <w:i/>
          <w:sz w:val="18"/>
          <w:szCs w:val="18"/>
        </w:rPr>
        <w:t>η</w:t>
      </w:r>
      <w:r w:rsidRPr="003C6E85">
        <w:rPr>
          <w:i/>
          <w:sz w:val="18"/>
          <w:szCs w:val="18"/>
          <w:vertAlign w:val="subscript"/>
        </w:rPr>
        <w:t>m</w:t>
      </w:r>
      <w:proofErr w:type="spellEnd"/>
      <w:r w:rsidRPr="003C6E85">
        <w:rPr>
          <w:i/>
          <w:sz w:val="18"/>
          <w:szCs w:val="18"/>
        </w:rPr>
        <w:t xml:space="preserve"> </w:t>
      </w:r>
      <w:proofErr w:type="spellStart"/>
      <w:proofErr w:type="gramStart"/>
      <w:r w:rsidRPr="003C6E85">
        <w:rPr>
          <w:i/>
          <w:sz w:val="18"/>
          <w:szCs w:val="18"/>
        </w:rPr>
        <w:t>cos</w:t>
      </w:r>
      <w:proofErr w:type="spellEnd"/>
      <w:r w:rsidRPr="003C6E85">
        <w:rPr>
          <w:i/>
          <w:sz w:val="18"/>
          <w:szCs w:val="18"/>
        </w:rPr>
        <w:t>(</w:t>
      </w:r>
      <w:proofErr w:type="gramEnd"/>
      <w:r w:rsidRPr="003C6E85">
        <w:rPr>
          <w:rFonts w:ascii="Calibri" w:hAnsi="Calibri" w:cs="Calibri"/>
          <w:i/>
          <w:sz w:val="18"/>
          <w:szCs w:val="18"/>
        </w:rPr>
        <w:t>Φ</w:t>
      </w:r>
      <w:r w:rsidRPr="003C6E85">
        <w:rPr>
          <w:i/>
          <w:sz w:val="18"/>
          <w:szCs w:val="18"/>
        </w:rPr>
        <w:t xml:space="preserve">) f </w:t>
      </w:r>
      <w:proofErr w:type="spellStart"/>
      <w:r w:rsidRPr="003C6E85">
        <w:rPr>
          <w:i/>
          <w:sz w:val="18"/>
          <w:szCs w:val="18"/>
        </w:rPr>
        <w:t>V</w:t>
      </w:r>
      <w:r w:rsidRPr="003C6E85">
        <w:rPr>
          <w:i/>
          <w:sz w:val="18"/>
          <w:szCs w:val="18"/>
          <w:vertAlign w:val="subscript"/>
        </w:rPr>
        <w:t>ph</w:t>
      </w:r>
      <w:proofErr w:type="spellEnd"/>
      <w:r w:rsidRPr="003C6E85">
        <w:rPr>
          <w:i/>
          <w:sz w:val="18"/>
          <w:szCs w:val="18"/>
          <w:vertAlign w:val="subscript"/>
        </w:rPr>
        <w:t>-m</w:t>
      </w:r>
      <w:r w:rsidRPr="003C6E85">
        <w:rPr>
          <w:sz w:val="18"/>
          <w:szCs w:val="18"/>
        </w:rPr>
        <w:tab/>
        <w:t xml:space="preserve">  (8)</w:t>
      </w:r>
    </w:p>
    <w:p w:rsidR="00334A75" w:rsidRPr="003C6E85" w:rsidRDefault="00334A75" w:rsidP="00334A75">
      <w:pPr>
        <w:tabs>
          <w:tab w:val="center" w:pos="2268"/>
          <w:tab w:val="right" w:pos="4535"/>
        </w:tabs>
        <w:rPr>
          <w:color w:val="FF0000"/>
          <w:sz w:val="18"/>
          <w:szCs w:val="18"/>
        </w:rPr>
      </w:pPr>
    </w:p>
    <w:p w:rsidR="00C16EBF" w:rsidRDefault="00C16EBF" w:rsidP="00C16EBF">
      <w:pPr>
        <w:pStyle w:val="BodyText"/>
      </w:pPr>
      <w:r>
        <w:t xml:space="preserve">One device from each type is selected having similar ratings along with an IGBT for </w:t>
      </w:r>
      <w:r w:rsidR="00557F87">
        <w:t xml:space="preserve">a better </w:t>
      </w:r>
      <w:r>
        <w:t xml:space="preserve">comparison, </w:t>
      </w:r>
      <w:r w:rsidR="00334A75">
        <w:t>as</w:t>
      </w:r>
      <w:r>
        <w:t xml:space="preserve"> shown in Table 3 [</w:t>
      </w:r>
      <w:r w:rsidRPr="009117C1">
        <w:rPr>
          <w:color w:val="FF0000"/>
        </w:rPr>
        <w:t>7</w:t>
      </w:r>
      <w:r>
        <w:t>]. Power semiconductor device losses can be categorized as forward conduction loss (</w:t>
      </w:r>
      <w:proofErr w:type="spellStart"/>
      <w:proofErr w:type="gramStart"/>
      <w:r w:rsidRPr="009117C1">
        <w:rPr>
          <w:i/>
        </w:rPr>
        <w:t>P</w:t>
      </w:r>
      <w:r w:rsidRPr="009117C1">
        <w:rPr>
          <w:i/>
          <w:vertAlign w:val="subscript"/>
        </w:rPr>
        <w:t>tc</w:t>
      </w:r>
      <w:proofErr w:type="spellEnd"/>
      <w:proofErr w:type="gramEnd"/>
      <w:r>
        <w:t>), transistor switching loss (</w:t>
      </w:r>
      <w:proofErr w:type="spellStart"/>
      <w:r w:rsidRPr="009117C1">
        <w:rPr>
          <w:i/>
        </w:rPr>
        <w:t>P</w:t>
      </w:r>
      <w:r w:rsidRPr="009117C1">
        <w:rPr>
          <w:i/>
          <w:vertAlign w:val="subscript"/>
        </w:rPr>
        <w:t>ts</w:t>
      </w:r>
      <w:proofErr w:type="spellEnd"/>
      <w:r>
        <w:t xml:space="preserve">), reverse conduction loss (anti-parallel diode conduction loss for IGBTs, </w:t>
      </w:r>
      <w:proofErr w:type="spellStart"/>
      <w:r w:rsidRPr="009117C1">
        <w:rPr>
          <w:i/>
        </w:rPr>
        <w:t>P</w:t>
      </w:r>
      <w:r w:rsidRPr="009117C1">
        <w:rPr>
          <w:i/>
          <w:vertAlign w:val="subscript"/>
        </w:rPr>
        <w:t>dc</w:t>
      </w:r>
      <w:proofErr w:type="spellEnd"/>
      <w:r>
        <w:t>) and reverse recovery loss (</w:t>
      </w:r>
      <w:proofErr w:type="spellStart"/>
      <w:r w:rsidRPr="009117C1">
        <w:rPr>
          <w:i/>
        </w:rPr>
        <w:t>P</w:t>
      </w:r>
      <w:r w:rsidRPr="009117C1">
        <w:rPr>
          <w:i/>
          <w:vertAlign w:val="subscript"/>
        </w:rPr>
        <w:t>dr</w:t>
      </w:r>
      <w:proofErr w:type="spellEnd"/>
      <w:r>
        <w:t xml:space="preserve">). The equations used in the loss calculations are shown in </w:t>
      </w:r>
      <w:r w:rsidR="009117C1">
        <w:t>(</w:t>
      </w:r>
      <w:r>
        <w:t>9</w:t>
      </w:r>
      <w:r w:rsidR="009117C1">
        <w:t>)</w:t>
      </w:r>
      <w:r>
        <w:t>-</w:t>
      </w:r>
      <w:r w:rsidR="009117C1">
        <w:t>(</w:t>
      </w:r>
      <w:r>
        <w:t>13</w:t>
      </w:r>
      <w:r w:rsidR="009117C1">
        <w:t>)</w:t>
      </w:r>
      <w:r>
        <w:t xml:space="preserve">. An approximate method which is well-established and commonly used for motor drive inverters is utilized for simplicity. In these equations, </w:t>
      </w:r>
      <w:proofErr w:type="spellStart"/>
      <w:r w:rsidRPr="009117C1">
        <w:rPr>
          <w:i/>
        </w:rPr>
        <w:t>I</w:t>
      </w:r>
      <w:r w:rsidRPr="009117C1">
        <w:rPr>
          <w:i/>
          <w:vertAlign w:val="subscript"/>
        </w:rPr>
        <w:t>cp</w:t>
      </w:r>
      <w:proofErr w:type="spellEnd"/>
      <w:r>
        <w:t xml:space="preserve"> and </w:t>
      </w:r>
      <w:proofErr w:type="spellStart"/>
      <w:r w:rsidRPr="009117C1">
        <w:rPr>
          <w:i/>
        </w:rPr>
        <w:t>I</w:t>
      </w:r>
      <w:r w:rsidRPr="009117C1">
        <w:rPr>
          <w:i/>
          <w:vertAlign w:val="subscript"/>
        </w:rPr>
        <w:t>ep</w:t>
      </w:r>
      <w:proofErr w:type="spellEnd"/>
      <w:r>
        <w:t xml:space="preserve"> are the forward and reverse peak currents, respectively, </w:t>
      </w:r>
      <w:proofErr w:type="spellStart"/>
      <w:r w:rsidRPr="009117C1">
        <w:rPr>
          <w:i/>
        </w:rPr>
        <w:t>f</w:t>
      </w:r>
      <w:r w:rsidRPr="009117C1">
        <w:rPr>
          <w:i/>
          <w:vertAlign w:val="subscript"/>
        </w:rPr>
        <w:t>sw</w:t>
      </w:r>
      <w:proofErr w:type="spellEnd"/>
      <w:r>
        <w:t xml:space="preserve"> is the switching frequency, </w:t>
      </w:r>
      <w:r w:rsidRPr="009117C1">
        <w:rPr>
          <w:i/>
        </w:rPr>
        <w:t>pf</w:t>
      </w:r>
      <w:r>
        <w:t xml:space="preserve"> is the power factor, </w:t>
      </w:r>
      <w:r w:rsidRPr="009117C1">
        <w:rPr>
          <w:i/>
        </w:rPr>
        <w:t>E</w:t>
      </w:r>
      <w:r w:rsidRPr="009117C1">
        <w:rPr>
          <w:i/>
          <w:vertAlign w:val="subscript"/>
        </w:rPr>
        <w:t>on</w:t>
      </w:r>
      <w:r w:rsidRPr="009117C1">
        <w:rPr>
          <w:i/>
        </w:rPr>
        <w:t xml:space="preserve"> </w:t>
      </w:r>
      <w:r>
        <w:t xml:space="preserve">and </w:t>
      </w:r>
      <w:proofErr w:type="spellStart"/>
      <w:r w:rsidRPr="009117C1">
        <w:rPr>
          <w:i/>
        </w:rPr>
        <w:t>E</w:t>
      </w:r>
      <w:r w:rsidRPr="009117C1">
        <w:rPr>
          <w:i/>
          <w:vertAlign w:val="subscript"/>
        </w:rPr>
        <w:t>off</w:t>
      </w:r>
      <w:proofErr w:type="spellEnd"/>
      <w:r>
        <w:t xml:space="preserve"> stand for turn-on and turn-off energies, </w:t>
      </w:r>
      <w:proofErr w:type="spellStart"/>
      <w:r w:rsidRPr="009117C1">
        <w:rPr>
          <w:i/>
        </w:rPr>
        <w:t>V</w:t>
      </w:r>
      <w:r w:rsidRPr="009117C1">
        <w:rPr>
          <w:i/>
          <w:vertAlign w:val="subscript"/>
        </w:rPr>
        <w:t>ce</w:t>
      </w:r>
      <w:proofErr w:type="spellEnd"/>
      <w:r w:rsidRPr="009117C1">
        <w:rPr>
          <w:i/>
          <w:vertAlign w:val="subscript"/>
        </w:rPr>
        <w:t>-sat</w:t>
      </w:r>
      <w:r>
        <w:t xml:space="preserve"> is saturation voltage drop for the IGBT, </w:t>
      </w:r>
      <w:proofErr w:type="spellStart"/>
      <w:r w:rsidRPr="009117C1">
        <w:rPr>
          <w:i/>
        </w:rPr>
        <w:t>R</w:t>
      </w:r>
      <w:r w:rsidRPr="009117C1">
        <w:rPr>
          <w:i/>
          <w:vertAlign w:val="subscript"/>
        </w:rPr>
        <w:t>ds</w:t>
      </w:r>
      <w:proofErr w:type="spellEnd"/>
      <w:r w:rsidRPr="009117C1">
        <w:rPr>
          <w:i/>
          <w:vertAlign w:val="subscript"/>
        </w:rPr>
        <w:t>-on</w:t>
      </w:r>
      <w:r>
        <w:t xml:space="preserve"> is the on-state resistance for GaN, </w:t>
      </w:r>
      <w:proofErr w:type="spellStart"/>
      <w:r w:rsidRPr="009117C1">
        <w:rPr>
          <w:i/>
        </w:rPr>
        <w:t>V</w:t>
      </w:r>
      <w:r w:rsidRPr="009117C1">
        <w:rPr>
          <w:i/>
          <w:vertAlign w:val="subscript"/>
        </w:rPr>
        <w:t>ec</w:t>
      </w:r>
      <w:proofErr w:type="spellEnd"/>
      <w:r>
        <w:t xml:space="preserve"> is the reverse voltage drop,</w:t>
      </w:r>
      <w:r w:rsidRPr="009117C1">
        <w:rPr>
          <w:i/>
        </w:rPr>
        <w:t xml:space="preserve"> </w:t>
      </w:r>
      <w:proofErr w:type="spellStart"/>
      <w:r w:rsidRPr="009117C1">
        <w:rPr>
          <w:i/>
        </w:rPr>
        <w:t>I</w:t>
      </w:r>
      <w:r w:rsidRPr="009117C1">
        <w:rPr>
          <w:i/>
          <w:vertAlign w:val="subscript"/>
        </w:rPr>
        <w:t>rr</w:t>
      </w:r>
      <w:proofErr w:type="spellEnd"/>
      <w:r>
        <w:t xml:space="preserve"> and</w:t>
      </w:r>
      <w:r w:rsidRPr="009117C1">
        <w:rPr>
          <w:i/>
        </w:rPr>
        <w:t xml:space="preserve"> </w:t>
      </w:r>
      <w:proofErr w:type="spellStart"/>
      <w:r w:rsidRPr="009117C1">
        <w:rPr>
          <w:i/>
        </w:rPr>
        <w:t>t</w:t>
      </w:r>
      <w:r w:rsidRPr="009117C1">
        <w:rPr>
          <w:i/>
          <w:vertAlign w:val="subscript"/>
        </w:rPr>
        <w:t>rr</w:t>
      </w:r>
      <w:proofErr w:type="spellEnd"/>
      <w:r>
        <w:t xml:space="preserve"> are the diode reverse recovery curre</w:t>
      </w:r>
      <w:r w:rsidR="009117C1">
        <w:t xml:space="preserve">nt and time, respectively, and </w:t>
      </w:r>
      <w:proofErr w:type="spellStart"/>
      <w:r w:rsidRPr="009117C1">
        <w:rPr>
          <w:i/>
        </w:rPr>
        <w:t>V</w:t>
      </w:r>
      <w:r w:rsidRPr="009117C1">
        <w:rPr>
          <w:i/>
          <w:vertAlign w:val="subscript"/>
        </w:rPr>
        <w:t>ce</w:t>
      </w:r>
      <w:proofErr w:type="spellEnd"/>
      <w:r w:rsidRPr="009117C1">
        <w:rPr>
          <w:i/>
          <w:vertAlign w:val="subscript"/>
        </w:rPr>
        <w:t>-p</w:t>
      </w:r>
      <w:r>
        <w:t xml:space="preserve"> is the reverse recovery peak voltage. </w:t>
      </w:r>
    </w:p>
    <w:tbl>
      <w:tblPr>
        <w:tblW w:w="0" w:type="auto"/>
        <w:tblLook w:val="04A0" w:firstRow="1" w:lastRow="0" w:firstColumn="1" w:lastColumn="0" w:noHBand="0" w:noVBand="1"/>
      </w:tblPr>
      <w:tblGrid>
        <w:gridCol w:w="3971"/>
        <w:gridCol w:w="565"/>
      </w:tblGrid>
      <w:tr w:rsidR="00C16EBF" w:rsidRPr="003C6E85" w:rsidTr="00CD33C8">
        <w:tc>
          <w:tcPr>
            <w:tcW w:w="3971" w:type="dxa"/>
            <w:shd w:val="clear" w:color="auto" w:fill="auto"/>
            <w:vAlign w:val="center"/>
          </w:tcPr>
          <w:p w:rsidR="00C16EBF" w:rsidRPr="00557F87" w:rsidRDefault="00557F87" w:rsidP="00CD33C8">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r>
                  <w:rPr>
                    <w:rFonts w:ascii="Cambria Math" w:hAnsi="Cambria Math"/>
                    <w:sz w:val="18"/>
                    <w:szCs w:val="18"/>
                  </w:rPr>
                  <m:t xml:space="preserve">for </m:t>
                </m:r>
                <m:r>
                  <w:rPr>
                    <w:rFonts w:ascii="Cambria Math" w:hAnsi="Cambria Math"/>
                    <w:sz w:val="18"/>
                    <w:szCs w:val="18"/>
                  </w:rPr>
                  <m:t>IGBT)</m:t>
                </m:r>
              </m:oMath>
            </m:oMathPara>
          </w:p>
          <w:p w:rsidR="00C16EBF" w:rsidRPr="00CD33C8" w:rsidRDefault="00C16EBF" w:rsidP="00CD33C8">
            <w:pPr>
              <w:rPr>
                <w:sz w:val="18"/>
                <w:szCs w:val="18"/>
              </w:rPr>
            </w:pPr>
          </w:p>
        </w:tc>
        <w:tc>
          <w:tcPr>
            <w:tcW w:w="565" w:type="dxa"/>
            <w:shd w:val="clear" w:color="auto" w:fill="auto"/>
            <w:vAlign w:val="center"/>
          </w:tcPr>
          <w:p w:rsidR="00C16EBF" w:rsidRPr="00CD33C8" w:rsidRDefault="00C16EBF" w:rsidP="00CD33C8">
            <w:pPr>
              <w:rPr>
                <w:sz w:val="18"/>
                <w:szCs w:val="18"/>
              </w:rPr>
            </w:pPr>
            <w:r w:rsidRPr="00CD33C8">
              <w:rPr>
                <w:sz w:val="18"/>
                <w:szCs w:val="18"/>
              </w:rPr>
              <w:t>(9)</w:t>
            </w:r>
          </w:p>
        </w:tc>
      </w:tr>
      <w:tr w:rsidR="00C16EBF" w:rsidRPr="003C6E85" w:rsidTr="00CD33C8">
        <w:tc>
          <w:tcPr>
            <w:tcW w:w="3971" w:type="dxa"/>
            <w:shd w:val="clear" w:color="auto" w:fill="auto"/>
            <w:vAlign w:val="center"/>
          </w:tcPr>
          <w:p w:rsidR="00C16EBF" w:rsidRPr="00557F87" w:rsidRDefault="00557F87" w:rsidP="00CD33C8">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r>
                  <w:rPr>
                    <w:rFonts w:ascii="Cambria Math" w:hAnsi="Cambria Math"/>
                    <w:sz w:val="18"/>
                    <w:szCs w:val="18"/>
                  </w:rPr>
                  <m:t xml:space="preserve">for </m:t>
                </m:r>
                <m:r>
                  <w:rPr>
                    <w:rFonts w:ascii="Cambria Math" w:hAnsi="Cambria Math"/>
                    <w:sz w:val="18"/>
                    <w:szCs w:val="18"/>
                  </w:rPr>
                  <m:t>GaN)</m:t>
                </m:r>
              </m:oMath>
            </m:oMathPara>
          </w:p>
          <w:p w:rsidR="00C16EBF" w:rsidRPr="00CD33C8" w:rsidRDefault="00C16EBF" w:rsidP="00CD33C8">
            <w:pPr>
              <w:rPr>
                <w:sz w:val="18"/>
                <w:szCs w:val="18"/>
              </w:rPr>
            </w:pPr>
          </w:p>
        </w:tc>
        <w:tc>
          <w:tcPr>
            <w:tcW w:w="565" w:type="dxa"/>
            <w:shd w:val="clear" w:color="auto" w:fill="auto"/>
            <w:vAlign w:val="center"/>
          </w:tcPr>
          <w:p w:rsidR="00C16EBF" w:rsidRPr="00CD33C8" w:rsidRDefault="00C16EBF" w:rsidP="00CD33C8">
            <w:pPr>
              <w:rPr>
                <w:sz w:val="18"/>
                <w:szCs w:val="18"/>
              </w:rPr>
            </w:pPr>
            <w:r w:rsidRPr="00CD33C8">
              <w:rPr>
                <w:sz w:val="18"/>
                <w:szCs w:val="18"/>
              </w:rPr>
              <w:t>(10)</w:t>
            </w:r>
          </w:p>
        </w:tc>
      </w:tr>
      <w:tr w:rsidR="00C16EBF" w:rsidRPr="003C6E85" w:rsidTr="00CD33C8">
        <w:tc>
          <w:tcPr>
            <w:tcW w:w="3971" w:type="dxa"/>
            <w:shd w:val="clear" w:color="auto" w:fill="auto"/>
            <w:vAlign w:val="center"/>
          </w:tcPr>
          <w:p w:rsidR="00C16EBF" w:rsidRPr="00557F87" w:rsidRDefault="00557F87" w:rsidP="00CD33C8">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C16EBF" w:rsidRPr="00CD33C8" w:rsidRDefault="00C16EBF" w:rsidP="00CD33C8">
            <w:pPr>
              <w:rPr>
                <w:sz w:val="18"/>
                <w:szCs w:val="18"/>
              </w:rPr>
            </w:pPr>
          </w:p>
        </w:tc>
        <w:tc>
          <w:tcPr>
            <w:tcW w:w="565" w:type="dxa"/>
            <w:shd w:val="clear" w:color="auto" w:fill="auto"/>
            <w:vAlign w:val="center"/>
          </w:tcPr>
          <w:p w:rsidR="00C16EBF" w:rsidRPr="00CD33C8" w:rsidRDefault="00C16EBF" w:rsidP="00CD33C8">
            <w:pPr>
              <w:rPr>
                <w:sz w:val="18"/>
                <w:szCs w:val="18"/>
              </w:rPr>
            </w:pPr>
            <w:r w:rsidRPr="00CD33C8">
              <w:rPr>
                <w:sz w:val="18"/>
                <w:szCs w:val="18"/>
              </w:rPr>
              <w:t>(11)</w:t>
            </w:r>
          </w:p>
        </w:tc>
      </w:tr>
      <w:tr w:rsidR="00C16EBF" w:rsidRPr="003C6E85" w:rsidTr="00CD33C8">
        <w:tc>
          <w:tcPr>
            <w:tcW w:w="3971" w:type="dxa"/>
            <w:shd w:val="clear" w:color="auto" w:fill="auto"/>
            <w:vAlign w:val="center"/>
          </w:tcPr>
          <w:p w:rsidR="00C16EBF" w:rsidRPr="00557F87" w:rsidRDefault="00557F87" w:rsidP="00CD33C8">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C16EBF" w:rsidRPr="00CD33C8" w:rsidRDefault="00C16EBF" w:rsidP="00CD33C8">
            <w:pPr>
              <w:rPr>
                <w:sz w:val="18"/>
                <w:szCs w:val="18"/>
              </w:rPr>
            </w:pPr>
          </w:p>
        </w:tc>
        <w:tc>
          <w:tcPr>
            <w:tcW w:w="565" w:type="dxa"/>
            <w:shd w:val="clear" w:color="auto" w:fill="auto"/>
            <w:vAlign w:val="center"/>
          </w:tcPr>
          <w:p w:rsidR="00C16EBF" w:rsidRPr="00CD33C8" w:rsidRDefault="00C16EBF" w:rsidP="00CD33C8">
            <w:pPr>
              <w:rPr>
                <w:sz w:val="18"/>
                <w:szCs w:val="18"/>
              </w:rPr>
            </w:pPr>
            <w:r w:rsidRPr="00CD33C8">
              <w:rPr>
                <w:sz w:val="18"/>
                <w:szCs w:val="18"/>
              </w:rPr>
              <w:t>(12)</w:t>
            </w:r>
          </w:p>
        </w:tc>
      </w:tr>
      <w:tr w:rsidR="00C16EBF" w:rsidRPr="003C6E85" w:rsidTr="00CD33C8">
        <w:tc>
          <w:tcPr>
            <w:tcW w:w="3971" w:type="dxa"/>
            <w:shd w:val="clear" w:color="auto" w:fill="auto"/>
            <w:vAlign w:val="center"/>
          </w:tcPr>
          <w:p w:rsidR="00C16EBF" w:rsidRPr="00557F87" w:rsidRDefault="00557F87" w:rsidP="00CD33C8">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shd w:val="clear" w:color="auto" w:fill="auto"/>
            <w:vAlign w:val="center"/>
          </w:tcPr>
          <w:p w:rsidR="00C16EBF" w:rsidRPr="00CD33C8" w:rsidRDefault="00C16EBF" w:rsidP="00CD33C8">
            <w:pPr>
              <w:rPr>
                <w:sz w:val="18"/>
                <w:szCs w:val="18"/>
              </w:rPr>
            </w:pPr>
            <w:r w:rsidRPr="00CD33C8">
              <w:rPr>
                <w:sz w:val="18"/>
                <w:szCs w:val="18"/>
              </w:rPr>
              <w:t>(13)</w:t>
            </w:r>
          </w:p>
        </w:tc>
      </w:tr>
    </w:tbl>
    <w:p w:rsidR="00C16EBF" w:rsidRPr="003E508C" w:rsidRDefault="00334A75" w:rsidP="003E508C">
      <w:pPr>
        <w:pStyle w:val="tablehead"/>
        <w:numPr>
          <w:ilvl w:val="0"/>
          <w:numId w:val="0"/>
        </w:numPr>
        <w:rPr>
          <w:rFonts w:eastAsia="MS Mincho"/>
          <w:noProof w:val="0"/>
          <w:spacing w:val="-1"/>
        </w:rPr>
      </w:pPr>
      <w:r>
        <w:t>TABLE II</w:t>
      </w:r>
      <w:r>
        <w:t>I</w:t>
      </w:r>
      <w:r>
        <w:t>.</w:t>
      </w:r>
      <w:r>
        <w:t xml:space="preserve"> Alternatıve devıces for transıstor selectıon </w:t>
      </w:r>
      <w:r>
        <w:rPr>
          <w:sz w:val="18"/>
          <w:szCs w:val="18"/>
        </w:rPr>
        <w:fldChar w:fldCharType="begin" w:fldLock="1"/>
      </w:r>
      <w:r>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"[8]" }, "properties" : { "noteIndex" : 0 }, "schema" : "https://github.com/citation-style-language/schema/raw/master/csl-citation.json" }</w:instrText>
      </w:r>
      <w:r>
        <w:rPr>
          <w:sz w:val="18"/>
          <w:szCs w:val="18"/>
        </w:rPr>
        <w:fldChar w:fldCharType="separate"/>
      </w:r>
      <w:r w:rsidRPr="00C14A14">
        <w:rPr>
          <w:sz w:val="18"/>
          <w:szCs w:val="18"/>
        </w:rPr>
        <w:t>[7]</w:t>
      </w:r>
      <w:r>
        <w:rPr>
          <w:sz w:val="18"/>
          <w:szCs w:val="18"/>
        </w:rPr>
        <w:fldChar w:fldCharType="end"/>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tblGrid>
      <w:tr w:rsidR="00C16EBF" w:rsidRPr="003C6E85" w:rsidTr="00334A75">
        <w:trPr>
          <w:jc w:val="center"/>
        </w:trPr>
        <w:tc>
          <w:tcPr>
            <w:tcW w:w="1129" w:type="dxa"/>
            <w:shd w:val="clear" w:color="auto" w:fill="auto"/>
          </w:tcPr>
          <w:p w:rsidR="00C16EBF" w:rsidRPr="00334A75" w:rsidRDefault="00334A75" w:rsidP="00CD33C8">
            <w:pPr>
              <w:pStyle w:val="BodyTextKeep"/>
              <w:ind w:right="0"/>
              <w:jc w:val="center"/>
              <w:rPr>
                <w:sz w:val="16"/>
                <w:szCs w:val="16"/>
                <w:lang w:val="en-US"/>
              </w:rPr>
            </w:pPr>
            <w:r w:rsidRPr="00334A75">
              <w:rPr>
                <w:sz w:val="16"/>
                <w:szCs w:val="16"/>
                <w:lang w:val="en-US"/>
              </w:rPr>
              <w:t>Device</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FP35R12KT4P</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TPH3205WSB</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GS66508B</w:t>
            </w:r>
          </w:p>
        </w:tc>
      </w:tr>
      <w:tr w:rsidR="00C16EBF" w:rsidRPr="003C6E85" w:rsidTr="00334A75">
        <w:trPr>
          <w:jc w:val="center"/>
        </w:trPr>
        <w:tc>
          <w:tcPr>
            <w:tcW w:w="1129" w:type="dxa"/>
            <w:shd w:val="clear" w:color="auto" w:fill="auto"/>
          </w:tcPr>
          <w:p w:rsidR="00C16EBF" w:rsidRPr="00334A75" w:rsidRDefault="00334A75" w:rsidP="00CD33C8">
            <w:pPr>
              <w:pStyle w:val="BodyTextKeep"/>
              <w:ind w:right="0"/>
              <w:jc w:val="center"/>
              <w:rPr>
                <w:sz w:val="16"/>
                <w:szCs w:val="16"/>
                <w:lang w:val="en-US"/>
              </w:rPr>
            </w:pPr>
            <w:r w:rsidRPr="00334A75">
              <w:rPr>
                <w:sz w:val="16"/>
                <w:szCs w:val="16"/>
                <w:lang w:val="en-US"/>
              </w:rPr>
              <w:t>Type</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IGBT</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Cascode GaN</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E-mode GaN</w:t>
            </w:r>
          </w:p>
        </w:tc>
      </w:tr>
      <w:tr w:rsidR="00C16EBF" w:rsidRPr="003C6E85" w:rsidTr="00334A75">
        <w:trPr>
          <w:jc w:val="center"/>
        </w:trPr>
        <w:tc>
          <w:tcPr>
            <w:tcW w:w="1129" w:type="dxa"/>
            <w:shd w:val="clear" w:color="auto" w:fill="auto"/>
          </w:tcPr>
          <w:p w:rsidR="00C16EBF" w:rsidRPr="00334A75" w:rsidRDefault="00334A75" w:rsidP="00CD33C8">
            <w:pPr>
              <w:pStyle w:val="BodyTextKeep"/>
              <w:ind w:right="0"/>
              <w:jc w:val="center"/>
              <w:rPr>
                <w:sz w:val="16"/>
                <w:szCs w:val="16"/>
                <w:lang w:val="en-US"/>
              </w:rPr>
            </w:pPr>
            <w:r w:rsidRPr="00334A75">
              <w:rPr>
                <w:sz w:val="16"/>
                <w:szCs w:val="16"/>
                <w:lang w:val="en-US"/>
              </w:rPr>
              <w:t>Manufacturer</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Infineon</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Transphorm</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GaN systems</w:t>
            </w:r>
          </w:p>
        </w:tc>
      </w:tr>
      <w:tr w:rsidR="00C16EBF" w:rsidRPr="003C6E85" w:rsidTr="00334A75">
        <w:trPr>
          <w:jc w:val="center"/>
        </w:trPr>
        <w:tc>
          <w:tcPr>
            <w:tcW w:w="1129" w:type="dxa"/>
            <w:shd w:val="clear" w:color="auto" w:fill="auto"/>
          </w:tcPr>
          <w:p w:rsidR="00C16EBF" w:rsidRPr="00334A75" w:rsidRDefault="00334A75" w:rsidP="00CD33C8">
            <w:pPr>
              <w:pStyle w:val="BodyTextKeep"/>
              <w:ind w:right="0"/>
              <w:jc w:val="center"/>
              <w:rPr>
                <w:sz w:val="16"/>
                <w:szCs w:val="16"/>
                <w:lang w:val="en-US"/>
              </w:rPr>
            </w:pPr>
            <w:r w:rsidRPr="00334A75">
              <w:rPr>
                <w:sz w:val="16"/>
                <w:szCs w:val="16"/>
                <w:lang w:val="en-US"/>
              </w:rPr>
              <w:t>Voltage</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1200 V</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650 V</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650 V</w:t>
            </w:r>
          </w:p>
        </w:tc>
      </w:tr>
      <w:tr w:rsidR="00C16EBF" w:rsidRPr="003C6E85" w:rsidTr="00334A75">
        <w:trPr>
          <w:jc w:val="center"/>
        </w:trPr>
        <w:tc>
          <w:tcPr>
            <w:tcW w:w="1129" w:type="dxa"/>
            <w:shd w:val="clear" w:color="auto" w:fill="auto"/>
          </w:tcPr>
          <w:p w:rsidR="00C16EBF" w:rsidRPr="00334A75" w:rsidRDefault="00334A75" w:rsidP="00CD33C8">
            <w:pPr>
              <w:pStyle w:val="BodyTextKeep"/>
              <w:ind w:right="0"/>
              <w:jc w:val="center"/>
              <w:rPr>
                <w:sz w:val="16"/>
                <w:szCs w:val="16"/>
                <w:lang w:val="en-US"/>
              </w:rPr>
            </w:pPr>
            <w:r w:rsidRPr="00334A75">
              <w:rPr>
                <w:sz w:val="16"/>
                <w:szCs w:val="16"/>
                <w:lang w:val="en-US"/>
              </w:rPr>
              <w:t>Current</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35 A</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35 A</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30 A</w:t>
            </w:r>
          </w:p>
        </w:tc>
      </w:tr>
      <w:tr w:rsidR="00C16EBF" w:rsidRPr="003C6E85" w:rsidTr="00334A75">
        <w:trPr>
          <w:jc w:val="center"/>
        </w:trPr>
        <w:tc>
          <w:tcPr>
            <w:tcW w:w="1129" w:type="dxa"/>
            <w:shd w:val="clear" w:color="auto" w:fill="auto"/>
          </w:tcPr>
          <w:p w:rsidR="00C16EBF" w:rsidRPr="00334A75" w:rsidRDefault="00C16EBF" w:rsidP="00CD33C8">
            <w:pPr>
              <w:pStyle w:val="BodyTextKeep"/>
              <w:ind w:right="0"/>
              <w:jc w:val="center"/>
              <w:rPr>
                <w:sz w:val="16"/>
                <w:szCs w:val="16"/>
                <w:lang w:val="en-US"/>
              </w:rPr>
            </w:pPr>
            <w:proofErr w:type="spellStart"/>
            <w:r w:rsidRPr="00334A75">
              <w:rPr>
                <w:sz w:val="16"/>
                <w:szCs w:val="16"/>
                <w:lang w:val="en-US"/>
              </w:rPr>
              <w:t>V</w:t>
            </w:r>
            <w:r w:rsidRPr="00334A75">
              <w:rPr>
                <w:sz w:val="16"/>
                <w:szCs w:val="16"/>
                <w:vertAlign w:val="subscript"/>
                <w:lang w:val="en-US"/>
              </w:rPr>
              <w:t>ce,sat</w:t>
            </w:r>
            <w:proofErr w:type="spellEnd"/>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2,15 V</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w:t>
            </w:r>
          </w:p>
        </w:tc>
      </w:tr>
      <w:tr w:rsidR="00C16EBF" w:rsidRPr="003C6E85" w:rsidTr="00334A75">
        <w:trPr>
          <w:jc w:val="center"/>
        </w:trPr>
        <w:tc>
          <w:tcPr>
            <w:tcW w:w="1129" w:type="dxa"/>
            <w:shd w:val="clear" w:color="auto" w:fill="auto"/>
          </w:tcPr>
          <w:p w:rsidR="00C16EBF" w:rsidRPr="00334A75" w:rsidRDefault="00C16EBF" w:rsidP="00CD33C8">
            <w:pPr>
              <w:pStyle w:val="BodyTextKeep"/>
              <w:ind w:right="0"/>
              <w:jc w:val="center"/>
              <w:rPr>
                <w:sz w:val="16"/>
                <w:szCs w:val="16"/>
                <w:lang w:val="en-US"/>
              </w:rPr>
            </w:pPr>
            <w:proofErr w:type="spellStart"/>
            <w:r w:rsidRPr="00334A75">
              <w:rPr>
                <w:sz w:val="16"/>
                <w:szCs w:val="16"/>
                <w:lang w:val="en-US"/>
              </w:rPr>
              <w:t>R</w:t>
            </w:r>
            <w:r w:rsidRPr="00334A75">
              <w:rPr>
                <w:sz w:val="16"/>
                <w:szCs w:val="16"/>
                <w:vertAlign w:val="subscript"/>
                <w:lang w:val="en-US"/>
              </w:rPr>
              <w:t>ds,on</w:t>
            </w:r>
            <w:proofErr w:type="spellEnd"/>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60 mΩ</w:t>
            </w:r>
          </w:p>
        </w:tc>
        <w:tc>
          <w:tcPr>
            <w:tcW w:w="1276" w:type="dxa"/>
            <w:shd w:val="clear" w:color="auto" w:fill="auto"/>
          </w:tcPr>
          <w:p w:rsidR="00C16EBF" w:rsidRPr="00334A75" w:rsidRDefault="00C16EBF" w:rsidP="00CD33C8">
            <w:pPr>
              <w:pStyle w:val="BodyTextKeep"/>
              <w:ind w:right="0"/>
              <w:jc w:val="center"/>
              <w:rPr>
                <w:sz w:val="16"/>
                <w:szCs w:val="16"/>
                <w:lang w:val="en-US"/>
              </w:rPr>
            </w:pPr>
            <w:r w:rsidRPr="00334A75">
              <w:rPr>
                <w:sz w:val="16"/>
                <w:szCs w:val="16"/>
                <w:lang w:val="en-US"/>
              </w:rPr>
              <w:t>50 mΩ</w:t>
            </w:r>
          </w:p>
        </w:tc>
      </w:tr>
    </w:tbl>
    <w:p w:rsidR="00334A75" w:rsidRDefault="00334A75" w:rsidP="00334A75">
      <w:pPr>
        <w:jc w:val="both"/>
        <w:rPr>
          <w:b/>
          <w:bCs/>
        </w:rPr>
      </w:pPr>
    </w:p>
    <w:p w:rsidR="009117C1" w:rsidRDefault="003E508C" w:rsidP="003E508C">
      <w:pPr>
        <w:keepNext/>
        <w:spacing w:after="120" w:line="228" w:lineRule="auto"/>
        <w:jc w:val="both"/>
        <w:rPr>
          <w:rFonts w:eastAsia="MS Mincho"/>
          <w:lang w:val="tr-TR"/>
        </w:rPr>
      </w:pPr>
      <w:r w:rsidRPr="003E508C">
        <w:rPr>
          <w:rFonts w:eastAsia="MS Mincho"/>
          <w:lang w:val="tr-TR"/>
        </w:rPr>
        <w:t xml:space="preserve">As mentioned previously, the selection of DC bus capacitor bank is very critical in IMMD systems due to power density constraints. </w:t>
      </w:r>
      <w:r>
        <w:rPr>
          <w:rFonts w:eastAsia="MS Mincho"/>
          <w:lang w:val="tr-TR"/>
        </w:rPr>
        <w:t>In this paper, an optimum selection of DC link capacitors is performed for the designed system using metal film capacitors. For comparison, the same design procedure is also applied to the conventional system with IGBTs. The parameters affecting the capacitor selection are DC voltage (</w:t>
      </w:r>
      <w:r w:rsidRPr="009117C1">
        <w:rPr>
          <w:rFonts w:eastAsia="MS Mincho"/>
          <w:i/>
          <w:lang w:val="tr-TR"/>
        </w:rPr>
        <w:t>V</w:t>
      </w:r>
      <w:r w:rsidRPr="009117C1">
        <w:rPr>
          <w:rFonts w:eastAsia="MS Mincho"/>
          <w:i/>
          <w:vertAlign w:val="subscript"/>
          <w:lang w:val="tr-TR"/>
        </w:rPr>
        <w:t>dc</w:t>
      </w:r>
      <w:r>
        <w:rPr>
          <w:rFonts w:eastAsia="MS Mincho"/>
          <w:lang w:val="tr-TR"/>
        </w:rPr>
        <w:t>), capacitance requirement to meet the voltage ripple constraint (</w:t>
      </w:r>
      <w:r w:rsidRPr="009117C1">
        <w:rPr>
          <w:rFonts w:eastAsia="MS Mincho"/>
          <w:i/>
          <w:lang w:val="tr-TR"/>
        </w:rPr>
        <w:t>C</w:t>
      </w:r>
      <w:r w:rsidRPr="009117C1">
        <w:rPr>
          <w:rFonts w:eastAsia="MS Mincho"/>
          <w:i/>
          <w:vertAlign w:val="subscript"/>
          <w:lang w:val="tr-TR"/>
        </w:rPr>
        <w:t>dc</w:t>
      </w:r>
      <w:r>
        <w:rPr>
          <w:rFonts w:eastAsia="MS Mincho"/>
          <w:lang w:val="tr-TR"/>
        </w:rPr>
        <w:t xml:space="preserve">), </w:t>
      </w:r>
      <w:r w:rsidR="009117C1">
        <w:rPr>
          <w:rFonts w:eastAsia="MS Mincho"/>
          <w:lang w:val="tr-TR"/>
        </w:rPr>
        <w:t>the current requirement due to the rms rating of capacitor bank current ripple (</w:t>
      </w:r>
      <w:r w:rsidR="009117C1" w:rsidRPr="009117C1">
        <w:rPr>
          <w:rFonts w:eastAsia="MS Mincho"/>
          <w:i/>
          <w:lang w:val="tr-TR"/>
        </w:rPr>
        <w:t>I</w:t>
      </w:r>
      <w:r w:rsidR="009117C1" w:rsidRPr="009117C1">
        <w:rPr>
          <w:rFonts w:eastAsia="MS Mincho"/>
          <w:i/>
          <w:vertAlign w:val="subscript"/>
          <w:lang w:val="tr-TR"/>
        </w:rPr>
        <w:t>c,rms</w:t>
      </w:r>
      <w:r w:rsidR="009117C1">
        <w:rPr>
          <w:rFonts w:eastAsia="MS Mincho"/>
          <w:lang w:val="tr-TR"/>
        </w:rPr>
        <w:t>) and temperature rise of each capacitor (</w:t>
      </w:r>
      <w:r w:rsidR="009117C1" w:rsidRPr="009117C1">
        <w:rPr>
          <w:rFonts w:eastAsia="MS Mincho"/>
          <w:i/>
          <w:lang w:val="tr-TR"/>
        </w:rPr>
        <w:t>T</w:t>
      </w:r>
      <w:r w:rsidR="009117C1" w:rsidRPr="009117C1">
        <w:rPr>
          <w:rFonts w:eastAsia="MS Mincho"/>
          <w:i/>
          <w:vertAlign w:val="subscript"/>
          <w:lang w:val="tr-TR"/>
        </w:rPr>
        <w:t>c</w:t>
      </w:r>
      <w:r w:rsidR="009117C1">
        <w:rPr>
          <w:rFonts w:eastAsia="MS Mincho"/>
          <w:lang w:val="tr-TR"/>
        </w:rPr>
        <w:t xml:space="preserve">). The analytical model used for these parameters are shown in (14)-(17), where </w:t>
      </w:r>
      <w:r w:rsidR="009117C1" w:rsidRPr="009117C1">
        <w:rPr>
          <w:rFonts w:eastAsia="MS Mincho"/>
          <w:i/>
          <w:lang w:val="tr-TR"/>
        </w:rPr>
        <w:t>M</w:t>
      </w:r>
      <w:r w:rsidR="009117C1">
        <w:rPr>
          <w:rFonts w:eastAsia="MS Mincho"/>
          <w:lang w:val="tr-TR"/>
        </w:rPr>
        <w:t xml:space="preserve"> is the modulation depth, </w:t>
      </w:r>
      <w:r w:rsidR="009117C1" w:rsidRPr="009117C1">
        <w:rPr>
          <w:rFonts w:eastAsia="MS Mincho"/>
          <w:i/>
          <w:lang w:val="tr-TR"/>
        </w:rPr>
        <w:t>V</w:t>
      </w:r>
      <w:r w:rsidR="009117C1" w:rsidRPr="009117C1">
        <w:rPr>
          <w:rFonts w:eastAsia="MS Mincho"/>
          <w:i/>
          <w:vertAlign w:val="subscript"/>
          <w:lang w:val="tr-TR"/>
        </w:rPr>
        <w:t>dc-r</w:t>
      </w:r>
      <w:r w:rsidR="009117C1">
        <w:rPr>
          <w:rFonts w:eastAsia="MS Mincho"/>
          <w:lang w:val="tr-TR"/>
        </w:rPr>
        <w:t xml:space="preserve"> is the maximum allowed peak-to-peak voltage ripple, </w:t>
      </w:r>
      <w:r w:rsidR="009117C1" w:rsidRPr="009117C1">
        <w:rPr>
          <w:rFonts w:eastAsia="MS Mincho"/>
          <w:i/>
          <w:lang w:val="tr-TR"/>
        </w:rPr>
        <w:t>T</w:t>
      </w:r>
      <w:r w:rsidR="009117C1" w:rsidRPr="009117C1">
        <w:rPr>
          <w:rFonts w:eastAsia="MS Mincho"/>
          <w:i/>
          <w:vertAlign w:val="subscript"/>
          <w:lang w:val="tr-TR"/>
        </w:rPr>
        <w:t>a</w:t>
      </w:r>
      <w:r w:rsidR="009117C1">
        <w:rPr>
          <w:rFonts w:eastAsia="MS Mincho"/>
          <w:lang w:val="tr-TR"/>
        </w:rPr>
        <w:t xml:space="preserve"> is the ambient temperature, </w:t>
      </w:r>
      <w:r w:rsidR="009117C1" w:rsidRPr="009117C1">
        <w:rPr>
          <w:rFonts w:eastAsia="MS Mincho"/>
          <w:i/>
          <w:lang w:val="tr-TR"/>
        </w:rPr>
        <w:t>R</w:t>
      </w:r>
      <w:r w:rsidR="009117C1" w:rsidRPr="009117C1">
        <w:rPr>
          <w:rFonts w:eastAsia="MS Mincho"/>
          <w:i/>
          <w:vertAlign w:val="subscript"/>
          <w:lang w:val="tr-TR"/>
        </w:rPr>
        <w:t>th-c</w:t>
      </w:r>
      <w:r w:rsidR="009117C1">
        <w:rPr>
          <w:rFonts w:eastAsia="MS Mincho"/>
          <w:lang w:val="tr-TR"/>
        </w:rPr>
        <w:t xml:space="preserve"> is the thermal resistance of the capacitor and </w:t>
      </w:r>
      <w:r w:rsidR="009117C1" w:rsidRPr="009117C1">
        <w:rPr>
          <w:rFonts w:eastAsia="MS Mincho"/>
          <w:i/>
          <w:lang w:val="tr-TR"/>
        </w:rPr>
        <w:t>R</w:t>
      </w:r>
      <w:r w:rsidR="009117C1" w:rsidRPr="009117C1">
        <w:rPr>
          <w:rFonts w:eastAsia="MS Mincho"/>
          <w:i/>
          <w:vertAlign w:val="subscript"/>
          <w:lang w:val="tr-TR"/>
        </w:rPr>
        <w:t>c</w:t>
      </w:r>
      <w:r w:rsidR="009117C1">
        <w:rPr>
          <w:rFonts w:eastAsia="MS Mincho"/>
          <w:lang w:val="tr-TR"/>
        </w:rPr>
        <w:t xml:space="preserve"> is the ESR value of the capacitors </w:t>
      </w:r>
      <w:r w:rsidR="009117C1" w:rsidRPr="009117C1">
        <w:rPr>
          <w:rFonts w:eastAsia="MS Mincho"/>
          <w:color w:val="FF0000"/>
          <w:lang w:val="tr-TR"/>
        </w:rPr>
        <w:t>ref</w:t>
      </w:r>
      <w:r w:rsidR="009117C1">
        <w:rPr>
          <w:rFonts w:eastAsia="MS Mincho"/>
          <w:lang w:val="tr-TR"/>
        </w:rPr>
        <w:t>.</w:t>
      </w:r>
    </w:p>
    <w:tbl>
      <w:tblPr>
        <w:tblStyle w:val="TableGrid1"/>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3E508C" w:rsidRPr="003E508C" w:rsidTr="00E84351">
        <w:tc>
          <w:tcPr>
            <w:tcW w:w="3978" w:type="dxa"/>
            <w:vAlign w:val="center"/>
          </w:tcPr>
          <w:p w:rsidR="003E508C" w:rsidRPr="003E508C" w:rsidRDefault="003E508C" w:rsidP="003E508C">
            <w:pPr>
              <w:rPr>
                <w:sz w:val="18"/>
                <w:szCs w:val="18"/>
                <w:lang w:val="tr-TR"/>
              </w:rPr>
            </w:pPr>
            <m:oMathPara>
              <m:oMath>
                <m:sSub>
                  <m:sSubPr>
                    <m:ctrlPr>
                      <w:rPr>
                        <w:rFonts w:ascii="Cambria Math" w:hAnsi="Cambria Math"/>
                        <w:i/>
                        <w:sz w:val="18"/>
                        <w:szCs w:val="18"/>
                        <w:lang w:val="tr-TR"/>
                      </w:rPr>
                    </m:ctrlPr>
                  </m:sSubPr>
                  <m:e>
                    <m:r>
                      <w:rPr>
                        <w:rFonts w:ascii="Cambria Math" w:hAnsi="Cambria Math"/>
                        <w:sz w:val="18"/>
                        <w:szCs w:val="18"/>
                        <w:lang w:val="tr-TR"/>
                      </w:rPr>
                      <m:t>C</m:t>
                    </m:r>
                  </m:e>
                  <m:sub>
                    <m:r>
                      <w:rPr>
                        <w:rFonts w:ascii="Cambria Math" w:hAnsi="Cambria Math"/>
                        <w:sz w:val="18"/>
                        <w:szCs w:val="18"/>
                        <w:lang w:val="tr-TR"/>
                      </w:rPr>
                      <m:t>dc</m:t>
                    </m:r>
                  </m:sub>
                </m:sSub>
                <m:r>
                  <w:rPr>
                    <w:rFonts w:ascii="Cambria Math" w:hAnsi="Cambria Math"/>
                    <w:sz w:val="18"/>
                    <w:szCs w:val="18"/>
                    <w:lang w:val="tr-TR"/>
                  </w:rPr>
                  <m:t>=</m:t>
                </m:r>
                <m:f>
                  <m:fPr>
                    <m:ctrlPr>
                      <w:rPr>
                        <w:rFonts w:ascii="Cambria Math" w:hAnsi="Cambria Math"/>
                        <w:i/>
                        <w:sz w:val="18"/>
                        <w:szCs w:val="18"/>
                        <w:lang w:val="tr-TR"/>
                      </w:rPr>
                    </m:ctrlPr>
                  </m:fPr>
                  <m:num>
                    <m:r>
                      <w:rPr>
                        <w:rFonts w:ascii="Cambria Math" w:hAnsi="Cambria Math"/>
                        <w:sz w:val="18"/>
                        <w:szCs w:val="18"/>
                        <w:lang w:val="tr-TR"/>
                      </w:rPr>
                      <m:t xml:space="preserve">M  </m:t>
                    </m:r>
                    <m:d>
                      <m:dPr>
                        <m:ctrlPr>
                          <w:rPr>
                            <w:rFonts w:ascii="Cambria Math" w:hAnsi="Cambria Math"/>
                            <w:i/>
                            <w:sz w:val="18"/>
                            <w:szCs w:val="18"/>
                            <w:lang w:val="tr-TR"/>
                          </w:rPr>
                        </m:ctrlPr>
                      </m:dPr>
                      <m:e>
                        <m:acc>
                          <m:accPr>
                            <m:ctrlPr>
                              <w:rPr>
                                <w:rFonts w:ascii="Cambria Math" w:hAnsi="Cambria Math"/>
                                <w:i/>
                                <w:sz w:val="18"/>
                                <w:szCs w:val="18"/>
                                <w:lang w:val="tr-TR"/>
                              </w:rPr>
                            </m:ctrlPr>
                          </m:accPr>
                          <m:e>
                            <m:sSub>
                              <m:sSubPr>
                                <m:ctrlPr>
                                  <w:rPr>
                                    <w:rFonts w:ascii="Cambria Math" w:hAnsi="Cambria Math"/>
                                    <w:i/>
                                    <w:sz w:val="18"/>
                                    <w:szCs w:val="18"/>
                                    <w:lang w:val="tr-TR"/>
                                  </w:rPr>
                                </m:ctrlPr>
                              </m:sSubPr>
                              <m:e>
                                <m:r>
                                  <w:rPr>
                                    <w:rFonts w:ascii="Cambria Math" w:hAnsi="Cambria Math"/>
                                    <w:sz w:val="18"/>
                                    <w:szCs w:val="18"/>
                                    <w:lang w:val="tr-TR"/>
                                  </w:rPr>
                                  <m:t>I</m:t>
                                </m:r>
                              </m:e>
                              <m:sub>
                                <m:r>
                                  <w:rPr>
                                    <w:rFonts w:ascii="Cambria Math" w:hAnsi="Cambria Math"/>
                                    <w:sz w:val="18"/>
                                    <w:szCs w:val="18"/>
                                    <w:lang w:val="tr-TR"/>
                                  </w:rPr>
                                  <m:t>s</m:t>
                                </m:r>
                              </m:sub>
                            </m:sSub>
                          </m:e>
                        </m:acc>
                        <m:r>
                          <w:rPr>
                            <w:rFonts w:ascii="Cambria Math" w:hAnsi="Cambria Math"/>
                            <w:sz w:val="18"/>
                            <w:szCs w:val="18"/>
                            <w:lang w:val="tr-TR"/>
                          </w:rPr>
                          <m:t>-</m:t>
                        </m:r>
                        <m:sSub>
                          <m:sSubPr>
                            <m:ctrlPr>
                              <w:rPr>
                                <w:rFonts w:ascii="Cambria Math" w:hAnsi="Cambria Math"/>
                                <w:i/>
                                <w:sz w:val="18"/>
                                <w:szCs w:val="18"/>
                                <w:lang w:val="tr-TR"/>
                              </w:rPr>
                            </m:ctrlPr>
                          </m:sSubPr>
                          <m:e>
                            <m:r>
                              <w:rPr>
                                <w:rFonts w:ascii="Cambria Math" w:hAnsi="Cambria Math"/>
                                <w:sz w:val="18"/>
                                <w:szCs w:val="18"/>
                                <w:lang w:val="tr-TR"/>
                              </w:rPr>
                              <m:t>I</m:t>
                            </m:r>
                          </m:e>
                          <m:sub>
                            <m:r>
                              <w:rPr>
                                <w:rFonts w:ascii="Cambria Math" w:hAnsi="Cambria Math"/>
                                <w:sz w:val="18"/>
                                <w:szCs w:val="18"/>
                                <w:lang w:val="tr-TR"/>
                              </w:rPr>
                              <m:t>avg</m:t>
                            </m:r>
                          </m:sub>
                        </m:sSub>
                      </m:e>
                    </m:d>
                  </m:num>
                  <m:den>
                    <m:r>
                      <w:rPr>
                        <w:rFonts w:ascii="Cambria Math" w:hAnsi="Cambria Math"/>
                        <w:sz w:val="18"/>
                        <w:szCs w:val="18"/>
                        <w:lang w:val="tr-TR"/>
                      </w:rPr>
                      <m:t xml:space="preserve">2  </m:t>
                    </m:r>
                    <m:sSub>
                      <m:sSubPr>
                        <m:ctrlPr>
                          <w:rPr>
                            <w:rFonts w:ascii="Cambria Math" w:hAnsi="Cambria Math"/>
                            <w:i/>
                            <w:sz w:val="18"/>
                            <w:szCs w:val="18"/>
                            <w:lang w:val="tr-TR"/>
                          </w:rPr>
                        </m:ctrlPr>
                      </m:sSubPr>
                      <m:e>
                        <m:r>
                          <w:rPr>
                            <w:rFonts w:ascii="Cambria Math" w:hAnsi="Cambria Math"/>
                            <w:sz w:val="18"/>
                            <w:szCs w:val="18"/>
                            <w:lang w:val="tr-TR"/>
                          </w:rPr>
                          <m:t>V</m:t>
                        </m:r>
                      </m:e>
                      <m:sub>
                        <m:r>
                          <w:rPr>
                            <w:rFonts w:ascii="Cambria Math" w:hAnsi="Cambria Math"/>
                            <w:sz w:val="18"/>
                            <w:szCs w:val="18"/>
                            <w:lang w:val="tr-TR"/>
                          </w:rPr>
                          <m:t>dc,r</m:t>
                        </m:r>
                      </m:sub>
                    </m:sSub>
                    <m:r>
                      <w:rPr>
                        <w:rFonts w:ascii="Cambria Math" w:hAnsi="Cambria Math"/>
                        <w:sz w:val="18"/>
                        <w:szCs w:val="18"/>
                        <w:lang w:val="tr-TR"/>
                      </w:rPr>
                      <m:t xml:space="preserve">  </m:t>
                    </m:r>
                    <m:sSub>
                      <m:sSubPr>
                        <m:ctrlPr>
                          <w:rPr>
                            <w:rFonts w:ascii="Cambria Math" w:hAnsi="Cambria Math"/>
                            <w:i/>
                            <w:sz w:val="18"/>
                            <w:szCs w:val="18"/>
                            <w:lang w:val="tr-TR"/>
                          </w:rPr>
                        </m:ctrlPr>
                      </m:sSubPr>
                      <m:e>
                        <m:r>
                          <w:rPr>
                            <w:rFonts w:ascii="Cambria Math" w:hAnsi="Cambria Math"/>
                            <w:sz w:val="18"/>
                            <w:szCs w:val="18"/>
                            <w:lang w:val="tr-TR"/>
                          </w:rPr>
                          <m:t>f</m:t>
                        </m:r>
                      </m:e>
                      <m:sub>
                        <m:r>
                          <w:rPr>
                            <w:rFonts w:ascii="Cambria Math" w:hAnsi="Cambria Math"/>
                            <w:sz w:val="18"/>
                            <w:szCs w:val="18"/>
                            <w:lang w:val="tr-TR"/>
                          </w:rPr>
                          <m:t>sw</m:t>
                        </m:r>
                      </m:sub>
                    </m:sSub>
                  </m:den>
                </m:f>
              </m:oMath>
            </m:oMathPara>
          </w:p>
          <w:p w:rsidR="003E508C" w:rsidRPr="003E508C" w:rsidRDefault="003E508C" w:rsidP="003E508C">
            <w:pPr>
              <w:rPr>
                <w:sz w:val="18"/>
                <w:szCs w:val="18"/>
                <w:lang w:val="tr-TR"/>
              </w:rPr>
            </w:pPr>
          </w:p>
        </w:tc>
        <w:tc>
          <w:tcPr>
            <w:tcW w:w="558" w:type="dxa"/>
            <w:vAlign w:val="center"/>
          </w:tcPr>
          <w:p w:rsidR="003E508C" w:rsidRPr="003E508C" w:rsidRDefault="003E508C" w:rsidP="009117C1">
            <w:pPr>
              <w:rPr>
                <w:sz w:val="18"/>
                <w:szCs w:val="18"/>
                <w:lang w:val="tr-TR"/>
              </w:rPr>
            </w:pPr>
            <w:r w:rsidRPr="003E508C">
              <w:rPr>
                <w:sz w:val="18"/>
                <w:szCs w:val="18"/>
                <w:lang w:val="tr-TR"/>
              </w:rPr>
              <w:t>(1</w:t>
            </w:r>
            <w:r w:rsidR="009117C1">
              <w:rPr>
                <w:sz w:val="18"/>
                <w:szCs w:val="18"/>
                <w:lang w:val="tr-TR"/>
              </w:rPr>
              <w:t>4</w:t>
            </w:r>
            <w:r w:rsidRPr="003E508C">
              <w:rPr>
                <w:sz w:val="18"/>
                <w:szCs w:val="18"/>
                <w:lang w:val="tr-TR"/>
              </w:rPr>
              <w:t>)</w:t>
            </w:r>
          </w:p>
        </w:tc>
      </w:tr>
      <w:tr w:rsidR="003E508C" w:rsidRPr="003E508C" w:rsidTr="00E84351">
        <w:tc>
          <w:tcPr>
            <w:tcW w:w="3978" w:type="dxa"/>
            <w:vAlign w:val="center"/>
          </w:tcPr>
          <w:p w:rsidR="003E508C" w:rsidRPr="003E508C" w:rsidRDefault="003E508C" w:rsidP="003E508C">
            <w:pPr>
              <w:rPr>
                <w:sz w:val="18"/>
                <w:szCs w:val="18"/>
                <w:lang w:val="tr-TR"/>
              </w:rPr>
            </w:pPr>
            <m:oMathPara>
              <m:oMath>
                <m:sSub>
                  <m:sSubPr>
                    <m:ctrlPr>
                      <w:rPr>
                        <w:rFonts w:ascii="Cambria Math" w:hAnsi="Cambria Math"/>
                        <w:i/>
                        <w:sz w:val="18"/>
                        <w:szCs w:val="18"/>
                        <w:lang w:val="tr-TR"/>
                      </w:rPr>
                    </m:ctrlPr>
                  </m:sSubPr>
                  <m:e>
                    <m:r>
                      <w:rPr>
                        <w:rFonts w:ascii="Cambria Math" w:hAnsi="Cambria Math"/>
                        <w:sz w:val="18"/>
                        <w:szCs w:val="18"/>
                        <w:lang w:val="tr-TR"/>
                      </w:rPr>
                      <m:t>I</m:t>
                    </m:r>
                  </m:e>
                  <m:sub>
                    <m:r>
                      <w:rPr>
                        <w:rFonts w:ascii="Cambria Math" w:hAnsi="Cambria Math"/>
                        <w:sz w:val="18"/>
                        <w:szCs w:val="18"/>
                        <w:lang w:val="tr-TR"/>
                      </w:rPr>
                      <m:t>c,rms</m:t>
                    </m:r>
                  </m:sub>
                </m:sSub>
                <m:r>
                  <w:rPr>
                    <w:rFonts w:ascii="Cambria Math" w:hAnsi="Cambria Math"/>
                    <w:sz w:val="18"/>
                    <w:szCs w:val="18"/>
                    <w:lang w:val="tr-TR"/>
                  </w:rPr>
                  <m:t>=</m:t>
                </m:r>
                <m:sSub>
                  <m:sSubPr>
                    <m:ctrlPr>
                      <w:rPr>
                        <w:rFonts w:ascii="Cambria Math" w:hAnsi="Cambria Math"/>
                        <w:i/>
                        <w:sz w:val="18"/>
                        <w:szCs w:val="18"/>
                        <w:lang w:val="tr-TR"/>
                      </w:rPr>
                    </m:ctrlPr>
                  </m:sSubPr>
                  <m:e>
                    <m:r>
                      <w:rPr>
                        <w:rFonts w:ascii="Cambria Math" w:hAnsi="Cambria Math"/>
                        <w:sz w:val="18"/>
                        <w:szCs w:val="18"/>
                        <w:lang w:val="tr-TR"/>
                      </w:rPr>
                      <m:t>I</m:t>
                    </m:r>
                  </m:e>
                  <m:sub>
                    <m:r>
                      <w:rPr>
                        <w:rFonts w:ascii="Cambria Math" w:hAnsi="Cambria Math"/>
                        <w:sz w:val="18"/>
                        <w:szCs w:val="18"/>
                        <w:lang w:val="tr-TR"/>
                      </w:rPr>
                      <m:t>s,rms</m:t>
                    </m:r>
                  </m:sub>
                </m:sSub>
                <m:rad>
                  <m:radPr>
                    <m:degHide m:val="1"/>
                    <m:ctrlPr>
                      <w:rPr>
                        <w:rFonts w:ascii="Cambria Math" w:hAnsi="Cambria Math"/>
                        <w:i/>
                        <w:sz w:val="18"/>
                        <w:szCs w:val="18"/>
                        <w:lang w:val="tr-TR"/>
                      </w:rPr>
                    </m:ctrlPr>
                  </m:radPr>
                  <m:deg/>
                  <m:e>
                    <m:d>
                      <m:dPr>
                        <m:begChr m:val="["/>
                        <m:endChr m:val="]"/>
                        <m:ctrlPr>
                          <w:rPr>
                            <w:rFonts w:ascii="Cambria Math" w:hAnsi="Cambria Math"/>
                            <w:i/>
                            <w:sz w:val="18"/>
                            <w:szCs w:val="18"/>
                            <w:lang w:val="tr-TR"/>
                          </w:rPr>
                        </m:ctrlPr>
                      </m:dPr>
                      <m:e>
                        <m:r>
                          <w:rPr>
                            <w:rFonts w:ascii="Cambria Math" w:hAnsi="Cambria Math"/>
                            <w:sz w:val="18"/>
                            <w:szCs w:val="18"/>
                            <w:lang w:val="tr-TR"/>
                          </w:rPr>
                          <m:t>2M</m:t>
                        </m:r>
                        <m:d>
                          <m:dPr>
                            <m:ctrlPr>
                              <w:rPr>
                                <w:rFonts w:ascii="Cambria Math" w:hAnsi="Cambria Math"/>
                                <w:i/>
                                <w:sz w:val="18"/>
                                <w:szCs w:val="18"/>
                                <w:lang w:val="tr-TR"/>
                              </w:rPr>
                            </m:ctrlPr>
                          </m:dPr>
                          <m:e>
                            <m:f>
                              <m:fPr>
                                <m:ctrlPr>
                                  <w:rPr>
                                    <w:rFonts w:ascii="Cambria Math" w:hAnsi="Cambria Math"/>
                                    <w:i/>
                                    <w:sz w:val="18"/>
                                    <w:szCs w:val="18"/>
                                    <w:lang w:val="tr-TR"/>
                                  </w:rPr>
                                </m:ctrlPr>
                              </m:fPr>
                              <m:num>
                                <m:rad>
                                  <m:radPr>
                                    <m:degHide m:val="1"/>
                                    <m:ctrlPr>
                                      <w:rPr>
                                        <w:rFonts w:ascii="Cambria Math" w:hAnsi="Cambria Math"/>
                                        <w:i/>
                                        <w:sz w:val="18"/>
                                        <w:szCs w:val="18"/>
                                        <w:lang w:val="tr-TR"/>
                                      </w:rPr>
                                    </m:ctrlPr>
                                  </m:radPr>
                                  <m:deg/>
                                  <m:e>
                                    <m:r>
                                      <w:rPr>
                                        <w:rFonts w:ascii="Cambria Math" w:hAnsi="Cambria Math"/>
                                        <w:sz w:val="18"/>
                                        <w:szCs w:val="18"/>
                                        <w:lang w:val="tr-TR"/>
                                      </w:rPr>
                                      <m:t>3</m:t>
                                    </m:r>
                                  </m:e>
                                </m:rad>
                              </m:num>
                              <m:den>
                                <m:r>
                                  <w:rPr>
                                    <w:rFonts w:ascii="Cambria Math" w:hAnsi="Cambria Math"/>
                                    <w:sz w:val="18"/>
                                    <w:szCs w:val="18"/>
                                    <w:lang w:val="tr-TR"/>
                                  </w:rPr>
                                  <m:t>4π</m:t>
                                </m:r>
                              </m:den>
                            </m:f>
                            <m:r>
                              <w:rPr>
                                <w:rFonts w:ascii="Cambria Math" w:hAnsi="Cambria Math"/>
                                <w:sz w:val="18"/>
                                <w:szCs w:val="18"/>
                                <w:lang w:val="tr-TR"/>
                              </w:rPr>
                              <m:t>+</m:t>
                            </m:r>
                            <m:sSup>
                              <m:sSupPr>
                                <m:ctrlPr>
                                  <w:rPr>
                                    <w:rFonts w:ascii="Cambria Math" w:hAnsi="Cambria Math"/>
                                    <w:i/>
                                    <w:sz w:val="18"/>
                                    <w:szCs w:val="18"/>
                                    <w:lang w:val="tr-TR"/>
                                  </w:rPr>
                                </m:ctrlPr>
                              </m:sSupPr>
                              <m:e>
                                <m:r>
                                  <w:rPr>
                                    <w:rFonts w:ascii="Cambria Math" w:hAnsi="Cambria Math"/>
                                    <w:sz w:val="18"/>
                                    <w:szCs w:val="18"/>
                                    <w:lang w:val="tr-TR"/>
                                  </w:rPr>
                                  <m:t>pf</m:t>
                                </m:r>
                              </m:e>
                              <m:sup>
                                <m:r>
                                  <w:rPr>
                                    <w:rFonts w:ascii="Cambria Math" w:hAnsi="Cambria Math"/>
                                    <w:sz w:val="18"/>
                                    <w:szCs w:val="18"/>
                                    <w:lang w:val="tr-TR"/>
                                  </w:rPr>
                                  <m:t>2</m:t>
                                </m:r>
                              </m:sup>
                            </m:sSup>
                            <m:d>
                              <m:dPr>
                                <m:ctrlPr>
                                  <w:rPr>
                                    <w:rFonts w:ascii="Cambria Math" w:hAnsi="Cambria Math"/>
                                    <w:i/>
                                    <w:sz w:val="18"/>
                                    <w:szCs w:val="18"/>
                                    <w:lang w:val="tr-TR"/>
                                  </w:rPr>
                                </m:ctrlPr>
                              </m:dPr>
                              <m:e>
                                <m:f>
                                  <m:fPr>
                                    <m:ctrlPr>
                                      <w:rPr>
                                        <w:rFonts w:ascii="Cambria Math" w:hAnsi="Cambria Math"/>
                                        <w:i/>
                                        <w:sz w:val="18"/>
                                        <w:szCs w:val="18"/>
                                        <w:lang w:val="tr-TR"/>
                                      </w:rPr>
                                    </m:ctrlPr>
                                  </m:fPr>
                                  <m:num>
                                    <m:rad>
                                      <m:radPr>
                                        <m:degHide m:val="1"/>
                                        <m:ctrlPr>
                                          <w:rPr>
                                            <w:rFonts w:ascii="Cambria Math" w:hAnsi="Cambria Math"/>
                                            <w:i/>
                                            <w:sz w:val="18"/>
                                            <w:szCs w:val="18"/>
                                            <w:lang w:val="tr-TR"/>
                                          </w:rPr>
                                        </m:ctrlPr>
                                      </m:radPr>
                                      <m:deg/>
                                      <m:e>
                                        <m:r>
                                          <w:rPr>
                                            <w:rFonts w:ascii="Cambria Math" w:hAnsi="Cambria Math"/>
                                            <w:sz w:val="18"/>
                                            <w:szCs w:val="18"/>
                                            <w:lang w:val="tr-TR"/>
                                          </w:rPr>
                                          <m:t>3</m:t>
                                        </m:r>
                                      </m:e>
                                    </m:rad>
                                  </m:num>
                                  <m:den>
                                    <m:r>
                                      <w:rPr>
                                        <w:rFonts w:ascii="Cambria Math" w:hAnsi="Cambria Math"/>
                                        <w:sz w:val="18"/>
                                        <w:szCs w:val="18"/>
                                        <w:lang w:val="tr-TR"/>
                                      </w:rPr>
                                      <m:t>π</m:t>
                                    </m:r>
                                  </m:den>
                                </m:f>
                                <m:r>
                                  <w:rPr>
                                    <w:rFonts w:ascii="Cambria Math" w:hAnsi="Cambria Math"/>
                                    <w:sz w:val="18"/>
                                    <w:szCs w:val="18"/>
                                    <w:lang w:val="tr-TR"/>
                                  </w:rPr>
                                  <m:t>-</m:t>
                                </m:r>
                                <m:f>
                                  <m:fPr>
                                    <m:ctrlPr>
                                      <w:rPr>
                                        <w:rFonts w:ascii="Cambria Math" w:hAnsi="Cambria Math"/>
                                        <w:i/>
                                        <w:sz w:val="18"/>
                                        <w:szCs w:val="18"/>
                                        <w:lang w:val="tr-TR"/>
                                      </w:rPr>
                                    </m:ctrlPr>
                                  </m:fPr>
                                  <m:num>
                                    <m:r>
                                      <w:rPr>
                                        <w:rFonts w:ascii="Cambria Math" w:hAnsi="Cambria Math"/>
                                        <w:sz w:val="18"/>
                                        <w:szCs w:val="18"/>
                                        <w:lang w:val="tr-TR"/>
                                      </w:rPr>
                                      <m:t>9</m:t>
                                    </m:r>
                                  </m:num>
                                  <m:den>
                                    <m:r>
                                      <w:rPr>
                                        <w:rFonts w:ascii="Cambria Math" w:hAnsi="Cambria Math"/>
                                        <w:sz w:val="18"/>
                                        <w:szCs w:val="18"/>
                                        <w:lang w:val="tr-TR"/>
                                      </w:rPr>
                                      <m:t>16</m:t>
                                    </m:r>
                                  </m:den>
                                </m:f>
                                <m:r>
                                  <w:rPr>
                                    <w:rFonts w:ascii="Cambria Math" w:hAnsi="Cambria Math"/>
                                    <w:sz w:val="18"/>
                                    <w:szCs w:val="18"/>
                                    <w:lang w:val="tr-TR"/>
                                  </w:rPr>
                                  <m:t>M</m:t>
                                </m:r>
                              </m:e>
                            </m:d>
                          </m:e>
                        </m:d>
                      </m:e>
                    </m:d>
                  </m:e>
                </m:rad>
              </m:oMath>
            </m:oMathPara>
          </w:p>
          <w:p w:rsidR="003E508C" w:rsidRPr="003E508C" w:rsidRDefault="003E508C" w:rsidP="003E508C">
            <w:pPr>
              <w:rPr>
                <w:sz w:val="18"/>
                <w:szCs w:val="18"/>
                <w:lang w:val="tr-TR"/>
              </w:rPr>
            </w:pPr>
          </w:p>
        </w:tc>
        <w:tc>
          <w:tcPr>
            <w:tcW w:w="558" w:type="dxa"/>
            <w:vAlign w:val="center"/>
          </w:tcPr>
          <w:p w:rsidR="003E508C" w:rsidRPr="003E508C" w:rsidRDefault="003E508C" w:rsidP="009117C1">
            <w:pPr>
              <w:rPr>
                <w:sz w:val="18"/>
                <w:szCs w:val="18"/>
                <w:lang w:val="tr-TR"/>
              </w:rPr>
            </w:pPr>
            <w:r w:rsidRPr="003E508C">
              <w:rPr>
                <w:sz w:val="18"/>
                <w:szCs w:val="18"/>
                <w:lang w:val="tr-TR"/>
              </w:rPr>
              <w:t>(1</w:t>
            </w:r>
            <w:r w:rsidR="009117C1">
              <w:rPr>
                <w:sz w:val="18"/>
                <w:szCs w:val="18"/>
                <w:lang w:val="tr-TR"/>
              </w:rPr>
              <w:t>5</w:t>
            </w:r>
            <w:r w:rsidRPr="003E508C">
              <w:rPr>
                <w:sz w:val="18"/>
                <w:szCs w:val="18"/>
                <w:lang w:val="tr-TR"/>
              </w:rPr>
              <w:t>)</w:t>
            </w:r>
          </w:p>
        </w:tc>
      </w:tr>
      <w:tr w:rsidR="003E508C" w:rsidRPr="003E508C" w:rsidTr="00E84351">
        <w:tc>
          <w:tcPr>
            <w:tcW w:w="3978" w:type="dxa"/>
            <w:vAlign w:val="center"/>
          </w:tcPr>
          <w:p w:rsidR="003E508C" w:rsidRPr="003E508C" w:rsidRDefault="003E508C" w:rsidP="003E508C">
            <w:pPr>
              <w:rPr>
                <w:sz w:val="18"/>
                <w:szCs w:val="18"/>
                <w:lang w:val="tr-TR"/>
              </w:rPr>
            </w:pPr>
          </w:p>
          <w:p w:rsidR="003E508C" w:rsidRPr="003E508C" w:rsidRDefault="003E508C" w:rsidP="003E508C">
            <w:pPr>
              <w:rPr>
                <w:sz w:val="18"/>
                <w:szCs w:val="18"/>
                <w:lang w:val="tr-TR"/>
              </w:rPr>
            </w:pPr>
            <m:oMathPara>
              <m:oMath>
                <m:sSub>
                  <m:sSubPr>
                    <m:ctrlPr>
                      <w:rPr>
                        <w:rFonts w:ascii="Cambria Math" w:hAnsi="Cambria Math"/>
                        <w:i/>
                        <w:sz w:val="18"/>
                        <w:szCs w:val="18"/>
                        <w:lang w:val="tr-TR"/>
                      </w:rPr>
                    </m:ctrlPr>
                  </m:sSubPr>
                  <m:e>
                    <m:r>
                      <w:rPr>
                        <w:rFonts w:ascii="Cambria Math" w:hAnsi="Cambria Math"/>
                        <w:sz w:val="18"/>
                        <w:szCs w:val="18"/>
                        <w:lang w:val="tr-TR"/>
                      </w:rPr>
                      <m:t>T</m:t>
                    </m:r>
                  </m:e>
                  <m:sub>
                    <m:r>
                      <w:rPr>
                        <w:rFonts w:ascii="Cambria Math" w:hAnsi="Cambria Math"/>
                        <w:sz w:val="18"/>
                        <w:szCs w:val="18"/>
                        <w:lang w:val="tr-TR"/>
                      </w:rPr>
                      <m:t>core</m:t>
                    </m:r>
                  </m:sub>
                </m:sSub>
                <m:r>
                  <w:rPr>
                    <w:rFonts w:ascii="Cambria Math" w:hAnsi="Cambria Math"/>
                    <w:sz w:val="18"/>
                    <w:szCs w:val="18"/>
                    <w:lang w:val="tr-TR"/>
                  </w:rPr>
                  <m:t>=</m:t>
                </m:r>
                <m:sSub>
                  <m:sSubPr>
                    <m:ctrlPr>
                      <w:rPr>
                        <w:rFonts w:ascii="Cambria Math" w:hAnsi="Cambria Math"/>
                        <w:i/>
                        <w:sz w:val="18"/>
                        <w:szCs w:val="18"/>
                        <w:lang w:val="tr-TR"/>
                      </w:rPr>
                    </m:ctrlPr>
                  </m:sSubPr>
                  <m:e>
                    <m:r>
                      <w:rPr>
                        <w:rFonts w:ascii="Cambria Math" w:hAnsi="Cambria Math"/>
                        <w:sz w:val="18"/>
                        <w:szCs w:val="18"/>
                        <w:lang w:val="tr-TR"/>
                      </w:rPr>
                      <m:t>T</m:t>
                    </m:r>
                  </m:e>
                  <m:sub>
                    <m:r>
                      <w:rPr>
                        <w:rFonts w:ascii="Cambria Math" w:hAnsi="Cambria Math"/>
                        <w:sz w:val="18"/>
                        <w:szCs w:val="18"/>
                        <w:lang w:val="tr-TR"/>
                      </w:rPr>
                      <m:t>a</m:t>
                    </m:r>
                  </m:sub>
                </m:sSub>
                <m:r>
                  <w:rPr>
                    <w:rFonts w:ascii="Cambria Math" w:hAnsi="Cambria Math"/>
                    <w:sz w:val="18"/>
                    <w:szCs w:val="18"/>
                    <w:lang w:val="tr-TR"/>
                  </w:rPr>
                  <m:t>+</m:t>
                </m:r>
                <m:sSub>
                  <m:sSubPr>
                    <m:ctrlPr>
                      <w:rPr>
                        <w:rFonts w:ascii="Cambria Math" w:hAnsi="Cambria Math"/>
                        <w:i/>
                        <w:sz w:val="18"/>
                        <w:szCs w:val="18"/>
                        <w:lang w:val="tr-TR"/>
                      </w:rPr>
                    </m:ctrlPr>
                  </m:sSubPr>
                  <m:e>
                    <m:r>
                      <w:rPr>
                        <w:rFonts w:ascii="Cambria Math" w:hAnsi="Cambria Math"/>
                        <w:sz w:val="18"/>
                        <w:szCs w:val="18"/>
                        <w:lang w:val="tr-TR"/>
                      </w:rPr>
                      <m:t>p</m:t>
                    </m:r>
                  </m:e>
                  <m:sub>
                    <m:r>
                      <w:rPr>
                        <w:rFonts w:ascii="Cambria Math" w:hAnsi="Cambria Math"/>
                        <w:sz w:val="18"/>
                        <w:szCs w:val="18"/>
                        <w:lang w:val="tr-TR"/>
                      </w:rPr>
                      <m:t>c</m:t>
                    </m:r>
                  </m:sub>
                </m:sSub>
                <m:d>
                  <m:dPr>
                    <m:ctrlPr>
                      <w:rPr>
                        <w:rFonts w:ascii="Cambria Math" w:hAnsi="Cambria Math"/>
                        <w:i/>
                        <w:sz w:val="18"/>
                        <w:szCs w:val="18"/>
                        <w:lang w:val="tr-TR"/>
                      </w:rPr>
                    </m:ctrlPr>
                  </m:dPr>
                  <m:e>
                    <m:sSub>
                      <m:sSubPr>
                        <m:ctrlPr>
                          <w:rPr>
                            <w:rFonts w:ascii="Cambria Math" w:hAnsi="Cambria Math"/>
                            <w:i/>
                            <w:sz w:val="18"/>
                            <w:szCs w:val="18"/>
                            <w:lang w:val="tr-TR"/>
                          </w:rPr>
                        </m:ctrlPr>
                      </m:sSubPr>
                      <m:e>
                        <m:r>
                          <w:rPr>
                            <w:rFonts w:ascii="Cambria Math" w:hAnsi="Cambria Math"/>
                            <w:sz w:val="18"/>
                            <w:szCs w:val="18"/>
                            <w:lang w:val="tr-TR"/>
                          </w:rPr>
                          <m:t>T</m:t>
                        </m:r>
                      </m:e>
                      <m:sub>
                        <m:r>
                          <w:rPr>
                            <w:rFonts w:ascii="Cambria Math" w:hAnsi="Cambria Math"/>
                            <w:sz w:val="18"/>
                            <w:szCs w:val="18"/>
                            <w:lang w:val="tr-TR"/>
                          </w:rPr>
                          <m:t>core</m:t>
                        </m:r>
                      </m:sub>
                    </m:sSub>
                  </m:e>
                </m:d>
                <m:r>
                  <w:rPr>
                    <w:rFonts w:ascii="Cambria Math" w:hAnsi="Cambria Math"/>
                    <w:sz w:val="18"/>
                    <w:szCs w:val="18"/>
                    <w:lang w:val="tr-TR"/>
                  </w:rPr>
                  <m:t xml:space="preserve"> </m:t>
                </m:r>
                <m:sSub>
                  <m:sSubPr>
                    <m:ctrlPr>
                      <w:rPr>
                        <w:rFonts w:ascii="Cambria Math" w:hAnsi="Cambria Math"/>
                        <w:i/>
                        <w:sz w:val="18"/>
                        <w:szCs w:val="18"/>
                        <w:lang w:val="tr-TR"/>
                      </w:rPr>
                    </m:ctrlPr>
                  </m:sSubPr>
                  <m:e>
                    <m:r>
                      <w:rPr>
                        <w:rFonts w:ascii="Cambria Math" w:hAnsi="Cambria Math"/>
                        <w:sz w:val="18"/>
                        <w:szCs w:val="18"/>
                        <w:lang w:val="tr-TR"/>
                      </w:rPr>
                      <m:t>R</m:t>
                    </m:r>
                  </m:e>
                  <m:sub>
                    <m:r>
                      <w:rPr>
                        <w:rFonts w:ascii="Cambria Math" w:hAnsi="Cambria Math"/>
                        <w:sz w:val="18"/>
                        <w:szCs w:val="18"/>
                        <w:lang w:val="tr-TR"/>
                      </w:rPr>
                      <m:t>th,c</m:t>
                    </m:r>
                  </m:sub>
                </m:sSub>
              </m:oMath>
            </m:oMathPara>
          </w:p>
          <w:p w:rsidR="003E508C" w:rsidRPr="003E508C" w:rsidRDefault="003E508C" w:rsidP="003E508C">
            <w:pPr>
              <w:rPr>
                <w:sz w:val="18"/>
                <w:szCs w:val="18"/>
                <w:lang w:val="tr-TR"/>
              </w:rPr>
            </w:pPr>
          </w:p>
        </w:tc>
        <w:tc>
          <w:tcPr>
            <w:tcW w:w="558" w:type="dxa"/>
            <w:vAlign w:val="center"/>
          </w:tcPr>
          <w:p w:rsidR="003E508C" w:rsidRPr="003E508C" w:rsidRDefault="003E508C" w:rsidP="009117C1">
            <w:pPr>
              <w:rPr>
                <w:sz w:val="18"/>
                <w:szCs w:val="18"/>
                <w:lang w:val="tr-TR"/>
              </w:rPr>
            </w:pPr>
            <w:r w:rsidRPr="003E508C">
              <w:rPr>
                <w:sz w:val="18"/>
                <w:szCs w:val="18"/>
                <w:lang w:val="tr-TR"/>
              </w:rPr>
              <w:t>(1</w:t>
            </w:r>
            <w:r w:rsidR="009117C1">
              <w:rPr>
                <w:sz w:val="18"/>
                <w:szCs w:val="18"/>
                <w:lang w:val="tr-TR"/>
              </w:rPr>
              <w:t>6</w:t>
            </w:r>
            <w:r w:rsidRPr="003E508C">
              <w:rPr>
                <w:sz w:val="18"/>
                <w:szCs w:val="18"/>
                <w:lang w:val="tr-TR"/>
              </w:rPr>
              <w:t>)</w:t>
            </w:r>
          </w:p>
        </w:tc>
      </w:tr>
      <w:tr w:rsidR="003E508C" w:rsidRPr="003E508C" w:rsidTr="00E84351">
        <w:tc>
          <w:tcPr>
            <w:tcW w:w="3978" w:type="dxa"/>
            <w:vAlign w:val="center"/>
          </w:tcPr>
          <w:p w:rsidR="003E508C" w:rsidRPr="003E508C" w:rsidRDefault="003E508C" w:rsidP="003E508C">
            <w:pPr>
              <w:rPr>
                <w:sz w:val="18"/>
                <w:szCs w:val="18"/>
                <w:lang w:val="tr-TR"/>
              </w:rPr>
            </w:pPr>
            <m:oMathPara>
              <m:oMath>
                <m:sSub>
                  <m:sSubPr>
                    <m:ctrlPr>
                      <w:rPr>
                        <w:rFonts w:ascii="Cambria Math" w:hAnsi="Cambria Math"/>
                        <w:i/>
                        <w:sz w:val="18"/>
                        <w:szCs w:val="18"/>
                        <w:lang w:val="tr-TR"/>
                      </w:rPr>
                    </m:ctrlPr>
                  </m:sSubPr>
                  <m:e>
                    <m:r>
                      <w:rPr>
                        <w:rFonts w:ascii="Cambria Math" w:hAnsi="Cambria Math"/>
                        <w:sz w:val="18"/>
                        <w:szCs w:val="18"/>
                        <w:lang w:val="tr-TR"/>
                      </w:rPr>
                      <m:t>p</m:t>
                    </m:r>
                  </m:e>
                  <m:sub>
                    <m:r>
                      <w:rPr>
                        <w:rFonts w:ascii="Cambria Math" w:hAnsi="Cambria Math"/>
                        <w:sz w:val="18"/>
                        <w:szCs w:val="18"/>
                        <w:lang w:val="tr-TR"/>
                      </w:rPr>
                      <m:t>c</m:t>
                    </m:r>
                  </m:sub>
                </m:sSub>
                <m:r>
                  <w:rPr>
                    <w:rFonts w:ascii="Cambria Math" w:hAnsi="Cambria Math"/>
                    <w:sz w:val="18"/>
                    <w:szCs w:val="18"/>
                    <w:lang w:val="tr-TR"/>
                  </w:rPr>
                  <m:t>=</m:t>
                </m:r>
                <m:sSup>
                  <m:sSupPr>
                    <m:ctrlPr>
                      <w:rPr>
                        <w:rFonts w:ascii="Cambria Math" w:hAnsi="Cambria Math"/>
                        <w:i/>
                        <w:sz w:val="18"/>
                        <w:szCs w:val="18"/>
                        <w:lang w:val="tr-TR"/>
                      </w:rPr>
                    </m:ctrlPr>
                  </m:sSupPr>
                  <m:e>
                    <m:sSub>
                      <m:sSubPr>
                        <m:ctrlPr>
                          <w:rPr>
                            <w:rFonts w:ascii="Cambria Math" w:hAnsi="Cambria Math"/>
                            <w:i/>
                            <w:sz w:val="18"/>
                            <w:szCs w:val="18"/>
                            <w:lang w:val="tr-TR"/>
                          </w:rPr>
                        </m:ctrlPr>
                      </m:sSubPr>
                      <m:e>
                        <m:r>
                          <w:rPr>
                            <w:rFonts w:ascii="Cambria Math" w:hAnsi="Cambria Math"/>
                            <w:sz w:val="18"/>
                            <w:szCs w:val="18"/>
                            <w:lang w:val="tr-TR"/>
                          </w:rPr>
                          <m:t>I</m:t>
                        </m:r>
                      </m:e>
                      <m:sub>
                        <m:r>
                          <w:rPr>
                            <w:rFonts w:ascii="Cambria Math" w:hAnsi="Cambria Math"/>
                            <w:sz w:val="18"/>
                            <w:szCs w:val="18"/>
                            <w:lang w:val="tr-TR"/>
                          </w:rPr>
                          <m:t>c,rms</m:t>
                        </m:r>
                      </m:sub>
                    </m:sSub>
                  </m:e>
                  <m:sup>
                    <m:r>
                      <w:rPr>
                        <w:rFonts w:ascii="Cambria Math" w:hAnsi="Cambria Math"/>
                        <w:sz w:val="18"/>
                        <w:szCs w:val="18"/>
                        <w:lang w:val="tr-TR"/>
                      </w:rPr>
                      <m:t>2</m:t>
                    </m:r>
                  </m:sup>
                </m:sSup>
                <m:r>
                  <w:rPr>
                    <w:rFonts w:ascii="Cambria Math" w:hAnsi="Cambria Math"/>
                    <w:sz w:val="18"/>
                    <w:szCs w:val="18"/>
                    <w:lang w:val="tr-TR"/>
                  </w:rPr>
                  <m:t xml:space="preserve"> </m:t>
                </m:r>
                <m:sSub>
                  <m:sSubPr>
                    <m:ctrlPr>
                      <w:rPr>
                        <w:rFonts w:ascii="Cambria Math" w:hAnsi="Cambria Math"/>
                        <w:i/>
                        <w:sz w:val="18"/>
                        <w:szCs w:val="18"/>
                        <w:lang w:val="tr-TR"/>
                      </w:rPr>
                    </m:ctrlPr>
                  </m:sSubPr>
                  <m:e>
                    <m:r>
                      <w:rPr>
                        <w:rFonts w:ascii="Cambria Math" w:hAnsi="Cambria Math"/>
                        <w:sz w:val="18"/>
                        <w:szCs w:val="18"/>
                        <w:lang w:val="tr-TR"/>
                      </w:rPr>
                      <m:t>R</m:t>
                    </m:r>
                  </m:e>
                  <m:sub>
                    <m:r>
                      <w:rPr>
                        <w:rFonts w:ascii="Cambria Math" w:hAnsi="Cambria Math"/>
                        <w:sz w:val="18"/>
                        <w:szCs w:val="18"/>
                        <w:lang w:val="tr-TR"/>
                      </w:rPr>
                      <m:t>c</m:t>
                    </m:r>
                  </m:sub>
                </m:sSub>
                <m:d>
                  <m:dPr>
                    <m:ctrlPr>
                      <w:rPr>
                        <w:rFonts w:ascii="Cambria Math" w:hAnsi="Cambria Math"/>
                        <w:i/>
                        <w:sz w:val="18"/>
                        <w:szCs w:val="18"/>
                        <w:lang w:val="tr-TR"/>
                      </w:rPr>
                    </m:ctrlPr>
                  </m:dPr>
                  <m:e>
                    <m:sSub>
                      <m:sSubPr>
                        <m:ctrlPr>
                          <w:rPr>
                            <w:rFonts w:ascii="Cambria Math" w:hAnsi="Cambria Math"/>
                            <w:i/>
                            <w:sz w:val="18"/>
                            <w:szCs w:val="18"/>
                            <w:lang w:val="tr-TR"/>
                          </w:rPr>
                        </m:ctrlPr>
                      </m:sSubPr>
                      <m:e>
                        <m:r>
                          <w:rPr>
                            <w:rFonts w:ascii="Cambria Math" w:hAnsi="Cambria Math"/>
                            <w:sz w:val="18"/>
                            <w:szCs w:val="18"/>
                            <w:lang w:val="tr-TR"/>
                          </w:rPr>
                          <m:t>T</m:t>
                        </m:r>
                      </m:e>
                      <m:sub>
                        <m:r>
                          <w:rPr>
                            <w:rFonts w:ascii="Cambria Math" w:hAnsi="Cambria Math"/>
                            <w:sz w:val="18"/>
                            <w:szCs w:val="18"/>
                            <w:lang w:val="tr-TR"/>
                          </w:rPr>
                          <m:t>core</m:t>
                        </m:r>
                      </m:sub>
                    </m:sSub>
                  </m:e>
                </m:d>
              </m:oMath>
            </m:oMathPara>
          </w:p>
        </w:tc>
        <w:tc>
          <w:tcPr>
            <w:tcW w:w="558" w:type="dxa"/>
            <w:vAlign w:val="center"/>
          </w:tcPr>
          <w:p w:rsidR="003E508C" w:rsidRPr="003E508C" w:rsidRDefault="003E508C" w:rsidP="009117C1">
            <w:pPr>
              <w:rPr>
                <w:sz w:val="18"/>
                <w:szCs w:val="18"/>
                <w:lang w:val="tr-TR"/>
              </w:rPr>
            </w:pPr>
            <w:r w:rsidRPr="003E508C">
              <w:rPr>
                <w:sz w:val="18"/>
                <w:szCs w:val="18"/>
                <w:lang w:val="tr-TR"/>
              </w:rPr>
              <w:t>(1</w:t>
            </w:r>
            <w:r w:rsidR="009117C1">
              <w:rPr>
                <w:sz w:val="18"/>
                <w:szCs w:val="18"/>
                <w:lang w:val="tr-TR"/>
              </w:rPr>
              <w:t>7</w:t>
            </w:r>
            <w:r w:rsidRPr="003E508C">
              <w:rPr>
                <w:sz w:val="18"/>
                <w:szCs w:val="18"/>
                <w:lang w:val="tr-TR"/>
              </w:rPr>
              <w:t>)</w:t>
            </w:r>
          </w:p>
        </w:tc>
      </w:tr>
    </w:tbl>
    <w:p w:rsidR="003E508C" w:rsidRDefault="003E508C" w:rsidP="00334A75">
      <w:pPr>
        <w:jc w:val="both"/>
        <w:rPr>
          <w:b/>
          <w:bCs/>
        </w:rPr>
      </w:pPr>
    </w:p>
    <w:p w:rsidR="008A55B5" w:rsidRDefault="00C16EBF" w:rsidP="00CB1404">
      <w:pPr>
        <w:pStyle w:val="Heading1"/>
      </w:pPr>
      <w:r>
        <w:t>Sımulatıon Results</w:t>
      </w:r>
    </w:p>
    <w:p w:rsidR="00C16EBF" w:rsidRDefault="00C16EBF" w:rsidP="00753F7B">
      <w:pPr>
        <w:pStyle w:val="BodyText"/>
      </w:pPr>
      <w:r w:rsidRPr="00C16EBF">
        <w:t>The performance of the motor is analyzed using A</w:t>
      </w:r>
      <w:r w:rsidR="00334A75">
        <w:t>NSYS</w:t>
      </w:r>
      <w:r w:rsidRPr="00C16EBF">
        <w:t xml:space="preserve">/Maxwell simulation environment. The analytical results are shown in Table 4. The designed motor is simulated using 2D FEM analysis tool to obtain transient characteristics. The phase induced voltage, line currents and machine output torque are </w:t>
      </w:r>
      <w:r w:rsidR="00091D1F">
        <w:t>presented</w:t>
      </w:r>
      <w:r w:rsidRPr="00C16EBF">
        <w:t xml:space="preserve"> in Fig</w:t>
      </w:r>
      <w:r w:rsidR="00334A75">
        <w:t>s.</w:t>
      </w:r>
      <w:r w:rsidRPr="00C16EBF">
        <w:t xml:space="preserve"> 6, 7 and 8, respectively. The flux density distribution over one module is shown in </w:t>
      </w:r>
      <w:r w:rsidR="00091D1F">
        <w:t xml:space="preserve">Fig. </w:t>
      </w:r>
      <w:r w:rsidRPr="00C16EBF">
        <w:t>9.</w:t>
      </w:r>
    </w:p>
    <w:p w:rsidR="00311F24" w:rsidRDefault="00311F24" w:rsidP="00753F7B">
      <w:pPr>
        <w:pStyle w:val="BodyText"/>
      </w:pPr>
    </w:p>
    <w:p w:rsidR="00311F24" w:rsidRDefault="00311F24" w:rsidP="00753F7B">
      <w:pPr>
        <w:pStyle w:val="BodyText"/>
      </w:pPr>
    </w:p>
    <w:p w:rsidR="00311F24" w:rsidRDefault="00311F24" w:rsidP="00753F7B">
      <w:pPr>
        <w:pStyle w:val="BodyText"/>
      </w:pPr>
    </w:p>
    <w:p w:rsidR="00311F24" w:rsidRDefault="00311F24" w:rsidP="00753F7B">
      <w:pPr>
        <w:pStyle w:val="BodyText"/>
      </w:pPr>
      <w:bookmarkStart w:id="0" w:name="_GoBack"/>
      <w:bookmarkEnd w:id="0"/>
    </w:p>
    <w:p w:rsidR="00C16EBF" w:rsidRPr="00091D1F" w:rsidRDefault="00091D1F" w:rsidP="00091D1F">
      <w:pPr>
        <w:pStyle w:val="tablehead"/>
        <w:numPr>
          <w:ilvl w:val="0"/>
          <w:numId w:val="0"/>
        </w:numPr>
        <w:rPr>
          <w:rFonts w:eastAsia="MS Mincho"/>
          <w:noProof w:val="0"/>
          <w:spacing w:val="-1"/>
        </w:rPr>
      </w:pPr>
      <w:r>
        <w:lastRenderedPageBreak/>
        <w:t>TABLE I</w:t>
      </w:r>
      <w:r>
        <w:t>V</w:t>
      </w:r>
      <w:r>
        <w:t xml:space="preserve">. </w:t>
      </w:r>
      <w:r>
        <w:t>Motor sımulatıon results (RMxprt)</w:t>
      </w:r>
      <w:r w:rsidRPr="00C95571">
        <w:rPr>
          <w:rFonts w:eastAsia="MS Mincho"/>
          <w:noProof w:val="0"/>
          <w:spacing w:val="-1"/>
        </w:rPr>
        <w:t xml:space="preserve"> </w:t>
      </w:r>
    </w:p>
    <w:tbl>
      <w:tblPr>
        <w:tblW w:w="4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276"/>
        <w:gridCol w:w="1001"/>
      </w:tblGrid>
      <w:tr w:rsidR="00C16EBF" w:rsidRPr="003C6E85" w:rsidTr="00CD33C8">
        <w:trPr>
          <w:jc w:val="center"/>
        </w:trPr>
        <w:tc>
          <w:tcPr>
            <w:tcW w:w="1271" w:type="dxa"/>
            <w:shd w:val="clear" w:color="auto" w:fill="auto"/>
          </w:tcPr>
          <w:p w:rsidR="00C16EBF" w:rsidRPr="00CD33C8" w:rsidRDefault="00C16EBF" w:rsidP="00CD33C8">
            <w:pPr>
              <w:pStyle w:val="BodyTextKeep"/>
              <w:ind w:right="0"/>
              <w:jc w:val="center"/>
              <w:rPr>
                <w:sz w:val="16"/>
                <w:szCs w:val="16"/>
                <w:lang w:val="en-US"/>
              </w:rPr>
            </w:pPr>
            <w:proofErr w:type="spellStart"/>
            <w:r w:rsidRPr="00CD33C8">
              <w:rPr>
                <w:sz w:val="16"/>
                <w:szCs w:val="16"/>
                <w:lang w:val="en-US"/>
              </w:rPr>
              <w:t>E</w:t>
            </w:r>
            <w:r w:rsidRPr="00CD33C8">
              <w:rPr>
                <w:sz w:val="16"/>
                <w:szCs w:val="16"/>
                <w:vertAlign w:val="subscript"/>
                <w:lang w:val="en-US"/>
              </w:rPr>
              <w:t>line</w:t>
            </w:r>
            <w:proofErr w:type="spellEnd"/>
            <w:r w:rsidRPr="00CD33C8">
              <w:rPr>
                <w:sz w:val="16"/>
                <w:szCs w:val="16"/>
                <w:lang w:val="en-US"/>
              </w:rPr>
              <w:t xml:space="preserve"> (peak)</w:t>
            </w:r>
          </w:p>
        </w:tc>
        <w:tc>
          <w:tcPr>
            <w:tcW w:w="1134" w:type="dxa"/>
            <w:shd w:val="clear" w:color="auto" w:fill="auto"/>
          </w:tcPr>
          <w:p w:rsidR="00C16EBF" w:rsidRPr="00CD33C8" w:rsidRDefault="00C16EBF" w:rsidP="00CD33C8">
            <w:pPr>
              <w:pStyle w:val="BodyTextKeep"/>
              <w:ind w:right="0"/>
              <w:jc w:val="center"/>
              <w:rPr>
                <w:sz w:val="16"/>
                <w:szCs w:val="16"/>
                <w:lang w:val="en-US"/>
              </w:rPr>
            </w:pPr>
            <w:r w:rsidRPr="00CD33C8">
              <w:rPr>
                <w:sz w:val="16"/>
                <w:szCs w:val="16"/>
                <w:lang w:val="en-US"/>
              </w:rPr>
              <w:t>280 V</w:t>
            </w:r>
          </w:p>
        </w:tc>
        <w:tc>
          <w:tcPr>
            <w:tcW w:w="1276" w:type="dxa"/>
            <w:shd w:val="clear" w:color="auto" w:fill="auto"/>
          </w:tcPr>
          <w:p w:rsidR="00C16EBF" w:rsidRPr="00CD33C8" w:rsidRDefault="00C16EBF" w:rsidP="00CD33C8">
            <w:pPr>
              <w:pStyle w:val="BodyTextKeep"/>
              <w:ind w:right="0"/>
              <w:jc w:val="center"/>
              <w:rPr>
                <w:sz w:val="16"/>
                <w:szCs w:val="16"/>
                <w:lang w:val="en-US"/>
              </w:rPr>
            </w:pPr>
            <w:r w:rsidRPr="00CD33C8">
              <w:rPr>
                <w:sz w:val="16"/>
                <w:szCs w:val="16"/>
                <w:lang w:val="en-US"/>
              </w:rPr>
              <w:t>Current density</w:t>
            </w:r>
          </w:p>
        </w:tc>
        <w:tc>
          <w:tcPr>
            <w:tcW w:w="1001" w:type="dxa"/>
            <w:shd w:val="clear" w:color="auto" w:fill="auto"/>
          </w:tcPr>
          <w:p w:rsidR="00C16EBF" w:rsidRPr="00CD33C8" w:rsidRDefault="00C16EBF" w:rsidP="00CD33C8">
            <w:pPr>
              <w:pStyle w:val="BodyTextKeep"/>
              <w:ind w:right="0"/>
              <w:jc w:val="center"/>
              <w:rPr>
                <w:sz w:val="16"/>
                <w:szCs w:val="16"/>
                <w:lang w:val="en-US"/>
              </w:rPr>
            </w:pPr>
            <w:r w:rsidRPr="00CD33C8">
              <w:rPr>
                <w:sz w:val="16"/>
                <w:szCs w:val="16"/>
                <w:lang w:val="en-US"/>
              </w:rPr>
              <w:t>5.8 A/mm</w:t>
            </w:r>
            <w:r w:rsidRPr="00CD33C8">
              <w:rPr>
                <w:sz w:val="16"/>
                <w:szCs w:val="16"/>
                <w:vertAlign w:val="superscript"/>
                <w:lang w:val="en-US"/>
              </w:rPr>
              <w:t>2</w:t>
            </w:r>
          </w:p>
        </w:tc>
      </w:tr>
      <w:tr w:rsidR="00C16EBF" w:rsidRPr="003C6E85" w:rsidTr="00CD33C8">
        <w:trPr>
          <w:jc w:val="center"/>
        </w:trPr>
        <w:tc>
          <w:tcPr>
            <w:tcW w:w="1271" w:type="dxa"/>
            <w:shd w:val="clear" w:color="auto" w:fill="auto"/>
          </w:tcPr>
          <w:p w:rsidR="00C16EBF" w:rsidRPr="00CD33C8" w:rsidRDefault="00C16EBF" w:rsidP="00CD33C8">
            <w:pPr>
              <w:pStyle w:val="BodyTextKeep"/>
              <w:ind w:right="0"/>
              <w:jc w:val="center"/>
              <w:rPr>
                <w:sz w:val="16"/>
                <w:szCs w:val="16"/>
                <w:lang w:val="en-US"/>
              </w:rPr>
            </w:pPr>
            <w:proofErr w:type="spellStart"/>
            <w:r w:rsidRPr="00CD33C8">
              <w:rPr>
                <w:sz w:val="16"/>
                <w:szCs w:val="16"/>
                <w:lang w:val="en-US"/>
              </w:rPr>
              <w:t>I</w:t>
            </w:r>
            <w:r w:rsidRPr="00CD33C8">
              <w:rPr>
                <w:sz w:val="16"/>
                <w:szCs w:val="16"/>
                <w:vertAlign w:val="subscript"/>
                <w:lang w:val="en-US"/>
              </w:rPr>
              <w:t>line</w:t>
            </w:r>
            <w:proofErr w:type="spellEnd"/>
            <w:r w:rsidRPr="00CD33C8">
              <w:rPr>
                <w:sz w:val="16"/>
                <w:szCs w:val="16"/>
                <w:lang w:val="en-US"/>
              </w:rPr>
              <w:t xml:space="preserve"> (</w:t>
            </w:r>
            <w:proofErr w:type="spellStart"/>
            <w:r w:rsidRPr="00CD33C8">
              <w:rPr>
                <w:sz w:val="16"/>
                <w:szCs w:val="16"/>
                <w:lang w:val="en-US"/>
              </w:rPr>
              <w:t>rms</w:t>
            </w:r>
            <w:proofErr w:type="spellEnd"/>
            <w:r w:rsidRPr="00CD33C8">
              <w:rPr>
                <w:sz w:val="16"/>
                <w:szCs w:val="16"/>
                <w:lang w:val="en-US"/>
              </w:rPr>
              <w:t>)</w:t>
            </w:r>
          </w:p>
        </w:tc>
        <w:tc>
          <w:tcPr>
            <w:tcW w:w="1134" w:type="dxa"/>
            <w:shd w:val="clear" w:color="auto" w:fill="auto"/>
          </w:tcPr>
          <w:p w:rsidR="00C16EBF" w:rsidRPr="00CD33C8" w:rsidRDefault="00C16EBF" w:rsidP="00CD33C8">
            <w:pPr>
              <w:pStyle w:val="BodyTextKeep"/>
              <w:ind w:right="0"/>
              <w:jc w:val="center"/>
              <w:rPr>
                <w:sz w:val="16"/>
                <w:szCs w:val="16"/>
                <w:lang w:val="en-US"/>
              </w:rPr>
            </w:pPr>
            <w:r w:rsidRPr="00CD33C8">
              <w:rPr>
                <w:sz w:val="16"/>
                <w:szCs w:val="16"/>
                <w:lang w:val="en-US"/>
              </w:rPr>
              <w:t>24 A</w:t>
            </w:r>
          </w:p>
        </w:tc>
        <w:tc>
          <w:tcPr>
            <w:tcW w:w="1276" w:type="dxa"/>
            <w:shd w:val="clear" w:color="auto" w:fill="auto"/>
          </w:tcPr>
          <w:p w:rsidR="00C16EBF" w:rsidRPr="00CD33C8" w:rsidRDefault="00C16EBF" w:rsidP="00CD33C8">
            <w:pPr>
              <w:pStyle w:val="BodyTextKeep"/>
              <w:ind w:right="0"/>
              <w:jc w:val="center"/>
              <w:rPr>
                <w:sz w:val="16"/>
                <w:szCs w:val="16"/>
                <w:lang w:val="en-US"/>
              </w:rPr>
            </w:pPr>
            <w:r w:rsidRPr="00CD33C8">
              <w:rPr>
                <w:sz w:val="16"/>
                <w:szCs w:val="16"/>
                <w:lang w:val="en-US"/>
              </w:rPr>
              <w:t>Copper loss</w:t>
            </w:r>
          </w:p>
        </w:tc>
        <w:tc>
          <w:tcPr>
            <w:tcW w:w="1001" w:type="dxa"/>
            <w:shd w:val="clear" w:color="auto" w:fill="auto"/>
          </w:tcPr>
          <w:p w:rsidR="00C16EBF" w:rsidRPr="00CD33C8" w:rsidRDefault="00C16EBF" w:rsidP="00CD33C8">
            <w:pPr>
              <w:pStyle w:val="BodyTextKeep"/>
              <w:ind w:right="0"/>
              <w:jc w:val="center"/>
              <w:rPr>
                <w:sz w:val="16"/>
                <w:szCs w:val="16"/>
                <w:lang w:val="en-US"/>
              </w:rPr>
            </w:pPr>
            <w:r w:rsidRPr="00CD33C8">
              <w:rPr>
                <w:sz w:val="16"/>
                <w:szCs w:val="16"/>
                <w:lang w:val="en-US"/>
              </w:rPr>
              <w:t>461 W</w:t>
            </w:r>
          </w:p>
        </w:tc>
      </w:tr>
      <w:tr w:rsidR="00C16EBF" w:rsidRPr="003C6E85" w:rsidTr="00CD33C8">
        <w:trPr>
          <w:jc w:val="center"/>
        </w:trPr>
        <w:tc>
          <w:tcPr>
            <w:tcW w:w="1271" w:type="dxa"/>
            <w:shd w:val="clear" w:color="auto" w:fill="auto"/>
          </w:tcPr>
          <w:p w:rsidR="00C16EBF" w:rsidRPr="00CD33C8" w:rsidRDefault="00C16EBF" w:rsidP="00CD33C8">
            <w:pPr>
              <w:pStyle w:val="BodyTextKeep"/>
              <w:ind w:right="0"/>
              <w:jc w:val="center"/>
              <w:rPr>
                <w:sz w:val="16"/>
                <w:szCs w:val="16"/>
                <w:lang w:val="en-US"/>
              </w:rPr>
            </w:pPr>
            <w:proofErr w:type="spellStart"/>
            <w:r w:rsidRPr="00CD33C8">
              <w:rPr>
                <w:sz w:val="16"/>
                <w:szCs w:val="16"/>
                <w:lang w:val="en-US"/>
              </w:rPr>
              <w:t>T</w:t>
            </w:r>
            <w:r w:rsidRPr="00CD33C8">
              <w:rPr>
                <w:sz w:val="16"/>
                <w:szCs w:val="16"/>
                <w:vertAlign w:val="subscript"/>
                <w:lang w:val="en-US"/>
              </w:rPr>
              <w:t>rated</w:t>
            </w:r>
            <w:proofErr w:type="spellEnd"/>
          </w:p>
        </w:tc>
        <w:tc>
          <w:tcPr>
            <w:tcW w:w="1134" w:type="dxa"/>
            <w:shd w:val="clear" w:color="auto" w:fill="auto"/>
          </w:tcPr>
          <w:p w:rsidR="00C16EBF" w:rsidRPr="00CD33C8" w:rsidRDefault="00C16EBF" w:rsidP="00CD33C8">
            <w:pPr>
              <w:pStyle w:val="BodyTextKeep"/>
              <w:ind w:right="0"/>
              <w:jc w:val="center"/>
              <w:rPr>
                <w:sz w:val="16"/>
                <w:szCs w:val="16"/>
                <w:lang w:val="en-US"/>
              </w:rPr>
            </w:pPr>
            <w:r w:rsidRPr="00CD33C8">
              <w:rPr>
                <w:sz w:val="16"/>
                <w:szCs w:val="16"/>
                <w:lang w:val="en-US"/>
              </w:rPr>
              <w:t>127 Nm</w:t>
            </w:r>
          </w:p>
        </w:tc>
        <w:tc>
          <w:tcPr>
            <w:tcW w:w="1276" w:type="dxa"/>
            <w:shd w:val="clear" w:color="auto" w:fill="auto"/>
          </w:tcPr>
          <w:p w:rsidR="00C16EBF" w:rsidRPr="00CD33C8" w:rsidRDefault="00C16EBF" w:rsidP="00CD33C8">
            <w:pPr>
              <w:pStyle w:val="BodyTextKeep"/>
              <w:ind w:right="0"/>
              <w:jc w:val="center"/>
              <w:rPr>
                <w:sz w:val="16"/>
                <w:szCs w:val="16"/>
                <w:lang w:val="en-US"/>
              </w:rPr>
            </w:pPr>
            <w:r w:rsidRPr="00CD33C8">
              <w:rPr>
                <w:sz w:val="16"/>
                <w:szCs w:val="16"/>
                <w:lang w:val="en-US"/>
              </w:rPr>
              <w:t>Core loss</w:t>
            </w:r>
          </w:p>
        </w:tc>
        <w:tc>
          <w:tcPr>
            <w:tcW w:w="1001" w:type="dxa"/>
            <w:shd w:val="clear" w:color="auto" w:fill="auto"/>
          </w:tcPr>
          <w:p w:rsidR="00C16EBF" w:rsidRPr="00CD33C8" w:rsidRDefault="00C16EBF" w:rsidP="00CD33C8">
            <w:pPr>
              <w:pStyle w:val="BodyTextKeep"/>
              <w:ind w:right="0"/>
              <w:jc w:val="center"/>
              <w:rPr>
                <w:sz w:val="16"/>
                <w:szCs w:val="16"/>
                <w:lang w:val="en-US"/>
              </w:rPr>
            </w:pPr>
            <w:r w:rsidRPr="00091D1F">
              <w:rPr>
                <w:color w:val="FF0000"/>
                <w:sz w:val="16"/>
                <w:szCs w:val="16"/>
                <w:lang w:val="en-US"/>
              </w:rPr>
              <w:t>52 W</w:t>
            </w:r>
          </w:p>
        </w:tc>
      </w:tr>
      <w:tr w:rsidR="00C16EBF" w:rsidRPr="003C6E85" w:rsidTr="00CD33C8">
        <w:trPr>
          <w:jc w:val="center"/>
        </w:trPr>
        <w:tc>
          <w:tcPr>
            <w:tcW w:w="1271" w:type="dxa"/>
            <w:shd w:val="clear" w:color="auto" w:fill="auto"/>
          </w:tcPr>
          <w:p w:rsidR="00C16EBF" w:rsidRPr="00CD33C8" w:rsidRDefault="00C16EBF" w:rsidP="00CD33C8">
            <w:pPr>
              <w:pStyle w:val="BodyTextKeep"/>
              <w:ind w:right="0"/>
              <w:jc w:val="center"/>
              <w:rPr>
                <w:sz w:val="16"/>
                <w:szCs w:val="16"/>
                <w:lang w:val="en-US"/>
              </w:rPr>
            </w:pPr>
            <w:r w:rsidRPr="00CD33C8">
              <w:rPr>
                <w:sz w:val="16"/>
                <w:szCs w:val="16"/>
                <w:lang w:val="en-US"/>
              </w:rPr>
              <w:t>Fill factor</w:t>
            </w:r>
          </w:p>
        </w:tc>
        <w:tc>
          <w:tcPr>
            <w:tcW w:w="1134" w:type="dxa"/>
            <w:shd w:val="clear" w:color="auto" w:fill="auto"/>
          </w:tcPr>
          <w:p w:rsidR="00C16EBF" w:rsidRPr="00CD33C8" w:rsidRDefault="00C16EBF" w:rsidP="00CD33C8">
            <w:pPr>
              <w:pStyle w:val="BodyTextKeep"/>
              <w:ind w:right="0"/>
              <w:jc w:val="center"/>
              <w:rPr>
                <w:sz w:val="16"/>
                <w:szCs w:val="16"/>
                <w:lang w:val="en-US"/>
              </w:rPr>
            </w:pPr>
            <w:r w:rsidRPr="00CD33C8">
              <w:rPr>
                <w:sz w:val="16"/>
                <w:szCs w:val="16"/>
                <w:lang w:val="en-US"/>
              </w:rPr>
              <w:t>68 %</w:t>
            </w:r>
          </w:p>
        </w:tc>
        <w:tc>
          <w:tcPr>
            <w:tcW w:w="1276" w:type="dxa"/>
            <w:shd w:val="clear" w:color="auto" w:fill="auto"/>
          </w:tcPr>
          <w:p w:rsidR="00C16EBF" w:rsidRPr="00CD33C8" w:rsidRDefault="00C16EBF" w:rsidP="00CD33C8">
            <w:pPr>
              <w:pStyle w:val="BodyTextKeep"/>
              <w:ind w:right="0"/>
              <w:jc w:val="center"/>
              <w:rPr>
                <w:sz w:val="16"/>
                <w:szCs w:val="16"/>
                <w:lang w:val="en-US"/>
              </w:rPr>
            </w:pPr>
            <w:r w:rsidRPr="00CD33C8">
              <w:rPr>
                <w:sz w:val="16"/>
                <w:szCs w:val="16"/>
                <w:lang w:val="en-US"/>
              </w:rPr>
              <w:t>Efficiency</w:t>
            </w:r>
          </w:p>
        </w:tc>
        <w:tc>
          <w:tcPr>
            <w:tcW w:w="1001" w:type="dxa"/>
            <w:shd w:val="clear" w:color="auto" w:fill="auto"/>
          </w:tcPr>
          <w:p w:rsidR="00C16EBF" w:rsidRPr="00CD33C8" w:rsidRDefault="00C16EBF" w:rsidP="00CD33C8">
            <w:pPr>
              <w:pStyle w:val="BodyTextKeep"/>
              <w:ind w:right="0"/>
              <w:jc w:val="center"/>
              <w:rPr>
                <w:sz w:val="16"/>
                <w:szCs w:val="16"/>
                <w:lang w:val="en-US"/>
              </w:rPr>
            </w:pPr>
            <w:r w:rsidRPr="00CD33C8">
              <w:rPr>
                <w:sz w:val="16"/>
                <w:szCs w:val="16"/>
                <w:lang w:val="en-US"/>
              </w:rPr>
              <w:t>93.8 %</w:t>
            </w:r>
          </w:p>
        </w:tc>
      </w:tr>
    </w:tbl>
    <w:p w:rsidR="00C16EBF" w:rsidRPr="003C6E85" w:rsidRDefault="00C16EBF" w:rsidP="00C16EBF">
      <w:pPr>
        <w:rPr>
          <w:b/>
          <w:bCs/>
        </w:rPr>
      </w:pPr>
    </w:p>
    <w:p w:rsidR="00C16EBF" w:rsidRPr="00091D1F" w:rsidRDefault="00557F87" w:rsidP="00091D1F">
      <w:pPr>
        <w:rPr>
          <w:sz w:val="18"/>
          <w:szCs w:val="18"/>
        </w:rPr>
      </w:pPr>
      <w:r w:rsidRPr="00C16EBF">
        <w:rPr>
          <w:noProof/>
          <w:sz w:val="18"/>
          <w:szCs w:val="18"/>
          <w:lang w:val="tr-TR" w:eastAsia="tr-TR"/>
        </w:rPr>
        <w:drawing>
          <wp:inline distT="0" distB="0" distL="0" distR="0">
            <wp:extent cx="2148840" cy="1660525"/>
            <wp:effectExtent l="0" t="0" r="3810"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l="1512" t="4787" r="6271"/>
                    <a:stretch>
                      <a:fillRect/>
                    </a:stretch>
                  </pic:blipFill>
                  <pic:spPr bwMode="auto">
                    <a:xfrm>
                      <a:off x="0" y="0"/>
                      <a:ext cx="2148840" cy="1660525"/>
                    </a:xfrm>
                    <a:prstGeom prst="rect">
                      <a:avLst/>
                    </a:prstGeom>
                    <a:noFill/>
                    <a:ln>
                      <a:noFill/>
                    </a:ln>
                  </pic:spPr>
                </pic:pic>
              </a:graphicData>
            </a:graphic>
          </wp:inline>
        </w:drawing>
      </w:r>
    </w:p>
    <w:p w:rsidR="00091D1F" w:rsidRPr="00091D1F" w:rsidRDefault="00C16EBF" w:rsidP="00091D1F">
      <w:pPr>
        <w:spacing w:before="80" w:after="200"/>
        <w:jc w:val="left"/>
        <w:rPr>
          <w:sz w:val="16"/>
          <w:szCs w:val="16"/>
        </w:rPr>
      </w:pPr>
      <w:r w:rsidRPr="00091D1F">
        <w:rPr>
          <w:sz w:val="16"/>
          <w:szCs w:val="16"/>
        </w:rPr>
        <w:t>Figure 6. Induced phase voltage (2D FEM analysis)</w:t>
      </w:r>
    </w:p>
    <w:p w:rsidR="00C16EBF" w:rsidRPr="00091D1F" w:rsidRDefault="00557F87" w:rsidP="00091D1F">
      <w:pPr>
        <w:rPr>
          <w:sz w:val="18"/>
          <w:szCs w:val="18"/>
        </w:rPr>
      </w:pPr>
      <w:r w:rsidRPr="00C16EBF">
        <w:rPr>
          <w:noProof/>
          <w:sz w:val="18"/>
          <w:szCs w:val="18"/>
          <w:lang w:val="tr-TR" w:eastAsia="tr-TR"/>
        </w:rPr>
        <w:drawing>
          <wp:inline distT="0" distB="0" distL="0" distR="0">
            <wp:extent cx="1963420" cy="154813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l="3214" t="5038" r="6461"/>
                    <a:stretch>
                      <a:fillRect/>
                    </a:stretch>
                  </pic:blipFill>
                  <pic:spPr bwMode="auto">
                    <a:xfrm>
                      <a:off x="0" y="0"/>
                      <a:ext cx="1963420" cy="1548130"/>
                    </a:xfrm>
                    <a:prstGeom prst="rect">
                      <a:avLst/>
                    </a:prstGeom>
                    <a:noFill/>
                    <a:ln>
                      <a:noFill/>
                    </a:ln>
                  </pic:spPr>
                </pic:pic>
              </a:graphicData>
            </a:graphic>
          </wp:inline>
        </w:drawing>
      </w:r>
    </w:p>
    <w:p w:rsidR="00C16EBF" w:rsidRPr="00091D1F" w:rsidRDefault="00C16EBF" w:rsidP="00091D1F">
      <w:pPr>
        <w:spacing w:before="80" w:after="200"/>
        <w:jc w:val="left"/>
        <w:rPr>
          <w:sz w:val="16"/>
          <w:szCs w:val="16"/>
        </w:rPr>
      </w:pPr>
      <w:r w:rsidRPr="00091D1F">
        <w:rPr>
          <w:sz w:val="16"/>
          <w:szCs w:val="16"/>
        </w:rPr>
        <w:t xml:space="preserve">Figure 7. Line currents </w:t>
      </w:r>
      <w:r w:rsidR="00091D1F" w:rsidRPr="00091D1F">
        <w:rPr>
          <w:sz w:val="16"/>
          <w:szCs w:val="16"/>
        </w:rPr>
        <w:t>of one module (2D FEM analysis)</w:t>
      </w:r>
    </w:p>
    <w:p w:rsidR="00C16EBF" w:rsidRDefault="00557F87" w:rsidP="00C16EBF">
      <w:pPr>
        <w:rPr>
          <w:sz w:val="18"/>
          <w:szCs w:val="18"/>
        </w:rPr>
      </w:pPr>
      <w:r w:rsidRPr="00C16EBF">
        <w:rPr>
          <w:noProof/>
          <w:sz w:val="18"/>
          <w:szCs w:val="18"/>
          <w:lang w:val="tr-TR" w:eastAsia="tr-TR"/>
        </w:rPr>
        <w:drawing>
          <wp:inline distT="0" distB="0" distL="0" distR="0">
            <wp:extent cx="2030730" cy="1604645"/>
            <wp:effectExtent l="0" t="0" r="7620" b="0"/>
            <wp:docPr id="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l="2727" t="5988" r="7773"/>
                    <a:stretch>
                      <a:fillRect/>
                    </a:stretch>
                  </pic:blipFill>
                  <pic:spPr bwMode="auto">
                    <a:xfrm>
                      <a:off x="0" y="0"/>
                      <a:ext cx="2030730" cy="1604645"/>
                    </a:xfrm>
                    <a:prstGeom prst="rect">
                      <a:avLst/>
                    </a:prstGeom>
                    <a:noFill/>
                    <a:ln>
                      <a:noFill/>
                    </a:ln>
                  </pic:spPr>
                </pic:pic>
              </a:graphicData>
            </a:graphic>
          </wp:inline>
        </w:drawing>
      </w:r>
    </w:p>
    <w:p w:rsidR="00C16EBF" w:rsidRPr="004A24E7" w:rsidRDefault="00C16EBF" w:rsidP="00C16EBF">
      <w:pPr>
        <w:rPr>
          <w:sz w:val="12"/>
          <w:szCs w:val="12"/>
        </w:rPr>
      </w:pPr>
    </w:p>
    <w:p w:rsidR="00C16EBF" w:rsidRPr="00091D1F" w:rsidRDefault="00C16EBF" w:rsidP="00091D1F">
      <w:pPr>
        <w:spacing w:before="80" w:after="200"/>
        <w:jc w:val="left"/>
        <w:rPr>
          <w:sz w:val="16"/>
          <w:szCs w:val="16"/>
        </w:rPr>
      </w:pPr>
      <w:r w:rsidRPr="00091D1F">
        <w:rPr>
          <w:sz w:val="16"/>
          <w:szCs w:val="16"/>
        </w:rPr>
        <w:t>Figure 8. Motor output torque (2D FEM analysis)</w:t>
      </w:r>
    </w:p>
    <w:p w:rsidR="00C16EBF" w:rsidRPr="003C6E85" w:rsidRDefault="00C16EBF" w:rsidP="00C16EBF">
      <w:pPr>
        <w:rPr>
          <w:sz w:val="18"/>
          <w:szCs w:val="18"/>
        </w:rPr>
      </w:pPr>
    </w:p>
    <w:p w:rsidR="00C16EBF" w:rsidRDefault="00557F87" w:rsidP="00C16EBF">
      <w:pPr>
        <w:rPr>
          <w:sz w:val="18"/>
          <w:szCs w:val="18"/>
        </w:rPr>
      </w:pPr>
      <w:r w:rsidRPr="005B327D">
        <w:rPr>
          <w:noProof/>
          <w:lang w:val="tr-TR" w:eastAsia="tr-TR"/>
        </w:rPr>
        <w:drawing>
          <wp:inline distT="0" distB="0" distL="0" distR="0">
            <wp:extent cx="2153920" cy="1615440"/>
            <wp:effectExtent l="0" t="0" r="0" b="381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r="27518"/>
                    <a:stretch>
                      <a:fillRect/>
                    </a:stretch>
                  </pic:blipFill>
                  <pic:spPr bwMode="auto">
                    <a:xfrm>
                      <a:off x="0" y="0"/>
                      <a:ext cx="2153920" cy="1615440"/>
                    </a:xfrm>
                    <a:prstGeom prst="rect">
                      <a:avLst/>
                    </a:prstGeom>
                    <a:noFill/>
                    <a:ln>
                      <a:noFill/>
                    </a:ln>
                  </pic:spPr>
                </pic:pic>
              </a:graphicData>
            </a:graphic>
          </wp:inline>
        </w:drawing>
      </w:r>
    </w:p>
    <w:p w:rsidR="00C16EBF" w:rsidRPr="004A24E7" w:rsidRDefault="00C16EBF" w:rsidP="00C16EBF">
      <w:pPr>
        <w:rPr>
          <w:sz w:val="12"/>
          <w:szCs w:val="12"/>
        </w:rPr>
      </w:pPr>
    </w:p>
    <w:p w:rsidR="00C16EBF" w:rsidRPr="00091D1F" w:rsidRDefault="00C16EBF" w:rsidP="00091D1F">
      <w:pPr>
        <w:spacing w:before="80" w:after="200"/>
        <w:jc w:val="left"/>
        <w:rPr>
          <w:sz w:val="16"/>
          <w:szCs w:val="16"/>
        </w:rPr>
      </w:pPr>
      <w:r w:rsidRPr="00091D1F">
        <w:rPr>
          <w:sz w:val="16"/>
          <w:szCs w:val="16"/>
        </w:rPr>
        <w:lastRenderedPageBreak/>
        <w:t>Figure 9. Flux density distribution over one module</w:t>
      </w:r>
    </w:p>
    <w:p w:rsidR="00C16EBF" w:rsidRPr="003C6E85" w:rsidRDefault="00C16EBF" w:rsidP="00C16EBF">
      <w:pPr>
        <w:rPr>
          <w:i/>
          <w:iCs/>
          <w:color w:val="C0C0C0"/>
          <w:sz w:val="18"/>
          <w:szCs w:val="18"/>
        </w:rPr>
      </w:pPr>
    </w:p>
    <w:p w:rsidR="00C16EBF" w:rsidRDefault="00091D1F" w:rsidP="00753F7B">
      <w:pPr>
        <w:pStyle w:val="BodyText"/>
      </w:pPr>
      <w:r>
        <w:t>L</w:t>
      </w:r>
      <w:r w:rsidR="00C16EBF" w:rsidRPr="00C16EBF">
        <w:t xml:space="preserve">oss analysis </w:t>
      </w:r>
      <w:r>
        <w:t xml:space="preserve">of the motor drive </w:t>
      </w:r>
      <w:r w:rsidR="00C16EBF" w:rsidRPr="00C16EBF">
        <w:t>is performed using the model presented in Sec. 3.  The loss analys</w:t>
      </w:r>
      <w:r>
        <w:t>is</w:t>
      </w:r>
      <w:r w:rsidR="00C16EBF" w:rsidRPr="00C16EBF">
        <w:t xml:space="preserve"> include the selected devices with a conventional system having IGBTs and two IMMD systems with different types of GaN FETs. The comparative loss results are shown in Figure 10. The results show that, even with a switching frequency five times the one with IGBTs, the total system loss is cut in half with GaN devices. The reason why 20 kHz is used for the system with IGBT is that, it is the practical limit for those devices. When the loss components are analyzed separately, it is observed that the main reduction is on switching losses, as expected. On the other hand, transistor conduction losses are a little bit higher with GaNs, although diode conduction losses (or transistor reverse conduction losses) are similar. There are two main reasons for this. First of all, IGBT conduction performance in high current applications is good. However, the WBG semiconductor technology such as GaN has not been proven itself in terms of on-state voltage drop, while it has developed to have comparable performance. Secondly, the IMMD system has 2-series and 2-parallel structure so that each module carries</w:t>
      </w:r>
      <w:r>
        <w:t xml:space="preserve"> two</w:t>
      </w:r>
      <w:r w:rsidR="00C16EBF" w:rsidRPr="00C16EBF">
        <w:t xml:space="preserve"> times the current they would have when there a 4 parallel modules. In conclusion, both cascade and e-mode GaN FETs reach 98% drive efficiency at 100 kHz switching frequency. Motor drive simulations are performed using MATLAB/Simulink environment. 4 modules are used with 2-series and 2-parallel configuration, with 90 degrees interleaving angle and </w:t>
      </w:r>
      <w:r w:rsidR="00D347F2">
        <w:t>suitable</w:t>
      </w:r>
      <w:r w:rsidR="00C16EBF" w:rsidRPr="00C16EBF">
        <w:t xml:space="preserve"> DC link capacitor bank which will result </w:t>
      </w:r>
      <w:r w:rsidR="00D347F2">
        <w:t xml:space="preserve">in amount of </w:t>
      </w:r>
      <w:r w:rsidR="00C16EBF" w:rsidRPr="00C16EBF">
        <w:t xml:space="preserve">1% voltage ripple on the DC link at most. The DC link current of each module and total DC link current are shown in </w:t>
      </w:r>
      <w:r w:rsidR="00D347F2">
        <w:t>Fig.</w:t>
      </w:r>
      <w:r w:rsidR="00C16EBF" w:rsidRPr="00C16EBF">
        <w:t xml:space="preserve"> 11, with and without interleaving. The DC link voltage ripple with and without interleaving are also shown in </w:t>
      </w:r>
      <w:r w:rsidR="00D347F2">
        <w:t>Fig.</w:t>
      </w:r>
      <w:r w:rsidR="00C16EBF" w:rsidRPr="00C16EBF">
        <w:t xml:space="preserve"> 12.</w:t>
      </w:r>
    </w:p>
    <w:p w:rsidR="00C16EBF" w:rsidRPr="00D347F2" w:rsidRDefault="00D347F2" w:rsidP="00D347F2">
      <w:pPr>
        <w:pStyle w:val="BodyTextKeep"/>
        <w:ind w:right="0"/>
        <w:jc w:val="center"/>
        <w:rPr>
          <w:lang w:val="en-US"/>
        </w:rPr>
      </w:pPr>
      <w:r>
        <w:object w:dxaOrig="7575" w:dyaOrig="4395">
          <v:shape id="_x0000_i1027" type="#_x0000_t75" style="width:252pt;height:146pt" o:ole="">
            <v:imagedata r:id="rId17" o:title=""/>
          </v:shape>
          <o:OLEObject Type="Embed" ProgID="Visio.Drawing.15" ShapeID="_x0000_i1027" DrawAspect="Content" ObjectID="_1574455960" r:id="rId18"/>
        </w:object>
      </w:r>
    </w:p>
    <w:p w:rsidR="00C16EBF" w:rsidRPr="00D347F2" w:rsidRDefault="00C16EBF" w:rsidP="00D347F2">
      <w:pPr>
        <w:pStyle w:val="BodyTextKeep"/>
        <w:spacing w:before="80" w:after="200"/>
        <w:ind w:right="0"/>
        <w:jc w:val="left"/>
        <w:rPr>
          <w:sz w:val="16"/>
          <w:szCs w:val="16"/>
          <w:lang w:val="en-US"/>
        </w:rPr>
      </w:pPr>
      <w:r w:rsidRPr="00D347F2">
        <w:rPr>
          <w:sz w:val="16"/>
          <w:szCs w:val="16"/>
          <w:lang w:val="en-US"/>
        </w:rPr>
        <w:t>Figure 10. Comparative loss analysis having a conventional</w:t>
      </w:r>
      <w:r w:rsidR="00D347F2">
        <w:rPr>
          <w:sz w:val="16"/>
          <w:szCs w:val="16"/>
          <w:lang w:val="en-US"/>
        </w:rPr>
        <w:t xml:space="preserve"> </w:t>
      </w:r>
      <w:r w:rsidRPr="00D347F2">
        <w:rPr>
          <w:sz w:val="16"/>
          <w:szCs w:val="16"/>
          <w:lang w:val="en-US"/>
        </w:rPr>
        <w:t>system with IGBT and two different IMMD systems with GaN</w:t>
      </w:r>
    </w:p>
    <w:p w:rsidR="00C16EBF" w:rsidRPr="00D347F2" w:rsidRDefault="00557F87" w:rsidP="00D347F2">
      <w:pPr>
        <w:rPr>
          <w:sz w:val="18"/>
          <w:szCs w:val="18"/>
        </w:rPr>
      </w:pPr>
      <w:r w:rsidRPr="00C16EBF">
        <w:rPr>
          <w:noProof/>
          <w:sz w:val="18"/>
          <w:szCs w:val="18"/>
          <w:lang w:val="tr-TR" w:eastAsia="tr-TR"/>
        </w:rPr>
        <w:drawing>
          <wp:inline distT="0" distB="0" distL="0" distR="0">
            <wp:extent cx="2552700" cy="2030730"/>
            <wp:effectExtent l="0" t="0" r="0" b="7620"/>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l="4010" t="4494" r="6007"/>
                    <a:stretch>
                      <a:fillRect/>
                    </a:stretch>
                  </pic:blipFill>
                  <pic:spPr bwMode="auto">
                    <a:xfrm>
                      <a:off x="0" y="0"/>
                      <a:ext cx="2552700" cy="2030730"/>
                    </a:xfrm>
                    <a:prstGeom prst="rect">
                      <a:avLst/>
                    </a:prstGeom>
                    <a:noFill/>
                    <a:ln>
                      <a:noFill/>
                    </a:ln>
                  </pic:spPr>
                </pic:pic>
              </a:graphicData>
            </a:graphic>
          </wp:inline>
        </w:drawing>
      </w:r>
    </w:p>
    <w:p w:rsidR="00C16EBF" w:rsidRPr="00D347F2" w:rsidRDefault="00C16EBF" w:rsidP="00D347F2">
      <w:pPr>
        <w:spacing w:before="80" w:after="200"/>
        <w:jc w:val="left"/>
        <w:rPr>
          <w:sz w:val="16"/>
          <w:szCs w:val="16"/>
        </w:rPr>
      </w:pPr>
      <w:r w:rsidRPr="00D347F2">
        <w:rPr>
          <w:sz w:val="16"/>
          <w:szCs w:val="16"/>
        </w:rPr>
        <w:t>Figure 11. The DC link current of each m</w:t>
      </w:r>
      <w:r w:rsidR="00D347F2" w:rsidRPr="00D347F2">
        <w:rPr>
          <w:sz w:val="16"/>
          <w:szCs w:val="16"/>
        </w:rPr>
        <w:t>odule and total DC link current</w:t>
      </w:r>
    </w:p>
    <w:p w:rsidR="00C16EBF" w:rsidRPr="00D347F2" w:rsidRDefault="00557F87" w:rsidP="00D347F2">
      <w:pPr>
        <w:rPr>
          <w:sz w:val="18"/>
          <w:szCs w:val="18"/>
        </w:rPr>
      </w:pPr>
      <w:r w:rsidRPr="00C16EBF">
        <w:rPr>
          <w:noProof/>
          <w:sz w:val="18"/>
          <w:szCs w:val="18"/>
          <w:lang w:val="tr-TR" w:eastAsia="tr-TR"/>
        </w:rPr>
        <w:drawing>
          <wp:inline distT="0" distB="0" distL="0" distR="0">
            <wp:extent cx="2406650" cy="1884680"/>
            <wp:effectExtent l="0" t="0" r="0" b="127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l="1765" t="4063" r="6471"/>
                    <a:stretch>
                      <a:fillRect/>
                    </a:stretch>
                  </pic:blipFill>
                  <pic:spPr bwMode="auto">
                    <a:xfrm>
                      <a:off x="0" y="0"/>
                      <a:ext cx="2406650" cy="1884680"/>
                    </a:xfrm>
                    <a:prstGeom prst="rect">
                      <a:avLst/>
                    </a:prstGeom>
                    <a:noFill/>
                    <a:ln>
                      <a:noFill/>
                    </a:ln>
                  </pic:spPr>
                </pic:pic>
              </a:graphicData>
            </a:graphic>
          </wp:inline>
        </w:drawing>
      </w:r>
    </w:p>
    <w:p w:rsidR="00C16EBF" w:rsidRPr="00D347F2" w:rsidRDefault="00C16EBF" w:rsidP="00D347F2">
      <w:pPr>
        <w:spacing w:before="80" w:after="200"/>
        <w:jc w:val="left"/>
        <w:rPr>
          <w:sz w:val="16"/>
          <w:szCs w:val="16"/>
        </w:rPr>
      </w:pPr>
      <w:r w:rsidRPr="00D347F2">
        <w:rPr>
          <w:sz w:val="16"/>
          <w:szCs w:val="16"/>
        </w:rPr>
        <w:t>Figure 12. DC link voltage ripple with and without interleaving</w:t>
      </w:r>
    </w:p>
    <w:p w:rsidR="00C16EBF" w:rsidRDefault="00C16EBF" w:rsidP="00C16EBF">
      <w:pPr>
        <w:pStyle w:val="Heading1"/>
      </w:pPr>
      <w:r>
        <w:lastRenderedPageBreak/>
        <w:t>Conclusıons</w:t>
      </w:r>
    </w:p>
    <w:p w:rsidR="00C16EBF" w:rsidRDefault="00C16EBF" w:rsidP="00C16EBF">
      <w:pPr>
        <w:pStyle w:val="BodyText"/>
      </w:pPr>
      <w:r>
        <w:t>In this study, an integrated modular motor drive system is proposed which can replace conventional motor drive systems, and its design process is presented. The proposed system brings several advantages such as increased power density, enhanced fault tolerance and reliability, reduction in EMI problems and voltage stress across devices, and increased surface area for better cooling.</w:t>
      </w:r>
    </w:p>
    <w:p w:rsidR="00C16EBF" w:rsidRDefault="00C16EBF" w:rsidP="00C16EBF">
      <w:pPr>
        <w:pStyle w:val="BodyText"/>
      </w:pPr>
      <w:r>
        <w:t>The design is based on 2-level inverter modules which can be connected in series and/or parallel on the DC link thanks to the modular structure. The number of series/parallel modules are established based on the reduction in the size of the DC link capacitor with proper interleaving angle, and the available device voltage and current ratings. Dimensioning of a PMSM having FSCW stator is performed and a suitable modular winding configuration is proposed. The design of the modular motor drive is based on WBG GaN power FETs selected from two different manufacturers. Loss characterization and analysis is performed using these devices along with a conventional converter in which IGBT is utilized. It is shown that both GaN devices yield superior efficiency performance even with a switching frequency 5 times the original.</w:t>
      </w:r>
    </w:p>
    <w:p w:rsidR="008A55B5" w:rsidRDefault="00C16EBF">
      <w:pPr>
        <w:pStyle w:val="Heading5"/>
        <w:rPr>
          <w:rFonts w:eastAsia="MS Mincho"/>
        </w:rPr>
      </w:pPr>
      <w:r>
        <w:rPr>
          <w:rFonts w:eastAsia="MS Mincho"/>
        </w:rPr>
        <w:t>Acknowledgment</w:t>
      </w:r>
    </w:p>
    <w:p w:rsidR="008A55B5" w:rsidRPr="00C16EBF" w:rsidRDefault="008A55B5" w:rsidP="00C16EBF">
      <w:pPr>
        <w:pStyle w:val="BodyText"/>
        <w:ind w:firstLine="289"/>
      </w:pPr>
      <w:r w:rsidRPr="00C16EBF">
        <w:t>Th</w:t>
      </w:r>
      <w:r w:rsidR="00C16EBF" w:rsidRPr="00C16EBF">
        <w:t xml:space="preserve">is work is partially supported by </w:t>
      </w:r>
      <w:r w:rsidR="00C16EBF" w:rsidRPr="00C16EBF">
        <w:rPr>
          <w:rStyle w:val="fontstyle01"/>
          <w:rFonts w:ascii="Times New Roman" w:hAnsi="Times New Roman"/>
        </w:rPr>
        <w:t>Scientific and</w:t>
      </w:r>
      <w:r w:rsidR="00C16EBF" w:rsidRPr="00C16EBF">
        <w:rPr>
          <w:color w:val="000000"/>
        </w:rPr>
        <w:br/>
      </w:r>
      <w:r w:rsidR="00C16EBF" w:rsidRPr="00C16EBF">
        <w:rPr>
          <w:rStyle w:val="fontstyle01"/>
          <w:rFonts w:ascii="Times New Roman" w:hAnsi="Times New Roman"/>
        </w:rPr>
        <w:t>Technological Research Council of Turkey (TUBITAK) under</w:t>
      </w:r>
      <w:r w:rsidR="00C16EBF" w:rsidRPr="00C16EBF">
        <w:rPr>
          <w:color w:val="000000"/>
        </w:rPr>
        <w:br/>
      </w:r>
      <w:r w:rsidR="00C16EBF" w:rsidRPr="00C16EBF">
        <w:rPr>
          <w:rStyle w:val="fontstyle01"/>
          <w:rFonts w:ascii="Times New Roman" w:hAnsi="Times New Roman"/>
        </w:rPr>
        <w:t>the TUBITAK project number 117E252.</w:t>
      </w:r>
    </w:p>
    <w:p w:rsidR="00EE4362" w:rsidRDefault="00EE4362" w:rsidP="00EE4362">
      <w:pPr>
        <w:rPr>
          <w:rFonts w:eastAsia="MS Mincho"/>
        </w:rPr>
      </w:pPr>
    </w:p>
    <w:p w:rsidR="008A55B5" w:rsidRDefault="008A55B5" w:rsidP="00AA0504">
      <w:pPr>
        <w:pStyle w:val="Heading5"/>
        <w:rPr>
          <w:rFonts w:eastAsia="MS Mincho"/>
        </w:rPr>
      </w:pPr>
      <w:r>
        <w:rPr>
          <w:rFonts w:eastAsia="MS Mincho"/>
        </w:rPr>
        <w:t>References</w:t>
      </w:r>
    </w:p>
    <w:p w:rsidR="00AA0504" w:rsidRPr="00AA0504" w:rsidRDefault="00AA0504" w:rsidP="00AA0504">
      <w:pPr>
        <w:widowControl w:val="0"/>
        <w:autoSpaceDE w:val="0"/>
        <w:autoSpaceDN w:val="0"/>
        <w:adjustRightInd w:val="0"/>
        <w:spacing w:after="50" w:line="180" w:lineRule="exact"/>
        <w:ind w:left="284" w:hanging="284"/>
        <w:jc w:val="left"/>
        <w:rPr>
          <w:noProof/>
          <w:sz w:val="16"/>
          <w:szCs w:val="16"/>
        </w:rPr>
      </w:pPr>
      <w:r w:rsidRPr="00AA0504">
        <w:rPr>
          <w:rFonts w:eastAsia="MS Mincho"/>
          <w:sz w:val="16"/>
          <w:szCs w:val="16"/>
        </w:rPr>
        <w:fldChar w:fldCharType="begin" w:fldLock="1"/>
      </w:r>
      <w:r w:rsidRPr="00AA0504">
        <w:rPr>
          <w:rFonts w:eastAsia="MS Mincho"/>
          <w:sz w:val="16"/>
          <w:szCs w:val="16"/>
        </w:rPr>
        <w:instrText xml:space="preserve">ADDIN Mendeley Bibliography CSL_BIBLIOGRAPHY </w:instrText>
      </w:r>
      <w:r w:rsidRPr="00AA0504">
        <w:rPr>
          <w:rFonts w:eastAsia="MS Mincho"/>
          <w:sz w:val="16"/>
          <w:szCs w:val="16"/>
        </w:rPr>
        <w:fldChar w:fldCharType="separate"/>
      </w:r>
      <w:r w:rsidRPr="00AA0504">
        <w:rPr>
          <w:noProof/>
          <w:sz w:val="16"/>
          <w:szCs w:val="16"/>
        </w:rPr>
        <w:t>[1]</w:t>
      </w:r>
      <w:r w:rsidRPr="00AA0504">
        <w:rPr>
          <w:noProof/>
          <w:sz w:val="16"/>
          <w:szCs w:val="16"/>
        </w:rPr>
        <w:tab/>
        <w:t xml:space="preserve">G. Lo Calzo, G. Vakil, B. Mecrow, S. Lambert, T. Cox, C. Gerada, M. Johnson, and R. Abebe, “Integrated motor drives: state of the art and future trends,” </w:t>
      </w:r>
      <w:r w:rsidRPr="00AA0504">
        <w:rPr>
          <w:i/>
          <w:iCs/>
          <w:noProof/>
          <w:sz w:val="16"/>
          <w:szCs w:val="16"/>
        </w:rPr>
        <w:t>IET Electr. Power Appl.</w:t>
      </w:r>
      <w:r w:rsidRPr="00AA0504">
        <w:rPr>
          <w:noProof/>
          <w:sz w:val="16"/>
          <w:szCs w:val="16"/>
        </w:rPr>
        <w:t>, vol. 10, no. 8, pp. 757–771, Sep. 2016.</w:t>
      </w:r>
    </w:p>
    <w:p w:rsidR="00AA0504" w:rsidRPr="00AA0504" w:rsidRDefault="00AA0504" w:rsidP="00AA0504">
      <w:pPr>
        <w:widowControl w:val="0"/>
        <w:autoSpaceDE w:val="0"/>
        <w:autoSpaceDN w:val="0"/>
        <w:adjustRightInd w:val="0"/>
        <w:spacing w:after="50" w:line="180" w:lineRule="exact"/>
        <w:ind w:left="284" w:hanging="284"/>
        <w:jc w:val="left"/>
        <w:rPr>
          <w:noProof/>
          <w:sz w:val="16"/>
          <w:szCs w:val="16"/>
        </w:rPr>
      </w:pPr>
      <w:r w:rsidRPr="00AA0504">
        <w:rPr>
          <w:noProof/>
          <w:sz w:val="16"/>
          <w:szCs w:val="16"/>
        </w:rPr>
        <w:t>[2]</w:t>
      </w:r>
      <w:r w:rsidRPr="00AA0504">
        <w:rPr>
          <w:noProof/>
          <w:sz w:val="16"/>
          <w:szCs w:val="16"/>
        </w:rPr>
        <w:tab/>
        <w:t xml:space="preserve">M. D. Hennen, M. Niessen, C. Heyers, H. J. Brauer, and R. W. De Doncker, “Development and control of an integrated and distributed inverter for a fault tolerant five-phase switched reluctance traction drive,” </w:t>
      </w:r>
      <w:r w:rsidRPr="00AA0504">
        <w:rPr>
          <w:i/>
          <w:iCs/>
          <w:noProof/>
          <w:sz w:val="16"/>
          <w:szCs w:val="16"/>
        </w:rPr>
        <w:t>IEEE Trans. Power Electron.</w:t>
      </w:r>
      <w:r w:rsidRPr="00AA0504">
        <w:rPr>
          <w:noProof/>
          <w:sz w:val="16"/>
          <w:szCs w:val="16"/>
        </w:rPr>
        <w:t>, vol. 27, no. 2, pp. 547–554, 2012.</w:t>
      </w:r>
    </w:p>
    <w:p w:rsidR="00AA0504" w:rsidRPr="00AA0504" w:rsidRDefault="00AA0504" w:rsidP="00AA0504">
      <w:pPr>
        <w:widowControl w:val="0"/>
        <w:autoSpaceDE w:val="0"/>
        <w:autoSpaceDN w:val="0"/>
        <w:adjustRightInd w:val="0"/>
        <w:spacing w:after="50" w:line="180" w:lineRule="exact"/>
        <w:ind w:left="284" w:hanging="284"/>
        <w:jc w:val="left"/>
        <w:rPr>
          <w:noProof/>
          <w:sz w:val="16"/>
          <w:szCs w:val="16"/>
        </w:rPr>
      </w:pPr>
      <w:r w:rsidRPr="00AA0504">
        <w:rPr>
          <w:noProof/>
          <w:sz w:val="16"/>
          <w:szCs w:val="16"/>
        </w:rPr>
        <w:t>[3]</w:t>
      </w:r>
      <w:r w:rsidRPr="00AA0504">
        <w:rPr>
          <w:noProof/>
          <w:sz w:val="16"/>
          <w:szCs w:val="16"/>
        </w:rPr>
        <w:tab/>
        <w:t xml:space="preserve">J. Wang, Y. Li, and Y. Han, “Integrated Modular Motor Drive Design With &lt;roman&gt;GaN&lt;/roman&gt; Power &lt;roman&gt;FETs&lt;/roman&gt;,” </w:t>
      </w:r>
      <w:r w:rsidRPr="00AA0504">
        <w:rPr>
          <w:i/>
          <w:iCs/>
          <w:noProof/>
          <w:sz w:val="16"/>
          <w:szCs w:val="16"/>
        </w:rPr>
        <w:t>IEEE Trans. Ind. Appl.</w:t>
      </w:r>
      <w:r w:rsidRPr="00AA0504">
        <w:rPr>
          <w:noProof/>
          <w:sz w:val="16"/>
          <w:szCs w:val="16"/>
        </w:rPr>
        <w:t>, vol. 51, no. 4, pp. 3198–3207, 2015.</w:t>
      </w:r>
    </w:p>
    <w:p w:rsidR="00AA0504" w:rsidRPr="00AA0504" w:rsidRDefault="00AA0504" w:rsidP="00AA0504">
      <w:pPr>
        <w:widowControl w:val="0"/>
        <w:autoSpaceDE w:val="0"/>
        <w:autoSpaceDN w:val="0"/>
        <w:adjustRightInd w:val="0"/>
        <w:spacing w:after="50" w:line="180" w:lineRule="exact"/>
        <w:ind w:left="284" w:hanging="284"/>
        <w:jc w:val="left"/>
        <w:rPr>
          <w:noProof/>
          <w:sz w:val="16"/>
          <w:szCs w:val="16"/>
        </w:rPr>
      </w:pPr>
      <w:r w:rsidRPr="00AA0504">
        <w:rPr>
          <w:noProof/>
          <w:sz w:val="16"/>
          <w:szCs w:val="16"/>
        </w:rPr>
        <w:t>[4]</w:t>
      </w:r>
      <w:r w:rsidRPr="00AA0504">
        <w:rPr>
          <w:noProof/>
          <w:sz w:val="16"/>
          <w:szCs w:val="16"/>
        </w:rPr>
        <w:tab/>
        <w:t xml:space="preserve">J. J. Wolmarans, M. B. Gerber, H. Polinder, S. W. H. De Haan, J. A. Ferreira, and D. Clarenbach, “A 50kW integrated fault tolerant permanent magnet machine and motor drive,” </w:t>
      </w:r>
      <w:r w:rsidRPr="00AA0504">
        <w:rPr>
          <w:i/>
          <w:iCs/>
          <w:noProof/>
          <w:sz w:val="16"/>
          <w:szCs w:val="16"/>
        </w:rPr>
        <w:t>PESC Rec. - IEEE Annu. Power Electron. Spec. Conf.</w:t>
      </w:r>
      <w:r w:rsidRPr="00AA0504">
        <w:rPr>
          <w:noProof/>
          <w:sz w:val="16"/>
          <w:szCs w:val="16"/>
        </w:rPr>
        <w:t>, pp. 345–351, 2008.</w:t>
      </w:r>
    </w:p>
    <w:p w:rsidR="00AA0504" w:rsidRPr="00AA0504" w:rsidRDefault="00AA0504" w:rsidP="00AA0504">
      <w:pPr>
        <w:widowControl w:val="0"/>
        <w:autoSpaceDE w:val="0"/>
        <w:autoSpaceDN w:val="0"/>
        <w:adjustRightInd w:val="0"/>
        <w:spacing w:after="50" w:line="180" w:lineRule="exact"/>
        <w:ind w:left="284" w:hanging="284"/>
        <w:jc w:val="left"/>
        <w:rPr>
          <w:noProof/>
          <w:sz w:val="16"/>
          <w:szCs w:val="16"/>
        </w:rPr>
      </w:pPr>
      <w:r w:rsidRPr="00AA0504">
        <w:rPr>
          <w:noProof/>
          <w:sz w:val="16"/>
          <w:szCs w:val="16"/>
        </w:rPr>
        <w:t>[5]</w:t>
      </w:r>
      <w:r w:rsidRPr="00AA0504">
        <w:rPr>
          <w:noProof/>
          <w:sz w:val="16"/>
          <w:szCs w:val="16"/>
        </w:rPr>
        <w:tab/>
        <w:t xml:space="preserve">T. Morita, S. Tamura, Y. Anda, M. Ishida, Y. Uemoto, T. Ueda, T. Tanaka, and D. Ueda, “99.3% Efficiency of three-phase inverter for motor drive using GaN-based gate injection transistors,” </w:t>
      </w:r>
      <w:r w:rsidRPr="00AA0504">
        <w:rPr>
          <w:i/>
          <w:iCs/>
          <w:noProof/>
          <w:sz w:val="16"/>
          <w:szCs w:val="16"/>
        </w:rPr>
        <w:t>Conf. Proc. - IEEE Appl. Power Electron. Conf. Expo. - APEC</w:t>
      </w:r>
      <w:r w:rsidRPr="00AA0504">
        <w:rPr>
          <w:noProof/>
          <w:sz w:val="16"/>
          <w:szCs w:val="16"/>
        </w:rPr>
        <w:t>, pp. 481–484, 2011.</w:t>
      </w:r>
    </w:p>
    <w:p w:rsidR="00AA0504" w:rsidRPr="00AA0504" w:rsidRDefault="00AA0504" w:rsidP="00AA0504">
      <w:pPr>
        <w:pStyle w:val="references"/>
        <w:numPr>
          <w:ilvl w:val="0"/>
          <w:numId w:val="0"/>
        </w:numPr>
        <w:ind w:left="360" w:hanging="360"/>
        <w:jc w:val="left"/>
        <w:rPr>
          <w:rFonts w:eastAsia="MS Mincho"/>
        </w:rPr>
        <w:sectPr w:rsidR="00AA0504" w:rsidRPr="00AA0504" w:rsidSect="004445B3">
          <w:type w:val="continuous"/>
          <w:pgSz w:w="11909" w:h="16834" w:code="9"/>
          <w:pgMar w:top="1080" w:right="734" w:bottom="2434" w:left="734" w:header="720" w:footer="720" w:gutter="0"/>
          <w:cols w:num="2" w:space="360"/>
          <w:docGrid w:linePitch="360"/>
        </w:sectPr>
      </w:pPr>
      <w:r w:rsidRPr="00AA0504">
        <w:rPr>
          <w:rFonts w:eastAsia="MS Mincho"/>
        </w:rPr>
        <w:fldChar w:fldCharType="end"/>
      </w:r>
    </w:p>
    <w:p w:rsidR="008A55B5" w:rsidRPr="00AA0504" w:rsidRDefault="008A55B5" w:rsidP="00D347F2">
      <w:pPr>
        <w:spacing w:after="50" w:line="180" w:lineRule="exact"/>
        <w:jc w:val="both"/>
        <w:rPr>
          <w:sz w:val="16"/>
          <w:szCs w:val="16"/>
        </w:rPr>
      </w:pPr>
    </w:p>
    <w:sectPr w:rsidR="008A55B5" w:rsidRPr="00AA0504"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91D1F"/>
    <w:rsid w:val="000B4641"/>
    <w:rsid w:val="0010711E"/>
    <w:rsid w:val="00127EDD"/>
    <w:rsid w:val="00276735"/>
    <w:rsid w:val="002864A3"/>
    <w:rsid w:val="002B3B81"/>
    <w:rsid w:val="00311F24"/>
    <w:rsid w:val="00334A75"/>
    <w:rsid w:val="00372A4A"/>
    <w:rsid w:val="003A47B5"/>
    <w:rsid w:val="003A59A6"/>
    <w:rsid w:val="003E508C"/>
    <w:rsid w:val="003F5138"/>
    <w:rsid w:val="004059FE"/>
    <w:rsid w:val="004445B3"/>
    <w:rsid w:val="00450438"/>
    <w:rsid w:val="00484409"/>
    <w:rsid w:val="00557F87"/>
    <w:rsid w:val="005B520E"/>
    <w:rsid w:val="005B535B"/>
    <w:rsid w:val="006108A4"/>
    <w:rsid w:val="0062378F"/>
    <w:rsid w:val="00656DF6"/>
    <w:rsid w:val="006C4648"/>
    <w:rsid w:val="006E54B4"/>
    <w:rsid w:val="0072064C"/>
    <w:rsid w:val="007442B3"/>
    <w:rsid w:val="00753F7B"/>
    <w:rsid w:val="0078398E"/>
    <w:rsid w:val="00787C5A"/>
    <w:rsid w:val="007919DE"/>
    <w:rsid w:val="007C0308"/>
    <w:rsid w:val="008014D2"/>
    <w:rsid w:val="008054BC"/>
    <w:rsid w:val="008A55B5"/>
    <w:rsid w:val="008A75C8"/>
    <w:rsid w:val="009117C1"/>
    <w:rsid w:val="0097508D"/>
    <w:rsid w:val="00A510F7"/>
    <w:rsid w:val="00AA0504"/>
    <w:rsid w:val="00AC6519"/>
    <w:rsid w:val="00BE1CB5"/>
    <w:rsid w:val="00C16EBF"/>
    <w:rsid w:val="00C95571"/>
    <w:rsid w:val="00CB1404"/>
    <w:rsid w:val="00CB66E6"/>
    <w:rsid w:val="00CC6F4B"/>
    <w:rsid w:val="00CD33C8"/>
    <w:rsid w:val="00D347F2"/>
    <w:rsid w:val="00D9156D"/>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6FC92A90-E5DE-4D2A-9EB4-33ACB82E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customStyle="1" w:styleId="BodyTextKeep">
    <w:name w:val="Body Text Keep"/>
    <w:basedOn w:val="Normal"/>
    <w:rsid w:val="00450438"/>
    <w:pPr>
      <w:keepNext/>
      <w:ind w:right="45"/>
      <w:jc w:val="both"/>
    </w:pPr>
    <w:rPr>
      <w:rFonts w:eastAsia="MS Mincho"/>
      <w:sz w:val="18"/>
      <w:szCs w:val="18"/>
      <w:lang w:val="tr-TR"/>
    </w:rPr>
  </w:style>
  <w:style w:type="table" w:styleId="TableGrid">
    <w:name w:val="Table Grid"/>
    <w:basedOn w:val="TableNormal"/>
    <w:rsid w:val="00C16EBF"/>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sid w:val="00C16EBF"/>
    <w:rPr>
      <w:rFonts w:ascii="TimesNewRomanPSMT" w:hAnsi="TimesNewRomanPSMT" w:hint="default"/>
      <w:b w:val="0"/>
      <w:bCs w:val="0"/>
      <w:i w:val="0"/>
      <w:iCs w:val="0"/>
      <w:color w:val="000000"/>
      <w:sz w:val="20"/>
      <w:szCs w:val="20"/>
    </w:rPr>
  </w:style>
  <w:style w:type="table" w:customStyle="1" w:styleId="TableGrid1">
    <w:name w:val="Table Grid1"/>
    <w:basedOn w:val="TableNormal"/>
    <w:next w:val="TableGrid"/>
    <w:rsid w:val="003E508C"/>
    <w:rPr>
      <w:rFonts w:ascii="Times New Roman" w:eastAsia="MS Mincho"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7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package" Target="embeddings/Microsoft_Visio_Drawing2.vsdx"/><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package" Target="embeddings/Microsoft_Visio_Drawing1.vsdx"/><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39494B-1363-41CC-9A14-13D8A3870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11948</Words>
  <Characters>68105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Mesut Uğur</cp:lastModifiedBy>
  <cp:revision>6</cp:revision>
  <dcterms:created xsi:type="dcterms:W3CDTF">2017-12-10T20:15:00Z</dcterms:created>
  <dcterms:modified xsi:type="dcterms:W3CDTF">2017-12-10T21:06:00Z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