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w:t>
      </w:r>
      <w:r w:rsidR="00B97A09">
        <w:t xml:space="preserve">düler Motor Sürücü Sistemi </w:t>
      </w:r>
      <w:r>
        <w:t>Tasarımı</w:t>
      </w:r>
    </w:p>
    <w:p w:rsidR="00842357" w:rsidRPr="009D09D2" w:rsidRDefault="0080791E" w:rsidP="001E0A59">
      <w:pPr>
        <w:pStyle w:val="Title1"/>
        <w:ind w:left="0" w:right="0"/>
      </w:pPr>
      <w:r>
        <w:t xml:space="preserve">Design of an </w:t>
      </w:r>
      <w:r w:rsidR="00B97A09">
        <w:t xml:space="preserve">Integrated Modular Motor Drive </w:t>
      </w:r>
      <w:r>
        <w:t>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 xml:space="preserve">Bu çalışmada, bir Tümleşik Modüler Motor Sürücü (TMMS) sistemi tasarımı gerçekleştirilmiştir. TMMS sistemi için modüler bir </w:t>
      </w:r>
      <w:r w:rsidR="00B97A09">
        <w:rPr>
          <w:i/>
        </w:rPr>
        <w:t>kesirli</w:t>
      </w:r>
      <w:r>
        <w:rPr>
          <w:i/>
        </w:rPr>
        <w:t xml:space="preserve"> oluklu, </w:t>
      </w:r>
      <w:r w:rsidR="00B97A09">
        <w:rPr>
          <w:i/>
        </w:rPr>
        <w:t>konsantre</w:t>
      </w:r>
      <w:r>
        <w:rPr>
          <w:i/>
        </w:rPr>
        <w:t xml:space="preserve"> sargılı (FSCW), sabit mıknatıslı </w:t>
      </w:r>
      <w:r w:rsidR="00E84D9A">
        <w:rPr>
          <w:i/>
        </w:rPr>
        <w:t>senkron motor (PMSM</w:t>
      </w:r>
      <w:r>
        <w:rPr>
          <w:i/>
        </w:rPr>
        <w:t xml:space="preserve">) </w:t>
      </w:r>
      <w:r w:rsidR="007F075D">
        <w:rPr>
          <w:i/>
        </w:rPr>
        <w:t>ile birlikte</w:t>
      </w:r>
      <w:r w:rsidR="0011580F">
        <w:rPr>
          <w:i/>
        </w:rPr>
        <w:t xml:space="preserve"> </w:t>
      </w:r>
      <w:r>
        <w:rPr>
          <w:i/>
        </w:rPr>
        <w:t>Galyum Nitrat (GaN) teknolojisine dayalı modüler motor sürüc</w:t>
      </w:r>
      <w:r w:rsidR="007F075D">
        <w:rPr>
          <w:i/>
        </w:rPr>
        <w:t xml:space="preserve">ü güç katı tasarımı yapılmıştır. Konvansiyonel sistemlere göre </w:t>
      </w:r>
      <w:r w:rsidR="00B97A09">
        <w:rPr>
          <w:i/>
        </w:rPr>
        <w:t>%2’lik</w:t>
      </w:r>
      <w:r w:rsidR="007F075D">
        <w:rPr>
          <w:i/>
        </w:rPr>
        <w:t xml:space="preserve">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w:t>
      </w:r>
      <w:r w:rsidR="00B97A09">
        <w:rPr>
          <w:i/>
        </w:rPr>
        <w:t>,</w:t>
      </w:r>
      <w:r w:rsidR="007F075D">
        <w:rPr>
          <w:i/>
        </w:rPr>
        <w:t xml:space="preserve"> sığa </w:t>
      </w:r>
      <w:r w:rsidR="00B97A09">
        <w:rPr>
          <w:i/>
        </w:rPr>
        <w:t>ve</w:t>
      </w:r>
      <w:r w:rsidR="007F075D">
        <w:rPr>
          <w:i/>
        </w:rPr>
        <w:t xml:space="preserve"> akım gereksinimi yaklaşık yarı yarıya </w:t>
      </w:r>
      <w:r w:rsidR="00B97A09">
        <w:rPr>
          <w:i/>
        </w:rPr>
        <w:t>azaltılmıştır</w:t>
      </w:r>
      <w:r w:rsidR="007F075D">
        <w:rPr>
          <w:i/>
        </w:rPr>
        <w:t>.</w:t>
      </w:r>
      <w:r w:rsidR="008138E9">
        <w:rPr>
          <w:i/>
        </w:rPr>
        <w:t xml:space="preserve"> Tasarlanan sistemin başarımı,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w:t>
      </w:r>
      <w:r w:rsidR="00E84D9A">
        <w:rPr>
          <w:i/>
        </w:rPr>
        <w:t xml:space="preserve">senkron </w:t>
      </w:r>
      <w:r w:rsidR="0016616B">
        <w:rPr>
          <w:i/>
        </w:rPr>
        <w:t>motor,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w:t>
      </w:r>
      <w:r w:rsidR="00E84D9A">
        <w:rPr>
          <w:i/>
          <w:iCs/>
          <w:lang w:val="en-US"/>
        </w:rPr>
        <w:t>synchronous</w:t>
      </w:r>
      <w:r w:rsidR="0011580F" w:rsidRPr="0011580F">
        <w:rPr>
          <w:i/>
          <w:iCs/>
          <w:lang w:val="en-US"/>
        </w:rPr>
        <w:t xml:space="preserve"> </w:t>
      </w:r>
      <w:r w:rsidR="00E84D9A">
        <w:rPr>
          <w:i/>
          <w:iCs/>
          <w:lang w:val="en-US"/>
        </w:rPr>
        <w:t>motor</w:t>
      </w:r>
      <w:r w:rsidR="0011580F" w:rsidRPr="0011580F">
        <w:rPr>
          <w:i/>
          <w:iCs/>
          <w:lang w:val="en-US"/>
        </w:rPr>
        <w:t xml:space="preserve"> (PM</w:t>
      </w:r>
      <w:r w:rsidR="00E84D9A">
        <w:rPr>
          <w:i/>
          <w:iCs/>
          <w:lang w:val="en-US"/>
        </w:rPr>
        <w:t>SM</w:t>
      </w:r>
      <w:r w:rsidR="0011580F" w:rsidRPr="0011580F">
        <w:rPr>
          <w:i/>
          <w:iCs/>
          <w:lang w:val="en-US"/>
        </w:rPr>
        <w:t xml:space="preserve">) </w:t>
      </w:r>
      <w:r w:rsidR="003F497F">
        <w:rPr>
          <w:i/>
          <w:iCs/>
          <w:lang w:val="en-US"/>
        </w:rPr>
        <w:t xml:space="preserve">and the </w:t>
      </w:r>
      <w:r w:rsidR="0011580F">
        <w:rPr>
          <w:i/>
          <w:iCs/>
          <w:lang w:val="en-US"/>
        </w:rPr>
        <w:t xml:space="preserve">modular motor drive power stage is performed </w:t>
      </w:r>
      <w:r w:rsidR="00E84D9A">
        <w:rPr>
          <w:i/>
          <w:iCs/>
          <w:lang w:val="en-US"/>
        </w:rPr>
        <w:t xml:space="preserve">which is </w:t>
      </w:r>
      <w:r w:rsidR="0011580F">
        <w:rPr>
          <w:i/>
          <w:iCs/>
          <w:lang w:val="en-US"/>
        </w:rPr>
        <w:t xml:space="preserve">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Power density values larger than 15 W/cm</w:t>
      </w:r>
      <w:r w:rsidR="003D360E">
        <w:rPr>
          <w:i/>
          <w:iCs/>
          <w:vertAlign w:val="superscript"/>
          <w:lang w:val="en-US"/>
        </w:rPr>
        <w:t>3</w:t>
      </w:r>
      <w:r w:rsidR="003F497F">
        <w:rPr>
          <w:i/>
          <w:iCs/>
          <w:lang w:val="en-US"/>
        </w:rPr>
        <w:t xml:space="preserve"> </w:t>
      </w:r>
      <w:r w:rsidR="00E84D9A">
        <w:rPr>
          <w:i/>
          <w:iCs/>
          <w:lang w:val="en-US"/>
        </w:rPr>
        <w:t>has been</w:t>
      </w:r>
      <w:r w:rsidR="003F497F">
        <w:rPr>
          <w:i/>
          <w:iCs/>
          <w:lang w:val="en-US"/>
        </w:rPr>
        <w:t xml:space="preserve"> achieved with the IMMD system which is not possible for a conventional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w:t>
      </w:r>
      <w:r w:rsidR="00E84D9A">
        <w:rPr>
          <w:i/>
          <w:lang w:val="en-US"/>
        </w:rPr>
        <w:t>synchronous motor</w:t>
      </w:r>
      <w:r w:rsidR="0030012D">
        <w:rPr>
          <w:i/>
          <w:lang w:val="en-US"/>
        </w:rPr>
        <w:t>, gallium nitride</w:t>
      </w:r>
      <w:r w:rsidR="003F497F">
        <w:rPr>
          <w:i/>
          <w:lang w:val="en-US"/>
        </w:rPr>
        <w:t>, DC bus capacitor bank</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w:t>
      </w:r>
      <w:r w:rsidR="00B97A09">
        <w:t>ayrı birim</w:t>
      </w:r>
      <w:r w:rsidR="00E84D9A">
        <w:t>ler</w:t>
      </w:r>
      <w:r w:rsidR="00B97A09">
        <w:t xml:space="preserve"> olarak kullanılır</w:t>
      </w:r>
      <w:r>
        <w:t xml:space="preserve"> ve motora uzun kablolar ile </w:t>
      </w:r>
      <w:r>
        <w:t>bağlanırlar. Motorun ve sürücünün ayrı</w:t>
      </w:r>
      <w:r w:rsidR="00B97A09">
        <w:t xml:space="preserve"> birimler</w:t>
      </w:r>
      <w:r>
        <w:t xml:space="preserve">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E84D9A">
        <w:t>tator sargılarındaki</w:t>
      </w:r>
      <w:r w:rsidR="005D1F97">
        <w:t xml:space="preserve"> izolasyon</w:t>
      </w:r>
      <w:r w:rsidR="00E84D9A">
        <w:t>un</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B97A09" w:rsidRDefault="00972934" w:rsidP="009D09D2">
      <w:pPr>
        <w:pStyle w:val="BodyTextKeep"/>
        <w:keepNext w:val="0"/>
        <w:ind w:right="0"/>
      </w:pPr>
      <w:r>
        <w:t xml:space="preserve">Son yıllarda, bahsedilen problemlere çözüm olabilecek, Tümleşik </w:t>
      </w:r>
      <w:r w:rsidR="00E84D9A">
        <w:t xml:space="preserve">Modüler </w:t>
      </w:r>
      <w:r>
        <w:t xml:space="preserve">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B97A09">
        <w:t>.</w:t>
      </w:r>
    </w:p>
    <w:p w:rsidR="00B97A09" w:rsidRDefault="00B97A09" w:rsidP="009D09D2">
      <w:pPr>
        <w:pStyle w:val="BodyTextKeep"/>
        <w:keepNext w:val="0"/>
        <w:ind w:right="0"/>
      </w:pPr>
    </w:p>
    <w:p w:rsidR="005556B5" w:rsidRDefault="005556B5" w:rsidP="009D09D2">
      <w:pPr>
        <w:pStyle w:val="BodyTextKeep"/>
        <w:keepNext w:val="0"/>
        <w:ind w:right="0"/>
      </w:pPr>
      <w: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w:t>
      </w:r>
    </w:p>
    <w:p w:rsidR="005556B5" w:rsidRDefault="005556B5" w:rsidP="009D09D2">
      <w:pPr>
        <w:pStyle w:val="BodyTextKeep"/>
        <w:keepNext w:val="0"/>
        <w:ind w:right="0"/>
      </w:pPr>
    </w:p>
    <w:p w:rsidR="00DA6DBB" w:rsidRDefault="005556B5" w:rsidP="009D09D2">
      <w:pPr>
        <w:pStyle w:val="BodyTextKeep"/>
        <w:keepNext w:val="0"/>
        <w:ind w:right="0"/>
      </w:pPr>
      <w:r>
        <w:t xml:space="preserve">Tüm bu avantajların yanında, motorun ve sürücünün bütünleştirilmesinden dolayı pek çok </w:t>
      </w:r>
      <w:r w:rsidR="00B97A09">
        <w:t xml:space="preserve">zorlukla </w:t>
      </w:r>
      <w:r w:rsidR="00B97A09">
        <w:lastRenderedPageBreak/>
        <w:t>karşılaşılmaktadır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B97A09">
        <w:t>parazi</w:t>
      </w:r>
      <w:r w:rsidR="008138E9">
        <w: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Motor sürücünün motorla bütünleştirilmesi farklı şekillerde yapılabilmektedir. Bu makalede, stator nüve</w:t>
      </w:r>
      <w:r w:rsidR="00B97A09">
        <w:rPr>
          <w:sz w:val="18"/>
          <w:szCs w:val="18"/>
        </w:rPr>
        <w:t>si</w:t>
      </w:r>
      <w:r w:rsidRPr="006B1A1F">
        <w:rPr>
          <w:sz w:val="18"/>
          <w:szCs w:val="18"/>
        </w:rPr>
        <w:t xml:space="preserve"> üzerin</w:t>
      </w:r>
      <w:r w:rsidR="00B97A09">
        <w:rPr>
          <w:sz w:val="18"/>
          <w:szCs w:val="18"/>
        </w:rPr>
        <w:t>d</w:t>
      </w:r>
      <w:r w:rsidRPr="006B1A1F">
        <w:rPr>
          <w:sz w:val="18"/>
          <w:szCs w:val="18"/>
        </w:rPr>
        <w:t xml:space="preserve">e bütünleştirme adı verilen ve sistemi aynı zamanda modüler haline getiren yapı üzerinde durulmuştur. Bu yapıda her bir parça, bir bölünmüş stator kutbu, </w:t>
      </w:r>
      <w:r w:rsidR="00B97A09">
        <w:rPr>
          <w:sz w:val="18"/>
          <w:szCs w:val="18"/>
        </w:rPr>
        <w:t>konsantre</w:t>
      </w:r>
      <w:r w:rsidRPr="006B1A1F">
        <w:rPr>
          <w:sz w:val="18"/>
          <w:szCs w:val="18"/>
        </w:rPr>
        <w:t xml:space="preserve"> sargı ve denetleyicisi üzerinde olan ve ilgili stator sargısına özel güç çeviricisinden oluşur. Bahsedilen TMMS yapısına dair örnekler </w:t>
      </w:r>
      <w:r w:rsidR="00763558">
        <w:rPr>
          <w:sz w:val="18"/>
          <w:szCs w:val="18"/>
        </w:rPr>
        <w:t>Şekil 1’</w:t>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97A09" w:rsidRPr="006B1A1F" w:rsidRDefault="00B97A09" w:rsidP="00B22CD7">
      <w:pPr>
        <w:keepNext/>
        <w:rPr>
          <w:sz w:val="18"/>
          <w:szCs w:val="18"/>
        </w:rPr>
      </w:pPr>
      <w:r>
        <w:rPr>
          <w:noProof/>
          <w:sz w:val="18"/>
          <w:szCs w:val="18"/>
          <w:lang w:val="en-US"/>
        </w:rPr>
        <w:drawing>
          <wp:inline distT="0" distB="0" distL="0" distR="0">
            <wp:extent cx="28740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010" cy="1181735"/>
                    </a:xfrm>
                    <a:prstGeom prst="rect">
                      <a:avLst/>
                    </a:prstGeom>
                    <a:noFill/>
                    <a:ln>
                      <a:noFill/>
                    </a:ln>
                  </pic:spPr>
                </pic:pic>
              </a:graphicData>
            </a:graphic>
          </wp:inline>
        </w:drawing>
      </w:r>
    </w:p>
    <w:p w:rsidR="00B22CD7" w:rsidRPr="006B1A1F" w:rsidRDefault="00763558" w:rsidP="003C53FF">
      <w:pPr>
        <w:pStyle w:val="Caption"/>
        <w:jc w:val="center"/>
      </w:pPr>
      <w:r>
        <w:t xml:space="preserve">Şekil 1. </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E84D9A" w:rsidRDefault="003C53FF" w:rsidP="00E84D9A">
      <w:pPr>
        <w:pStyle w:val="BodyTextKeep"/>
        <w:keepNext w:val="0"/>
        <w:ind w:right="0"/>
      </w:pPr>
      <w:r w:rsidRPr="006B1A1F">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w:t>
      </w:r>
      <w:r w:rsidR="00E84D9A">
        <w:t>düler hale gelmekte, yedeklilik özelliği</w:t>
      </w:r>
      <w:r w:rsidRPr="006B1A1F">
        <w:t xml:space="preserve"> ve hata toleransı artmaktadır. Ayrıca motor sürücü parçalarının farklı şekillerde bağlanabilmesi sayesinde tasarımdaki esneklik artmaktadır. </w:t>
      </w:r>
      <w:r w:rsidR="00E84D9A">
        <w:t xml:space="preserve">Konsantre sargılı motorlar üretim kolaylığı açısından ve modüler stator yapısına uygunluğundan dolayı tercih edilmektedir. FSCW-PMSM motorlar, yüksek güç ve moment yoğunluğuna, yüksek verime, düşük vuruntu momentine sahiptir ve hata toleransları iyidir </w:t>
      </w:r>
      <w:r w:rsidR="00E84D9A">
        <w:fldChar w:fldCharType="begin" w:fldLock="1"/>
      </w:r>
      <w:r w:rsidR="00E84D9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E84D9A">
        <w:fldChar w:fldCharType="separate"/>
      </w:r>
      <w:r w:rsidR="00E84D9A" w:rsidRPr="001210DD">
        <w:rPr>
          <w:noProof/>
        </w:rPr>
        <w:t>[9]</w:t>
      </w:r>
      <w:r w:rsidR="00E84D9A">
        <w:fldChar w:fldCharType="end"/>
      </w:r>
      <w:r w:rsidR="00E84D9A">
        <w:t>.</w:t>
      </w:r>
      <w:r w:rsidR="000B25A5">
        <w:t xml:space="preserve"> </w:t>
      </w:r>
    </w:p>
    <w:p w:rsidR="00B22CD7" w:rsidRDefault="00B22CD7"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771E8">
        <w:rPr>
          <w:sz w:val="18"/>
          <w:szCs w:val="18"/>
        </w:rPr>
        <w:t xml:space="preserve">Şekil 2’de </w:t>
      </w:r>
      <w:r w:rsidR="006B1A1F" w:rsidRPr="006B1A1F">
        <w:rPr>
          <w:sz w:val="18"/>
          <w:szCs w:val="18"/>
        </w:rPr>
        <w:t>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w:t>
      </w:r>
      <w:r w:rsidR="001136AB" w:rsidRPr="006B1A1F">
        <w:rPr>
          <w:sz w:val="18"/>
          <w:szCs w:val="18"/>
        </w:rPr>
        <w:t>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14:anchorId="612E2D60" wp14:editId="438F9BC9">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0907AA" w:rsidP="00403DC2">
      <w:pPr>
        <w:pStyle w:val="Caption"/>
        <w:jc w:val="center"/>
      </w:pPr>
      <w:r>
        <w:t xml:space="preserve">Şekil 2. </w:t>
      </w:r>
      <w:r w:rsidR="006B1A1F">
        <w:t>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w:t>
      </w:r>
      <w:r w:rsidR="0074105F">
        <w:rPr>
          <w:sz w:val="18"/>
          <w:szCs w:val="18"/>
        </w:rPr>
        <w:t>rler. Geleneksel yarıiletkenlerl</w:t>
      </w:r>
      <w:r>
        <w:rPr>
          <w:sz w:val="18"/>
          <w:szCs w:val="18"/>
        </w:rPr>
        <w:t xml:space="preserve">e (IGBT gibi) </w:t>
      </w:r>
      <w:r w:rsidR="0074105F">
        <w:rPr>
          <w:sz w:val="18"/>
          <w:szCs w:val="18"/>
        </w:rPr>
        <w:t xml:space="preserve">yapılan </w:t>
      </w:r>
      <w:r>
        <w:rPr>
          <w:sz w:val="18"/>
          <w:szCs w:val="18"/>
        </w:rPr>
        <w:t>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[10]", "plainTextFormattedCitation" : "[8], [10]", "previouslyFormattedCitation" : "[8],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[8], [10]</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0B25A5">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"[10]", "plainTextFormattedCitation" : "[10]", "previouslyFormattedCitation" :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[10]</w:t>
      </w:r>
      <w:r w:rsidR="00C54657">
        <w:rPr>
          <w:sz w:val="18"/>
          <w:szCs w:val="18"/>
        </w:rPr>
        <w:fldChar w:fldCharType="end"/>
      </w:r>
      <w:r w:rsidR="005B2D2E">
        <w:rPr>
          <w:sz w:val="18"/>
          <w:szCs w:val="18"/>
        </w:rPr>
        <w:t>.</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w:t>
      </w:r>
      <w:r w:rsidR="0074105F">
        <w:rPr>
          <w:sz w:val="18"/>
          <w:szCs w:val="18"/>
        </w:rPr>
        <w:t>%20’sini</w:t>
      </w:r>
      <w:r w:rsidR="00C54657">
        <w:rPr>
          <w:sz w:val="18"/>
          <w:szCs w:val="18"/>
        </w:rPr>
        <w:t xml:space="preserve">, </w:t>
      </w:r>
      <w:r>
        <w:rPr>
          <w:sz w:val="18"/>
          <w:szCs w:val="18"/>
        </w:rPr>
        <w:t xml:space="preserve">ağırlığının </w:t>
      </w:r>
      <w:r w:rsidR="00C54657">
        <w:rPr>
          <w:sz w:val="18"/>
          <w:szCs w:val="18"/>
        </w:rPr>
        <w:t xml:space="preserve">ise </w:t>
      </w:r>
      <w:r w:rsidR="0074105F">
        <w:rPr>
          <w:sz w:val="18"/>
          <w:szCs w:val="18"/>
        </w:rPr>
        <w:t>%30’unu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w:t>
      </w:r>
      <w:r w:rsidR="000B25A5">
        <w:rPr>
          <w:sz w:val="18"/>
          <w:szCs w:val="18"/>
        </w:rPr>
        <w:t>sığa değerlerinin</w:t>
      </w:r>
      <w:r>
        <w:rPr>
          <w:sz w:val="18"/>
          <w:szCs w:val="18"/>
        </w:rPr>
        <w:t xml:space="preserve"> yüksek olması sebebiyle tercih edilmektedir. Ancak bu </w:t>
      </w:r>
      <w:r w:rsidR="00C6224D">
        <w:rPr>
          <w:sz w:val="18"/>
          <w:szCs w:val="18"/>
        </w:rPr>
        <w:t xml:space="preserve">kondansatör tipinin ömrü </w:t>
      </w:r>
      <w:r w:rsidR="000B25A5">
        <w:rPr>
          <w:sz w:val="18"/>
          <w:szCs w:val="18"/>
        </w:rPr>
        <w:t>çalışma değerlerine bağımlıdır ve görece kısadır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[11]</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D56760" w:rsidRPr="009D09D2" w:rsidRDefault="00D56760" w:rsidP="00D56760">
      <w:pPr>
        <w:pStyle w:val="Heading1"/>
      </w:pPr>
      <w:r>
        <w:t>TMMS Tasarımı</w:t>
      </w:r>
    </w:p>
    <w:p w:rsidR="000B25A5" w:rsidRDefault="002A6340" w:rsidP="000B25A5">
      <w:pPr>
        <w:rPr>
          <w:sz w:val="18"/>
          <w:szCs w:val="18"/>
        </w:rPr>
      </w:pPr>
      <w:r w:rsidRPr="000B25A5">
        <w:rPr>
          <w:sz w:val="18"/>
          <w:szCs w:val="18"/>
        </w:rPr>
        <w:t xml:space="preserve">Bu bildiride gerçekleştiren tasarımda motor sürücü giriş devresi standart diyot köprü doğrultucu olarak düşünülmüştür ve </w:t>
      </w:r>
      <w:r w:rsidR="00403DC2" w:rsidRPr="000B25A5">
        <w:rPr>
          <w:sz w:val="18"/>
          <w:szCs w:val="18"/>
        </w:rPr>
        <w:t xml:space="preserve">giriş tarafının motor sürücüye </w:t>
      </w:r>
      <w:r w:rsidRPr="000B25A5">
        <w:rPr>
          <w:sz w:val="18"/>
          <w:szCs w:val="18"/>
        </w:rPr>
        <w:t>etkileri kapsamın dı</w:t>
      </w:r>
      <w:r w:rsidR="00403DC2" w:rsidRPr="000B25A5">
        <w:rPr>
          <w:sz w:val="18"/>
          <w:szCs w:val="18"/>
        </w:rPr>
        <w:t>şında bırakılmıştır.</w:t>
      </w:r>
      <w:r w:rsidR="002D44E0" w:rsidRPr="000B25A5">
        <w:rPr>
          <w:sz w:val="18"/>
          <w:szCs w:val="18"/>
        </w:rPr>
        <w:t xml:space="preserve"> Sistemde kullanılan doğrultucu devre şeması</w:t>
      </w:r>
      <w:r w:rsidR="00585629" w:rsidRPr="000B25A5">
        <w:rPr>
          <w:sz w:val="18"/>
          <w:szCs w:val="18"/>
        </w:rPr>
        <w:t xml:space="preserve"> Şekil 3’te</w:t>
      </w:r>
      <w:r w:rsidR="002D44E0" w:rsidRPr="000B25A5">
        <w:rPr>
          <w:sz w:val="18"/>
          <w:szCs w:val="18"/>
        </w:rPr>
        <w:t xml:space="preserve"> gösterilmiştir. </w:t>
      </w:r>
      <w:r w:rsidR="002062DA" w:rsidRPr="000B25A5">
        <w:rPr>
          <w:sz w:val="18"/>
          <w:szCs w:val="18"/>
        </w:rPr>
        <w:t>Motor olarak</w:t>
      </w:r>
      <w:r w:rsidR="00795619" w:rsidRPr="000B25A5">
        <w:rPr>
          <w:sz w:val="18"/>
          <w:szCs w:val="18"/>
        </w:rPr>
        <w:t xml:space="preserve"> ise </w:t>
      </w:r>
      <w:r w:rsidR="00B97A09" w:rsidRPr="000B25A5">
        <w:rPr>
          <w:sz w:val="18"/>
          <w:szCs w:val="18"/>
        </w:rPr>
        <w:t>konsantre</w:t>
      </w:r>
      <w:r w:rsidR="00795619" w:rsidRPr="000B25A5">
        <w:rPr>
          <w:sz w:val="18"/>
          <w:szCs w:val="18"/>
        </w:rPr>
        <w:t xml:space="preserve"> sargılı </w:t>
      </w:r>
      <w:r w:rsidR="00B97A09" w:rsidRPr="000B25A5">
        <w:rPr>
          <w:sz w:val="18"/>
          <w:szCs w:val="18"/>
        </w:rPr>
        <w:t>kesirli</w:t>
      </w:r>
      <w:r w:rsidR="00795619" w:rsidRPr="000B25A5">
        <w:rPr>
          <w:sz w:val="18"/>
          <w:szCs w:val="18"/>
        </w:rPr>
        <w:t xml:space="preserve"> oluklu stator yapısına sahip, üç fazlı sabit mıknatıslı </w:t>
      </w:r>
      <w:r w:rsidR="000B25A5" w:rsidRPr="000B25A5">
        <w:rPr>
          <w:sz w:val="18"/>
          <w:szCs w:val="18"/>
        </w:rPr>
        <w:t>senkron motor</w:t>
      </w:r>
      <w:r w:rsidR="00795619" w:rsidRPr="000B25A5">
        <w:rPr>
          <w:sz w:val="18"/>
          <w:szCs w:val="18"/>
        </w:rPr>
        <w:t xml:space="preserve"> kullanılmıştır. T</w:t>
      </w:r>
      <w:r w:rsidR="00403DC2" w:rsidRPr="000B25A5">
        <w:rPr>
          <w:sz w:val="18"/>
          <w:szCs w:val="18"/>
        </w:rPr>
        <w:t>asarımda kullanılan anma değerleri</w:t>
      </w:r>
      <w:r w:rsidR="00085FE5" w:rsidRPr="000B25A5">
        <w:rPr>
          <w:sz w:val="18"/>
          <w:szCs w:val="18"/>
        </w:rPr>
        <w:t xml:space="preserve"> Tablo 1</w:t>
      </w:r>
      <w:r w:rsidR="00403DC2" w:rsidRPr="000B25A5">
        <w:rPr>
          <w:sz w:val="18"/>
          <w:szCs w:val="18"/>
        </w:rPr>
        <w:t>’de gösterilmiştir.</w:t>
      </w:r>
      <w:r w:rsidR="000B25A5" w:rsidRPr="000B25A5">
        <w:rPr>
          <w:sz w:val="18"/>
          <w:szCs w:val="18"/>
        </w:rPr>
        <w:t xml:space="preserve"> </w:t>
      </w:r>
    </w:p>
    <w:p w:rsidR="000B25A5" w:rsidRDefault="000B25A5" w:rsidP="000B25A5">
      <w:pPr>
        <w:rPr>
          <w:sz w:val="18"/>
          <w:szCs w:val="18"/>
        </w:rPr>
      </w:pPr>
    </w:p>
    <w:p w:rsidR="000B25A5" w:rsidRPr="000B25A5" w:rsidRDefault="000B25A5" w:rsidP="000B25A5">
      <w:pPr>
        <w:rPr>
          <w:sz w:val="18"/>
          <w:szCs w:val="18"/>
        </w:rPr>
      </w:pPr>
      <w:r w:rsidRPr="000B25A5">
        <w:rPr>
          <w:sz w:val="18"/>
          <w:szCs w:val="18"/>
        </w:rPr>
        <w:t xml:space="preserve">Tasarım aşamasında belirlenmesi gereken ilk parametre kullanılacak modül sayısıdır. Daha önce bahsedildiği gibi, </w:t>
      </w:r>
      <w:r w:rsidRPr="000B25A5">
        <w:rPr>
          <w:sz w:val="18"/>
          <w:szCs w:val="18"/>
        </w:rPr>
        <w:lastRenderedPageBreak/>
        <w:t xml:space="preserve">önerilen TMMS topolojisi esnek bir yapıya sahiptir, yani istenilen sayıda sürücü modülü DA bara üzerinde seri ve/veya paralel olarak bağlanabilmektedir. Yüksek sürücü verimine ulaşabilmek için yeni nesil WBG güç yarıiletkenlerinden olan GaN’lar kullanılacaktır. Şu anda piyasadan hazır temin edilebilen GaN ürünleri en fazla 650V dayanma gerilimine sahiptir </w:t>
      </w:r>
      <w:r w:rsidRPr="000B25A5">
        <w:rPr>
          <w:sz w:val="18"/>
          <w:szCs w:val="18"/>
        </w:rPr>
        <w:fldChar w:fldCharType="begin" w:fldLock="1"/>
      </w:r>
      <w:r w:rsidRPr="000B25A5">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"[12]", "plainTextFormattedCitation" : "[12]", "previouslyFormattedCitation" : "[13]" }, "properties" : { "noteIndex" : 0 }, "schema" : "https://github.com/citation-style-language/schema/raw/master/csl-citation.json" }</w:instrText>
      </w:r>
      <w:r w:rsidRPr="000B25A5">
        <w:rPr>
          <w:sz w:val="18"/>
          <w:szCs w:val="18"/>
        </w:rPr>
        <w:fldChar w:fldCharType="separate"/>
      </w:r>
      <w:r w:rsidRPr="000B25A5">
        <w:rPr>
          <w:noProof/>
          <w:sz w:val="18"/>
          <w:szCs w:val="18"/>
        </w:rPr>
        <w:t>[12]</w:t>
      </w:r>
      <w:r w:rsidRPr="000B25A5">
        <w:rPr>
          <w:sz w:val="18"/>
          <w:szCs w:val="18"/>
        </w:rPr>
        <w:fldChar w:fldCharType="end"/>
      </w:r>
      <w:r w:rsidRPr="000B25A5">
        <w:rPr>
          <w:sz w:val="18"/>
          <w:szCs w:val="18"/>
        </w:rPr>
        <w:t xml:space="preserve">. İki seviyeli evirici modülleri kullanıldığında mevcut DA bara gerilimine uyumlu olarak gerekli olan transistor minimum dayanma gerilimi DA baranın 1,5 katı, yani 810 V olmalıdır. Bu değer hesaplanırken motor sürücüdeki parazitik indüktansların (transistor, kondansatör ve </w:t>
      </w:r>
      <w:r>
        <w:rPr>
          <w:sz w:val="18"/>
          <w:szCs w:val="18"/>
        </w:rPr>
        <w:t xml:space="preserve">DA </w:t>
      </w:r>
      <w:r w:rsidRPr="000B25A5">
        <w:rPr>
          <w:sz w:val="18"/>
          <w:szCs w:val="18"/>
        </w:rPr>
        <w:t>baradan kaynaklı) anahtarlama anlarında transistorlar üzerinde yarattığı gerilim yükselmelerinden dolayı güvenlik payı bırakılmıştır.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35pt;height:88.75pt" o:ole="">
            <v:imagedata r:id="rId11" o:title=""/>
          </v:shape>
          <o:OLEObject Type="Embed" ProgID="Visio.Drawing.15" ShapeID="_x0000_i1025" DrawAspect="Content" ObjectID="_1564734556" r:id="rId12"/>
        </w:object>
      </w:r>
    </w:p>
    <w:p w:rsidR="00951A75" w:rsidRDefault="00585629" w:rsidP="00951A75">
      <w:pPr>
        <w:pStyle w:val="Caption"/>
      </w:pPr>
      <w:bookmarkStart w:id="0" w:name="_Ref484542839"/>
      <w:r>
        <w:t>Şekil 3.</w:t>
      </w:r>
      <w:r w:rsidR="00E35B6E">
        <w:t xml:space="preserve"> </w:t>
      </w:r>
      <w:r w:rsidR="002D44E0">
        <w:t>Sistemde kullanılan doğrultucu devre şeması</w:t>
      </w:r>
      <w:bookmarkEnd w:id="0"/>
    </w:p>
    <w:p w:rsidR="000B25A5" w:rsidRDefault="000B25A5" w:rsidP="000B25A5">
      <w:pPr>
        <w:pStyle w:val="Caption"/>
        <w:keepNext/>
        <w:jc w:val="center"/>
      </w:pPr>
      <w:bookmarkStart w:id="1" w:name="_Ref483050677"/>
      <w:r>
        <w:t>Tablo</w:t>
      </w:r>
      <w:bookmarkEnd w:id="1"/>
      <w:r>
        <w:t xml:space="preserve"> 1: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DA bara gerilimi</w:t>
            </w:r>
          </w:p>
        </w:tc>
        <w:tc>
          <w:tcPr>
            <w:tcW w:w="1166" w:type="dxa"/>
            <w:shd w:val="clear" w:color="auto" w:fill="FFFFFF"/>
          </w:tcPr>
          <w:p w:rsidR="000B25A5" w:rsidRPr="009D09D2" w:rsidRDefault="000B25A5" w:rsidP="00E53276">
            <w:pPr>
              <w:ind w:right="45"/>
              <w:jc w:val="center"/>
              <w:rPr>
                <w:sz w:val="18"/>
              </w:rPr>
            </w:pPr>
            <w:r>
              <w:rPr>
                <w:sz w:val="18"/>
              </w:rPr>
              <w:t>540 V</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toplam çıkış gücü</w:t>
            </w:r>
          </w:p>
        </w:tc>
        <w:tc>
          <w:tcPr>
            <w:tcW w:w="1166" w:type="dxa"/>
            <w:shd w:val="clear" w:color="auto" w:fill="FFFFFF"/>
          </w:tcPr>
          <w:p w:rsidR="000B25A5" w:rsidRPr="009D09D2" w:rsidRDefault="000B25A5" w:rsidP="00E53276">
            <w:pPr>
              <w:ind w:right="45"/>
              <w:jc w:val="center"/>
              <w:rPr>
                <w:sz w:val="18"/>
              </w:rPr>
            </w:pPr>
            <w:r>
              <w:rPr>
                <w:sz w:val="18"/>
              </w:rPr>
              <w:t>8 kW</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Stator oluk sayısı</w:t>
            </w:r>
          </w:p>
        </w:tc>
        <w:tc>
          <w:tcPr>
            <w:tcW w:w="1166" w:type="dxa"/>
            <w:shd w:val="clear" w:color="auto" w:fill="FFFFFF"/>
          </w:tcPr>
          <w:p w:rsidR="000B25A5" w:rsidRPr="009D09D2" w:rsidRDefault="000B25A5" w:rsidP="00E53276">
            <w:pPr>
              <w:ind w:right="45"/>
              <w:jc w:val="center"/>
              <w:rPr>
                <w:sz w:val="18"/>
              </w:rPr>
            </w:pPr>
            <w:r>
              <w:rPr>
                <w:sz w:val="18"/>
              </w:rPr>
              <w:t>48</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Motor güç faktörü</w:t>
            </w:r>
          </w:p>
        </w:tc>
        <w:tc>
          <w:tcPr>
            <w:tcW w:w="1166" w:type="dxa"/>
            <w:shd w:val="clear" w:color="auto" w:fill="FFFFFF"/>
          </w:tcPr>
          <w:p w:rsidR="000B25A5" w:rsidRDefault="000B25A5" w:rsidP="00E53276">
            <w:pPr>
              <w:ind w:right="45"/>
              <w:jc w:val="center"/>
              <w:rPr>
                <w:sz w:val="18"/>
              </w:rPr>
            </w:pPr>
            <w:r>
              <w:rPr>
                <w:sz w:val="18"/>
              </w:rPr>
              <w:t>0.9</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Motor anma verimi</w:t>
            </w:r>
          </w:p>
        </w:tc>
        <w:tc>
          <w:tcPr>
            <w:tcW w:w="1166" w:type="dxa"/>
            <w:shd w:val="clear" w:color="auto" w:fill="FFFFFF"/>
          </w:tcPr>
          <w:p w:rsidR="000B25A5" w:rsidRDefault="000B25A5" w:rsidP="00E53276">
            <w:pPr>
              <w:ind w:right="45"/>
              <w:jc w:val="center"/>
              <w:rPr>
                <w:sz w:val="18"/>
              </w:rPr>
            </w:pPr>
            <w:r>
              <w:rPr>
                <w:sz w:val="18"/>
              </w:rPr>
              <w:t>% 90</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Rotor kutup sayısı</w:t>
            </w:r>
          </w:p>
        </w:tc>
        <w:tc>
          <w:tcPr>
            <w:tcW w:w="1166" w:type="dxa"/>
            <w:shd w:val="clear" w:color="auto" w:fill="FFFFFF"/>
          </w:tcPr>
          <w:p w:rsidR="000B25A5" w:rsidRDefault="000B25A5" w:rsidP="00E53276">
            <w:pPr>
              <w:ind w:right="45"/>
              <w:jc w:val="center"/>
              <w:rPr>
                <w:sz w:val="18"/>
              </w:rPr>
            </w:pPr>
            <w:r>
              <w:rPr>
                <w:sz w:val="18"/>
              </w:rPr>
              <w:t>40</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anma hızı</w:t>
            </w:r>
          </w:p>
        </w:tc>
        <w:tc>
          <w:tcPr>
            <w:tcW w:w="1166" w:type="dxa"/>
            <w:shd w:val="clear" w:color="auto" w:fill="FFFFFF"/>
          </w:tcPr>
          <w:p w:rsidR="000B25A5" w:rsidRPr="009D09D2" w:rsidRDefault="000B25A5" w:rsidP="00E53276">
            <w:pPr>
              <w:ind w:right="45"/>
              <w:jc w:val="center"/>
              <w:rPr>
                <w:sz w:val="18"/>
              </w:rPr>
            </w:pPr>
            <w:r>
              <w:rPr>
                <w:sz w:val="18"/>
              </w:rPr>
              <w:t>540 rpm</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uzunluğu</w:t>
            </w:r>
          </w:p>
        </w:tc>
        <w:tc>
          <w:tcPr>
            <w:tcW w:w="1166" w:type="dxa"/>
            <w:shd w:val="clear" w:color="auto" w:fill="FFFFFF"/>
          </w:tcPr>
          <w:p w:rsidR="000B25A5" w:rsidRPr="009D09D2" w:rsidRDefault="000B25A5" w:rsidP="00E53276">
            <w:pPr>
              <w:ind w:right="45"/>
              <w:jc w:val="center"/>
              <w:rPr>
                <w:sz w:val="18"/>
              </w:rPr>
            </w:pPr>
            <w:r>
              <w:rPr>
                <w:sz w:val="18"/>
              </w:rPr>
              <w:t>150 mm</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Stator dış çapı</w:t>
            </w:r>
          </w:p>
        </w:tc>
        <w:tc>
          <w:tcPr>
            <w:tcW w:w="1166" w:type="dxa"/>
            <w:shd w:val="clear" w:color="auto" w:fill="FFFFFF"/>
          </w:tcPr>
          <w:p w:rsidR="000B25A5" w:rsidRPr="009D09D2" w:rsidRDefault="000B25A5" w:rsidP="00E53276">
            <w:pPr>
              <w:ind w:right="45"/>
              <w:jc w:val="center"/>
              <w:rPr>
                <w:sz w:val="18"/>
              </w:rPr>
            </w:pPr>
            <w:r>
              <w:rPr>
                <w:sz w:val="18"/>
              </w:rPr>
              <w:t>230 mm</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Stator iç çapı</w:t>
            </w:r>
          </w:p>
        </w:tc>
        <w:tc>
          <w:tcPr>
            <w:tcW w:w="1166" w:type="dxa"/>
            <w:shd w:val="clear" w:color="auto" w:fill="FFFFFF"/>
          </w:tcPr>
          <w:p w:rsidR="000B25A5" w:rsidRPr="009D09D2" w:rsidRDefault="000B25A5" w:rsidP="00E53276">
            <w:pPr>
              <w:ind w:right="45"/>
              <w:jc w:val="center"/>
              <w:rPr>
                <w:sz w:val="18"/>
              </w:rPr>
            </w:pPr>
            <w:r>
              <w:rPr>
                <w:sz w:val="18"/>
              </w:rPr>
              <w:t>150 mm</w:t>
            </w:r>
          </w:p>
        </w:tc>
      </w:tr>
    </w:tbl>
    <w:p w:rsidR="000B25A5" w:rsidRDefault="000B25A5" w:rsidP="000B25A5">
      <w:pPr>
        <w:pStyle w:val="BodyTextKeep"/>
        <w:ind w:right="0"/>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w:t>
      </w:r>
      <w:r w:rsidR="000B25A5">
        <w:t xml:space="preserve"> (w)</w:t>
      </w:r>
      <w:r w:rsidR="002062DA">
        <w:t xml:space="preserve">. </w:t>
      </w:r>
      <w:r w:rsidR="000B25A5">
        <w:t>Bu</w:t>
      </w:r>
      <w:r w:rsidR="002062DA">
        <w:t xml:space="preserve"> değer en az 1 olmalı ve tam sayı olmalıdır. Buna göre, örneğin </w:t>
      </w:r>
      <w:r w:rsidR="00795619">
        <w:t>48</w:t>
      </w:r>
      <w:r w:rsidR="002062DA">
        <w:t xml:space="preserve"> oluklu bir </w:t>
      </w:r>
      <w:r w:rsidR="000B25A5">
        <w:t>motor</w:t>
      </w:r>
      <w:r w:rsidR="002062DA">
        <w:t xml:space="preserve">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003B6CC8">
        <w:t>Şekil 4</w:t>
      </w:r>
      <w:r w:rsidRPr="00A23E4E">
        <w:t>’te</w:t>
      </w:r>
      <w:r w:rsidRPr="00951A75">
        <w:t xml:space="preserve"> gösterilmiştir. </w:t>
      </w:r>
      <w:r>
        <w:t xml:space="preserve">Bu çalışmaya göre, </w:t>
      </w:r>
      <w:r>
        <w:t xml:space="preserve">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rsidR="003B6CC8">
        <w:t>Şekil 5</w:t>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14:anchorId="775834AD" wp14:editId="0DE9B5B4">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3B6CC8" w:rsidP="00A23E4E">
      <w:pPr>
        <w:pStyle w:val="Caption"/>
      </w:pPr>
      <w:bookmarkStart w:id="2" w:name="_Ref484544822"/>
      <w:r>
        <w:t>Şekil 4.</w:t>
      </w:r>
      <w:r w:rsidR="007F03F9">
        <w:t xml:space="preserve"> </w:t>
      </w:r>
      <w:r w:rsidR="00A23E4E">
        <w:t>Interleaving tekniği kullanıldığında DA bara akımının etkin değerinin farklı modül sayıları ve faz kayması açılarına göre değişimi</w:t>
      </w:r>
      <w:bookmarkEnd w:id="2"/>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B97A09">
        <w:t>Kesirli</w:t>
      </w:r>
      <w:r w:rsidR="009A4E6D">
        <w:t xml:space="preserve">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w:t>
      </w:r>
      <w:bookmarkStart w:id="3" w:name="_GoBack"/>
      <w:bookmarkEnd w:id="3"/>
      <w:r w:rsidR="009A4E6D">
        <w:t>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EF2214" w:rsidRPr="009A4E6D" w:rsidRDefault="00F43B90"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F43B90"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F43B90"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F43B90"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026" type="#_x0000_t75" style="width:206.75pt;height:223.15pt" o:ole="">
            <v:imagedata r:id="rId14" o:title=""/>
          </v:shape>
          <o:OLEObject Type="Embed" ProgID="Visio.Drawing.15" ShapeID="_x0000_i1026" DrawAspect="Content" ObjectID="_1564734557" r:id="rId15"/>
        </w:object>
      </w:r>
    </w:p>
    <w:p w:rsidR="00A23E4E" w:rsidRDefault="003B6CC8" w:rsidP="00A23E4E">
      <w:pPr>
        <w:pStyle w:val="Caption"/>
      </w:pPr>
      <w:bookmarkStart w:id="4" w:name="_Ref484545057"/>
      <w:r>
        <w:t>Şeki</w:t>
      </w:r>
      <w:bookmarkEnd w:id="4"/>
      <w:r>
        <w:t>l 5.</w:t>
      </w:r>
      <w:r w:rsidR="00A23E4E">
        <w:t xml:space="preserve"> Önerilen TMMS güç katı topolojisi devre şeması</w:t>
      </w:r>
    </w:p>
    <w:p w:rsid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parametreleri </w:t>
      </w:r>
      <w:r w:rsidR="00085FE5">
        <w:rPr>
          <w:sz w:val="18"/>
          <w:szCs w:val="18"/>
        </w:rPr>
        <w:t>Tablo 2</w:t>
      </w:r>
      <w:r w:rsidR="000C3B19" w:rsidRPr="000C3B19">
        <w:rPr>
          <w:sz w:val="18"/>
          <w:szCs w:val="18"/>
        </w:rPr>
        <w:t>‘de gösterilmiştir.</w:t>
      </w:r>
    </w:p>
    <w:p w:rsidR="000B25A5" w:rsidRDefault="000B25A5" w:rsidP="000C3B19">
      <w:pPr>
        <w:rPr>
          <w:sz w:val="18"/>
          <w:szCs w:val="18"/>
        </w:rPr>
      </w:pPr>
    </w:p>
    <w:p w:rsidR="000B25A5" w:rsidRPr="000B25A5" w:rsidRDefault="000B25A5" w:rsidP="000B25A5">
      <w:pPr>
        <w:rPr>
          <w:sz w:val="18"/>
          <w:szCs w:val="18"/>
        </w:rPr>
      </w:pPr>
      <w:r w:rsidRPr="000B25A5">
        <w:rPr>
          <w:sz w:val="18"/>
          <w:szCs w:val="18"/>
        </w:rPr>
        <w:t>Güç yarıiletken kayıpları, transistor iletim kayıpları (P</w:t>
      </w:r>
      <w:r w:rsidRPr="000B25A5">
        <w:rPr>
          <w:sz w:val="18"/>
          <w:szCs w:val="18"/>
          <w:vertAlign w:val="subscript"/>
        </w:rPr>
        <w:t>tc</w:t>
      </w:r>
      <w:r w:rsidRPr="000B25A5">
        <w:rPr>
          <w:sz w:val="18"/>
          <w:szCs w:val="18"/>
        </w:rPr>
        <w:t>) ve anahtarlama kayıpları (P</w:t>
      </w:r>
      <w:r w:rsidRPr="000B25A5">
        <w:rPr>
          <w:sz w:val="18"/>
          <w:szCs w:val="18"/>
          <w:vertAlign w:val="subscript"/>
        </w:rPr>
        <w:t>ts</w:t>
      </w:r>
      <w:r w:rsidRPr="000B25A5">
        <w:rPr>
          <w:sz w:val="18"/>
          <w:szCs w:val="18"/>
        </w:rPr>
        <w:t>), ters paralel diyot (veya ters iletim transistor) iletim kayıpları (P</w:t>
      </w:r>
      <w:r w:rsidRPr="000B25A5">
        <w:rPr>
          <w:sz w:val="18"/>
          <w:szCs w:val="18"/>
          <w:vertAlign w:val="subscript"/>
        </w:rPr>
        <w:t>dc</w:t>
      </w:r>
      <w:r w:rsidRPr="000B25A5">
        <w:rPr>
          <w:sz w:val="18"/>
          <w:szCs w:val="18"/>
        </w:rPr>
        <w:t>) ve anahtarlama kayıpları (P</w:t>
      </w:r>
      <w:r w:rsidRPr="000B25A5">
        <w:rPr>
          <w:sz w:val="18"/>
          <w:szCs w:val="18"/>
          <w:vertAlign w:val="subscript"/>
        </w:rPr>
        <w:t>dr</w:t>
      </w:r>
      <w:r w:rsidRPr="000B25A5">
        <w:rPr>
          <w:sz w:val="18"/>
          <w:szCs w:val="18"/>
        </w:rPr>
        <w:t>) şeklinde incelenmiştir. Sözü geçen kayıpların hesaplanmasında kullanılan formüller Eşitlik 7-11’de görülebilir. Bu eşitliklerde, E</w:t>
      </w:r>
      <w:r w:rsidRPr="000B25A5">
        <w:rPr>
          <w:sz w:val="18"/>
          <w:szCs w:val="18"/>
          <w:vertAlign w:val="subscript"/>
        </w:rPr>
        <w:t>on</w:t>
      </w:r>
      <w:r w:rsidRPr="000B25A5">
        <w:rPr>
          <w:sz w:val="18"/>
          <w:szCs w:val="18"/>
        </w:rPr>
        <w:t xml:space="preserve"> ve E</w:t>
      </w:r>
      <w:r w:rsidRPr="000B25A5">
        <w:rPr>
          <w:sz w:val="18"/>
          <w:szCs w:val="18"/>
          <w:vertAlign w:val="subscript"/>
        </w:rPr>
        <w:t>off</w:t>
      </w:r>
      <w:r w:rsidRPr="000B25A5">
        <w:rPr>
          <w:sz w:val="18"/>
          <w:szCs w:val="18"/>
        </w:rPr>
        <w:t xml:space="preserve"> açılma ve kapanma enerjileri, I</w:t>
      </w:r>
      <w:r w:rsidRPr="000B25A5">
        <w:rPr>
          <w:sz w:val="18"/>
          <w:szCs w:val="18"/>
          <w:vertAlign w:val="subscript"/>
        </w:rPr>
        <w:t>cp</w:t>
      </w:r>
      <w:r w:rsidRPr="000B25A5">
        <w:rPr>
          <w:sz w:val="18"/>
          <w:szCs w:val="18"/>
        </w:rPr>
        <w:t xml:space="preserve"> ve I</w:t>
      </w:r>
      <w:r w:rsidRPr="000B25A5">
        <w:rPr>
          <w:sz w:val="18"/>
          <w:szCs w:val="18"/>
          <w:vertAlign w:val="subscript"/>
        </w:rPr>
        <w:t>ep</w:t>
      </w:r>
      <w:r w:rsidRPr="000B25A5">
        <w:rPr>
          <w:sz w:val="18"/>
          <w:szCs w:val="18"/>
        </w:rPr>
        <w:t xml:space="preserve"> iletim ve ters </w:t>
      </w:r>
      <w:r w:rsidRPr="000B25A5">
        <w:rPr>
          <w:sz w:val="18"/>
          <w:szCs w:val="18"/>
        </w:rPr>
        <w:t>iletim tepe akımları, V</w:t>
      </w:r>
      <w:r w:rsidRPr="000B25A5">
        <w:rPr>
          <w:sz w:val="18"/>
          <w:szCs w:val="18"/>
          <w:vertAlign w:val="subscript"/>
        </w:rPr>
        <w:t>ce,sat</w:t>
      </w:r>
      <w:r w:rsidRPr="000B25A5">
        <w:rPr>
          <w:sz w:val="18"/>
          <w:szCs w:val="18"/>
        </w:rPr>
        <w:t xml:space="preserve"> doyma gerilim düşümü, R</w:t>
      </w:r>
      <w:r w:rsidRPr="000B25A5">
        <w:rPr>
          <w:sz w:val="18"/>
          <w:szCs w:val="18"/>
          <w:vertAlign w:val="subscript"/>
        </w:rPr>
        <w:t>ds,on</w:t>
      </w:r>
      <w:r w:rsidRPr="000B25A5">
        <w:rPr>
          <w:sz w:val="18"/>
          <w:szCs w:val="18"/>
        </w:rPr>
        <w:t xml:space="preserve"> iletim durumu direnci, V</w:t>
      </w:r>
      <w:r w:rsidRPr="000B25A5">
        <w:rPr>
          <w:sz w:val="18"/>
          <w:szCs w:val="18"/>
          <w:vertAlign w:val="subscript"/>
        </w:rPr>
        <w:t>ec</w:t>
      </w:r>
      <w:r w:rsidRPr="000B25A5">
        <w:rPr>
          <w:sz w:val="18"/>
          <w:szCs w:val="18"/>
        </w:rPr>
        <w:t xml:space="preserve"> diyotun gerilim düşümü, I</w:t>
      </w:r>
      <w:r w:rsidRPr="000B25A5">
        <w:rPr>
          <w:sz w:val="18"/>
          <w:szCs w:val="18"/>
          <w:vertAlign w:val="subscript"/>
        </w:rPr>
        <w:t>rr</w:t>
      </w:r>
      <w:r w:rsidRPr="000B25A5">
        <w:rPr>
          <w:sz w:val="18"/>
          <w:szCs w:val="18"/>
        </w:rPr>
        <w:t xml:space="preserve"> ve t</w:t>
      </w:r>
      <w:r w:rsidRPr="000B25A5">
        <w:rPr>
          <w:sz w:val="18"/>
          <w:szCs w:val="18"/>
          <w:vertAlign w:val="subscript"/>
        </w:rPr>
        <w:t>rr</w:t>
      </w:r>
      <w:r w:rsidRPr="000B25A5">
        <w:rPr>
          <w:sz w:val="18"/>
          <w:szCs w:val="18"/>
        </w:rPr>
        <w:t xml:space="preserve"> diyotlar için toparlanma akımı ve zamanı, ve V</w:t>
      </w:r>
      <w:r w:rsidRPr="000B25A5">
        <w:rPr>
          <w:sz w:val="18"/>
          <w:szCs w:val="18"/>
          <w:vertAlign w:val="subscript"/>
        </w:rPr>
        <w:t>ce,p</w:t>
      </w:r>
      <w:r w:rsidRPr="000B25A5">
        <w:rPr>
          <w:sz w:val="18"/>
          <w:szCs w:val="18"/>
        </w:rPr>
        <w:t xml:space="preserve"> ise ters toparlanma gerilimi tepe değeridir. Kayıp analizi sonuçları ve karşılaştırmalar 4. Bölümde sunulmuştur.</w:t>
      </w:r>
    </w:p>
    <w:p w:rsidR="000B25A5" w:rsidRPr="000C3B19" w:rsidRDefault="000B25A5" w:rsidP="000C3B19">
      <w:pPr>
        <w:rPr>
          <w:sz w:val="18"/>
          <w:szCs w:val="18"/>
        </w:rPr>
      </w:pPr>
    </w:p>
    <w:p w:rsidR="000C3B19" w:rsidRDefault="000C3B19" w:rsidP="000C3B19">
      <w:pPr>
        <w:pStyle w:val="Caption"/>
        <w:keepNext/>
      </w:pPr>
      <w:bookmarkStart w:id="5" w:name="_Ref484549515"/>
      <w:r>
        <w:t xml:space="preserve">Tablo </w:t>
      </w:r>
      <w:r w:rsidR="00A5466C">
        <w:t>2</w:t>
      </w:r>
      <w:r w:rsidR="00085FE5">
        <w:t>:</w:t>
      </w:r>
      <w:r>
        <w:t xml:space="preserve"> Seçilen GaN’lar ve parametreleri</w:t>
      </w:r>
      <w:bookmarkEnd w:id="5"/>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F30255" w:rsidRPr="000B25A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RPr="000B25A5" w:rsidTr="00B95945">
        <w:tc>
          <w:tcPr>
            <w:tcW w:w="3971" w:type="dxa"/>
            <w:vAlign w:val="center"/>
          </w:tcPr>
          <w:p w:rsidR="001E76A7" w:rsidRPr="000B25A5" w:rsidRDefault="00F43B9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0B25A5" w:rsidRDefault="00B95945" w:rsidP="00B95945">
            <w:pPr>
              <w:rPr>
                <w:sz w:val="18"/>
                <w:szCs w:val="18"/>
              </w:rPr>
            </w:pPr>
          </w:p>
        </w:tc>
        <w:tc>
          <w:tcPr>
            <w:tcW w:w="565" w:type="dxa"/>
            <w:vAlign w:val="center"/>
          </w:tcPr>
          <w:p w:rsidR="001E76A7" w:rsidRPr="000B25A5" w:rsidRDefault="00B95945" w:rsidP="00A87F15">
            <w:pPr>
              <w:jc w:val="center"/>
              <w:rPr>
                <w:sz w:val="18"/>
                <w:szCs w:val="18"/>
              </w:rPr>
            </w:pPr>
            <w:r w:rsidRPr="000B25A5">
              <w:rPr>
                <w:sz w:val="18"/>
                <w:szCs w:val="18"/>
              </w:rPr>
              <w:t>(7</w:t>
            </w:r>
            <w:r w:rsidR="001E76A7" w:rsidRPr="000B25A5">
              <w:rPr>
                <w:sz w:val="18"/>
                <w:szCs w:val="18"/>
              </w:rPr>
              <w:t>)</w:t>
            </w:r>
          </w:p>
        </w:tc>
      </w:tr>
      <w:tr w:rsidR="00B95945" w:rsidRPr="000B25A5" w:rsidTr="00B95945">
        <w:tc>
          <w:tcPr>
            <w:tcW w:w="3971" w:type="dxa"/>
            <w:vAlign w:val="center"/>
          </w:tcPr>
          <w:p w:rsidR="00B95945" w:rsidRPr="000B25A5" w:rsidRDefault="00F43B9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(8)</w:t>
            </w:r>
          </w:p>
        </w:tc>
      </w:tr>
      <w:tr w:rsidR="00B95945" w:rsidRPr="000B25A5" w:rsidTr="00B95945">
        <w:tc>
          <w:tcPr>
            <w:tcW w:w="3971" w:type="dxa"/>
            <w:vAlign w:val="center"/>
          </w:tcPr>
          <w:p w:rsidR="00B95945" w:rsidRPr="000B25A5" w:rsidRDefault="00F43B9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(9)</w:t>
            </w:r>
          </w:p>
        </w:tc>
      </w:tr>
      <w:tr w:rsidR="00B95945" w:rsidRPr="000B25A5" w:rsidTr="00B95945">
        <w:tc>
          <w:tcPr>
            <w:tcW w:w="3971" w:type="dxa"/>
            <w:vAlign w:val="center"/>
          </w:tcPr>
          <w:p w:rsidR="00B95945" w:rsidRPr="000B25A5" w:rsidRDefault="00F43B9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(10)</w:t>
            </w:r>
          </w:p>
        </w:tc>
      </w:tr>
      <w:tr w:rsidR="00B95945" w:rsidRPr="000B25A5" w:rsidTr="00B95945">
        <w:tc>
          <w:tcPr>
            <w:tcW w:w="3971" w:type="dxa"/>
            <w:vAlign w:val="center"/>
          </w:tcPr>
          <w:p w:rsidR="00B95945" w:rsidRPr="000B25A5" w:rsidRDefault="00F43B90"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0B25A5" w:rsidRDefault="00B95945" w:rsidP="00B95945">
            <w:pPr>
              <w:jc w:val="center"/>
              <w:rPr>
                <w:sz w:val="18"/>
                <w:szCs w:val="18"/>
              </w:rPr>
            </w:pPr>
            <w:r w:rsidRPr="000B25A5">
              <w:rPr>
                <w:sz w:val="18"/>
                <w:szCs w:val="18"/>
              </w:rPr>
              <w:t>(11)</w:t>
            </w:r>
          </w:p>
        </w:tc>
      </w:tr>
    </w:tbl>
    <w:p w:rsidR="008B729C" w:rsidRPr="000B25A5"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0B25A5">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156E8E">
        <w:fldChar w:fldCharType="separate"/>
      </w:r>
      <w:r w:rsidR="000B25A5" w:rsidRPr="000B25A5">
        <w:rPr>
          <w:noProof/>
        </w:rPr>
        <w:t>[11]</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2A43DF">
        <w:tc>
          <w:tcPr>
            <w:tcW w:w="3978" w:type="dxa"/>
            <w:vAlign w:val="center"/>
          </w:tcPr>
          <w:p w:rsidR="00156E8E" w:rsidRPr="002A43DF" w:rsidRDefault="00F43B90"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M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2A43DF" w:rsidRPr="00156E8E" w:rsidRDefault="002A43DF"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(12)</w:t>
            </w:r>
          </w:p>
        </w:tc>
      </w:tr>
      <w:tr w:rsidR="00156E8E" w:rsidRPr="00156E8E" w:rsidTr="002A43DF">
        <w:tc>
          <w:tcPr>
            <w:tcW w:w="3978" w:type="dxa"/>
            <w:vAlign w:val="center"/>
          </w:tcPr>
          <w:p w:rsidR="00156E8E" w:rsidRPr="00156E8E" w:rsidRDefault="00F43B90"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(13)</w:t>
            </w:r>
          </w:p>
        </w:tc>
      </w:tr>
      <w:tr w:rsidR="00156E8E" w:rsidRPr="00156E8E" w:rsidTr="002A43DF">
        <w:tc>
          <w:tcPr>
            <w:tcW w:w="3978" w:type="dxa"/>
            <w:vAlign w:val="center"/>
          </w:tcPr>
          <w:p w:rsidR="002A43DF" w:rsidRPr="002A43DF" w:rsidRDefault="002A43DF" w:rsidP="002A43DF">
            <w:pPr>
              <w:jc w:val="center"/>
              <w:rPr>
                <w:sz w:val="18"/>
                <w:szCs w:val="18"/>
              </w:rPr>
            </w:pPr>
          </w:p>
          <w:p w:rsidR="00156E8E" w:rsidRPr="00156E8E" w:rsidRDefault="00F43B90"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Pr>
                <w:sz w:val="18"/>
                <w:szCs w:val="18"/>
              </w:rPr>
              <w:t>(14)</w:t>
            </w:r>
          </w:p>
        </w:tc>
      </w:tr>
      <w:tr w:rsidR="00156E8E" w:rsidRPr="00156E8E" w:rsidTr="002A43DF">
        <w:tc>
          <w:tcPr>
            <w:tcW w:w="3978" w:type="dxa"/>
            <w:vAlign w:val="center"/>
          </w:tcPr>
          <w:p w:rsidR="00156E8E" w:rsidRPr="00156E8E" w:rsidRDefault="00F43B90"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558" w:type="dxa"/>
            <w:vAlign w:val="center"/>
          </w:tcPr>
          <w:p w:rsidR="00156E8E" w:rsidRPr="00156E8E" w:rsidRDefault="00460001" w:rsidP="002A43DF">
            <w:pPr>
              <w:jc w:val="center"/>
              <w:rPr>
                <w:sz w:val="18"/>
                <w:szCs w:val="18"/>
              </w:rPr>
            </w:pPr>
            <w:r>
              <w:rPr>
                <w:sz w:val="18"/>
                <w:szCs w:val="18"/>
              </w:rPr>
              <w:t>(15)</w:t>
            </w:r>
          </w:p>
        </w:tc>
      </w:tr>
    </w:tbl>
    <w:p w:rsidR="00842357" w:rsidRPr="009D09D2" w:rsidRDefault="00D56760">
      <w:pPr>
        <w:pStyle w:val="Heading1"/>
      </w:pPr>
      <w:r>
        <w:lastRenderedPageBreak/>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rsidR="00DE73DC">
        <w:t>Şekil 6</w:t>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35pt;height:127.6pt" o:ole="">
            <v:imagedata r:id="rId16" o:title=""/>
          </v:shape>
          <o:OLEObject Type="Embed" ProgID="Visio.Drawing.15" ShapeID="_x0000_i1027" DrawAspect="Content" ObjectID="_1564734558" r:id="rId17"/>
        </w:object>
      </w:r>
    </w:p>
    <w:p w:rsidR="00460001" w:rsidRDefault="00A95865" w:rsidP="00FC52D5">
      <w:pPr>
        <w:pStyle w:val="Caption"/>
      </w:pPr>
      <w:bookmarkStart w:id="6" w:name="_Ref485216246"/>
      <w:bookmarkStart w:id="7" w:name="_Ref485060119"/>
      <w:r>
        <w:t>Şekil</w:t>
      </w:r>
      <w:bookmarkEnd w:id="6"/>
      <w:r w:rsidR="00DE73DC">
        <w:t xml:space="preserve"> 6.</w:t>
      </w:r>
      <w:r>
        <w:t xml:space="preserve"> </w:t>
      </w:r>
      <w:r w:rsidR="00E248D6">
        <w:t>Konvansiyonel motor sürücü sistemi ile TMMS sistemi kayıp analizi sonuçları</w:t>
      </w:r>
      <w:bookmarkEnd w:id="7"/>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w:t>
      </w:r>
      <w:r w:rsidR="002A43DF">
        <w:rPr>
          <w:sz w:val="18"/>
          <w:szCs w:val="18"/>
        </w:rPr>
        <w:t>nahtarlama frekansı üst sınırı 2</w:t>
      </w:r>
      <w:r>
        <w:rPr>
          <w:sz w:val="18"/>
          <w:szCs w:val="18"/>
        </w:rPr>
        <w:t>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w:t>
      </w:r>
      <w:r w:rsidR="0074105F">
        <w:rPr>
          <w:sz w:val="18"/>
          <w:szCs w:val="18"/>
        </w:rPr>
        <w:t>lı uygulamalar</w:t>
      </w:r>
      <w:r>
        <w:rPr>
          <w:sz w:val="18"/>
          <w:szCs w:val="18"/>
        </w:rPr>
        <w:t>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992EE8" w:rsidRDefault="009042B8" w:rsidP="00992EE8">
      <w:pPr>
        <w:rPr>
          <w:sz w:val="18"/>
          <w:szCs w:val="18"/>
        </w:rPr>
      </w:pPr>
      <w:r>
        <w:rPr>
          <w:sz w:val="18"/>
          <w:szCs w:val="18"/>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gerekli en düşük sığa değeri interleaving uygulanmadığında 26 µF, uygulandığında ise yine %48’lik iyileşme ile 14 µF olarak bulunur.</w:t>
      </w:r>
      <w:r w:rsidR="002A43DF">
        <w:rPr>
          <w:sz w:val="18"/>
          <w:szCs w:val="18"/>
        </w:rPr>
        <w:t xml:space="preserve"> </w:t>
      </w:r>
      <w:r w:rsidR="00992EE8">
        <w:rPr>
          <w:sz w:val="18"/>
          <w:szCs w:val="18"/>
        </w:rPr>
        <w:t>Aynı tasarım</w:t>
      </w:r>
      <w:r w:rsidR="00313131">
        <w:rPr>
          <w:sz w:val="18"/>
          <w:szCs w:val="18"/>
        </w:rPr>
        <w:t>,</w:t>
      </w:r>
      <w:r w:rsidR="00992EE8">
        <w:rPr>
          <w:sz w:val="18"/>
          <w:szCs w:val="18"/>
        </w:rPr>
        <w:t xml:space="preserve"> merkezi ve IGBT’li tek bir motor sürücü olduğu durum için de </w:t>
      </w:r>
      <w:r w:rsidR="00313131">
        <w:rPr>
          <w:sz w:val="18"/>
          <w:szCs w:val="18"/>
        </w:rPr>
        <w:t>tekrarlanmış</w:t>
      </w:r>
      <w:r w:rsidR="00992EE8">
        <w:rPr>
          <w:sz w:val="18"/>
          <w:szCs w:val="18"/>
        </w:rPr>
        <w:t xml:space="preserve"> ve bu durumda DA bara kondansatör bankası </w:t>
      </w:r>
      <w:r w:rsidR="00992EE8" w:rsidRPr="002355EF">
        <w:rPr>
          <w:sz w:val="18"/>
          <w:szCs w:val="18"/>
        </w:rPr>
        <w:t xml:space="preserve">akımı etkin değeri </w:t>
      </w:r>
      <w:r w:rsidR="002355EF" w:rsidRPr="002355EF">
        <w:rPr>
          <w:sz w:val="18"/>
          <w:szCs w:val="18"/>
        </w:rPr>
        <w:t>12.78 A</w:t>
      </w:r>
      <w:r w:rsidR="00992EE8" w:rsidRPr="002355EF">
        <w:rPr>
          <w:sz w:val="18"/>
          <w:szCs w:val="18"/>
        </w:rPr>
        <w:t xml:space="preserve">, 10 </w:t>
      </w:r>
      <w:r w:rsidR="00992EE8">
        <w:rPr>
          <w:sz w:val="18"/>
          <w:szCs w:val="18"/>
        </w:rPr>
        <w:t xml:space="preserve">kHz anahtarlama frekansındaki en düşük sığa değeri </w:t>
      </w:r>
      <w:r w:rsidR="002355EF" w:rsidRPr="002355EF">
        <w:rPr>
          <w:sz w:val="18"/>
          <w:szCs w:val="18"/>
        </w:rPr>
        <w:t>100 µF</w:t>
      </w:r>
      <w:r w:rsidR="00992EE8" w:rsidRPr="00992EE8">
        <w:rPr>
          <w:color w:val="FF0000"/>
          <w:sz w:val="18"/>
          <w:szCs w:val="18"/>
        </w:rPr>
        <w:t xml:space="preserve"> </w:t>
      </w:r>
      <w:r w:rsidR="00992EE8">
        <w:rPr>
          <w:sz w:val="18"/>
          <w:szCs w:val="18"/>
        </w:rPr>
        <w:t>olarak bulunur.</w:t>
      </w:r>
      <w:r w:rsidR="002355EF">
        <w:rPr>
          <w:sz w:val="18"/>
          <w:szCs w:val="18"/>
        </w:rPr>
        <w:t xml:space="preserve"> </w:t>
      </w:r>
      <w:r w:rsidR="00992EE8">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w:t>
      </w:r>
      <w:r w:rsidR="00A5466C">
        <w:rPr>
          <w:sz w:val="18"/>
          <w:szCs w:val="18"/>
        </w:rPr>
        <w:t xml:space="preserve"> Tablo 3</w:t>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Benzetim çalışmaları sonucu elde edilen, interleaving tekniği ile ve olmadan DA bara gerilim dalgalanması</w:t>
      </w:r>
      <w:r w:rsidR="006956A5">
        <w:rPr>
          <w:sz w:val="18"/>
          <w:szCs w:val="18"/>
        </w:rPr>
        <w:t xml:space="preserve"> Şekil 7</w:t>
      </w:r>
      <w:r w:rsidR="00107977" w:rsidRPr="00107977">
        <w:rPr>
          <w:sz w:val="18"/>
          <w:szCs w:val="18"/>
        </w:rPr>
        <w:t>’de, kondansatör bankası akım dalgalanması</w:t>
      </w:r>
      <w:r w:rsidR="006956A5">
        <w:rPr>
          <w:sz w:val="18"/>
          <w:szCs w:val="18"/>
        </w:rPr>
        <w:t xml:space="preserve"> Şekil 8’</w:t>
      </w:r>
      <w:r w:rsidR="00107977" w:rsidRPr="00107977">
        <w:rPr>
          <w:sz w:val="18"/>
          <w:szCs w:val="18"/>
        </w:rPr>
        <w:t>de, interleaving tekniği ile oluşan her bir çeviricinin çektiği DA bara akımı ve toplam DA bara akımı</w:t>
      </w:r>
      <w:r w:rsidR="006956A5">
        <w:rPr>
          <w:sz w:val="18"/>
          <w:szCs w:val="18"/>
        </w:rPr>
        <w:t xml:space="preserve"> Şekil 9</w:t>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t>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W/cm</w:t>
      </w:r>
      <w:r w:rsidRPr="00305FC4">
        <w:rPr>
          <w:sz w:val="18"/>
          <w:szCs w:val="18"/>
          <w:vertAlign w:val="superscript"/>
        </w:rPr>
        <w:t>3</w:t>
      </w:r>
      <w:r>
        <w:rPr>
          <w:sz w:val="18"/>
          <w:szCs w:val="18"/>
        </w:rPr>
        <w:t xml:space="preserve"> güç yoğunluğu hedefine mevcut tasarım ile ulaşılabileceği görülmüştür.</w:t>
      </w:r>
    </w:p>
    <w:p w:rsidR="002A43DF" w:rsidRDefault="002A43DF" w:rsidP="00FC52D5">
      <w:pPr>
        <w:rPr>
          <w:sz w:val="18"/>
          <w:szCs w:val="18"/>
        </w:rPr>
      </w:pPr>
    </w:p>
    <w:p w:rsidR="00CC5582" w:rsidRPr="000C3B19" w:rsidRDefault="00CC5582" w:rsidP="00CC5582">
      <w:pPr>
        <w:pStyle w:val="Caption"/>
      </w:pPr>
      <w:bookmarkStart w:id="8" w:name="_Ref485205045"/>
      <w:r>
        <w:t>Tablo</w:t>
      </w:r>
      <w:bookmarkEnd w:id="8"/>
      <w:r w:rsidR="00A5466C">
        <w:t xml:space="preserve"> 3</w:t>
      </w:r>
      <w:r>
        <w:t>: Seçilen kondansatör</w:t>
      </w:r>
      <w:r w:rsidR="0073494C">
        <w:t xml:space="preserve"> veri sayfası</w:t>
      </w:r>
      <w:r>
        <w:t xml:space="preserve"> teknik bilgileri</w:t>
      </w:r>
      <w:r w:rsidR="00921394">
        <w:t xml:space="preserve"> (seri baranın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Kodu</w:t>
            </w:r>
          </w:p>
        </w:tc>
        <w:tc>
          <w:tcPr>
            <w:tcW w:w="1276" w:type="dxa"/>
          </w:tcPr>
          <w:p w:rsidR="00CC5582" w:rsidRPr="00921394" w:rsidRDefault="00CC5582" w:rsidP="00E84D9A">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E84D9A">
            <w:pPr>
              <w:pStyle w:val="BodyTextKeep"/>
              <w:ind w:right="0"/>
              <w:jc w:val="center"/>
              <w:rPr>
                <w:sz w:val="16"/>
                <w:szCs w:val="16"/>
              </w:rPr>
            </w:pPr>
            <w:r w:rsidRPr="00921394">
              <w:rPr>
                <w:sz w:val="16"/>
                <w:szCs w:val="16"/>
              </w:rPr>
              <w:t>Bağlantı</w:t>
            </w:r>
          </w:p>
        </w:tc>
        <w:tc>
          <w:tcPr>
            <w:tcW w:w="1138" w:type="dxa"/>
          </w:tcPr>
          <w:p w:rsidR="00CC5582" w:rsidRPr="00921394" w:rsidRDefault="00921394" w:rsidP="00E84D9A">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E84D9A">
            <w:pPr>
              <w:pStyle w:val="BodyTextKeep"/>
              <w:ind w:right="0"/>
              <w:jc w:val="center"/>
              <w:rPr>
                <w:sz w:val="16"/>
                <w:szCs w:val="16"/>
              </w:rPr>
            </w:pPr>
            <w:r w:rsidRPr="00921394">
              <w:rPr>
                <w:sz w:val="16"/>
                <w:szCs w:val="16"/>
              </w:rPr>
              <w:t>Tipi</w:t>
            </w:r>
          </w:p>
        </w:tc>
        <w:tc>
          <w:tcPr>
            <w:tcW w:w="1276" w:type="dxa"/>
          </w:tcPr>
          <w:p w:rsidR="00CC5582" w:rsidRPr="00921394" w:rsidRDefault="00921394" w:rsidP="00E84D9A">
            <w:pPr>
              <w:pStyle w:val="BodyTextKeep"/>
              <w:ind w:right="0"/>
              <w:jc w:val="center"/>
              <w:rPr>
                <w:sz w:val="16"/>
                <w:szCs w:val="16"/>
              </w:rPr>
            </w:pPr>
            <w:r w:rsidRPr="00921394">
              <w:rPr>
                <w:sz w:val="16"/>
                <w:szCs w:val="16"/>
              </w:rPr>
              <w:t>Metal Film</w:t>
            </w:r>
          </w:p>
        </w:tc>
        <w:tc>
          <w:tcPr>
            <w:tcW w:w="1139" w:type="dxa"/>
          </w:tcPr>
          <w:p w:rsidR="00CC5582" w:rsidRPr="00921394" w:rsidRDefault="00921394" w:rsidP="00E84D9A">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E84D9A">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Sığa</w:t>
            </w:r>
          </w:p>
        </w:tc>
        <w:tc>
          <w:tcPr>
            <w:tcW w:w="1276" w:type="dxa"/>
          </w:tcPr>
          <w:p w:rsidR="00CC5582" w:rsidRPr="00921394" w:rsidRDefault="00921394" w:rsidP="00E84D9A">
            <w:pPr>
              <w:pStyle w:val="BodyTextKeep"/>
              <w:ind w:right="0"/>
              <w:jc w:val="center"/>
              <w:rPr>
                <w:sz w:val="16"/>
                <w:szCs w:val="16"/>
              </w:rPr>
            </w:pPr>
            <w:r w:rsidRPr="00921394">
              <w:rPr>
                <w:sz w:val="16"/>
                <w:szCs w:val="16"/>
              </w:rPr>
              <w:t>30 µF</w:t>
            </w:r>
          </w:p>
        </w:tc>
        <w:tc>
          <w:tcPr>
            <w:tcW w:w="1139" w:type="dxa"/>
          </w:tcPr>
          <w:p w:rsidR="00CC5582" w:rsidRPr="00921394" w:rsidRDefault="00921394" w:rsidP="00E84D9A">
            <w:pPr>
              <w:pStyle w:val="BodyTextKeep"/>
              <w:ind w:right="0"/>
              <w:jc w:val="center"/>
              <w:rPr>
                <w:sz w:val="16"/>
                <w:szCs w:val="16"/>
              </w:rPr>
            </w:pPr>
            <w:r>
              <w:rPr>
                <w:sz w:val="16"/>
                <w:szCs w:val="16"/>
              </w:rPr>
              <w:t>Gerilim</w:t>
            </w:r>
          </w:p>
        </w:tc>
        <w:tc>
          <w:tcPr>
            <w:tcW w:w="1138" w:type="dxa"/>
          </w:tcPr>
          <w:p w:rsidR="00CC5582" w:rsidRPr="00921394" w:rsidRDefault="00921394" w:rsidP="00E84D9A">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lastRenderedPageBreak/>
        <w:drawing>
          <wp:inline distT="0" distB="0" distL="0" distR="0" wp14:anchorId="59EC80BF" wp14:editId="61140EBA">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9" w:name="_Ref485206337"/>
      <w:r>
        <w:t>Şekil</w:t>
      </w:r>
      <w:bookmarkEnd w:id="9"/>
      <w:r w:rsidR="006956A5">
        <w:t xml:space="preserve"> 7.</w:t>
      </w:r>
      <w:r>
        <w:t xml:space="preserve"> DA bara gerilimi dalgalanması</w:t>
      </w:r>
    </w:p>
    <w:p w:rsidR="00107977" w:rsidRDefault="00950A59" w:rsidP="00107977">
      <w:r w:rsidRPr="00950A59">
        <w:rPr>
          <w:noProof/>
          <w:lang w:val="en-US"/>
        </w:rPr>
        <w:drawing>
          <wp:inline distT="0" distB="0" distL="0" distR="0" wp14:anchorId="5985F2A0" wp14:editId="02B9C40A">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0" w:name="_Ref485206384"/>
      <w:r>
        <w:t xml:space="preserve">Şekil </w:t>
      </w:r>
      <w:bookmarkEnd w:id="10"/>
      <w:r w:rsidR="006956A5">
        <w:t>8.</w:t>
      </w:r>
      <w:r>
        <w:t xml:space="preserve"> DA bara kondansatör bankası akım dalgalanması</w:t>
      </w:r>
    </w:p>
    <w:p w:rsidR="00107977" w:rsidRDefault="00950A59" w:rsidP="00107977">
      <w:r w:rsidRPr="00950A59">
        <w:rPr>
          <w:noProof/>
          <w:lang w:val="en-US"/>
        </w:rPr>
        <w:drawing>
          <wp:inline distT="0" distB="0" distL="0" distR="0" wp14:anchorId="44B48FE1" wp14:editId="5E0077B0">
            <wp:extent cx="2879725" cy="2045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2692" b="2573"/>
                    <a:stretch/>
                  </pic:blipFill>
                  <pic:spPr bwMode="auto">
                    <a:xfrm>
                      <a:off x="0" y="0"/>
                      <a:ext cx="2880360" cy="2045959"/>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Pr="00107977" w:rsidRDefault="00107977" w:rsidP="00107977">
      <w:pPr>
        <w:pStyle w:val="Caption"/>
      </w:pPr>
      <w:bookmarkStart w:id="11" w:name="_Ref485206452"/>
      <w:r>
        <w:t>Şekil</w:t>
      </w:r>
      <w:bookmarkEnd w:id="11"/>
      <w:r w:rsidR="006956A5">
        <w:t xml:space="preserve"> 9.</w:t>
      </w:r>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313131">
        <w:t>çalışmada</w:t>
      </w:r>
      <w:r w:rsidR="003E0118">
        <w:t xml:space="preserve">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w:t>
      </w:r>
      <w:r w:rsidR="003E0118">
        <w:t xml:space="preserve">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w:t>
      </w:r>
      <w:r w:rsidR="00313131">
        <w:t>rol oynayacağı düşünülmektedir.</w:t>
      </w:r>
    </w:p>
    <w:p w:rsidR="00313131" w:rsidRDefault="00313131" w:rsidP="00C25551">
      <w:pPr>
        <w:pStyle w:val="BodyTextKeep"/>
        <w:ind w:right="0"/>
      </w:pPr>
    </w:p>
    <w:p w:rsidR="003E0118" w:rsidRDefault="003E0118" w:rsidP="00C25551">
      <w:pPr>
        <w:pStyle w:val="BodyTextKeep"/>
        <w:ind w:right="0"/>
      </w:pPr>
      <w:r>
        <w:t>Mevcut TMMS teknolojisi incelenmiş</w:t>
      </w:r>
      <w:r w:rsidR="001B5E1D">
        <w:t xml:space="preserve"> ve henüz laboratuvar prototipi </w:t>
      </w:r>
      <w:r>
        <w:t xml:space="preserve">aşamasında olan çalışmalar ve başarımları irdelenmiştir. </w:t>
      </w:r>
      <w:r w:rsidR="006D1454">
        <w:t xml:space="preserve">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w:t>
      </w:r>
      <w:r w:rsidR="00313131">
        <w:t>yapılmıştır.</w:t>
      </w:r>
    </w:p>
    <w:p w:rsidR="006D1454" w:rsidRDefault="006D1454" w:rsidP="00C25551">
      <w:pPr>
        <w:pStyle w:val="BodyTextKeep"/>
        <w:ind w:right="0"/>
      </w:pPr>
    </w:p>
    <w:p w:rsidR="006D1454" w:rsidRDefault="006D1454" w:rsidP="00C25551">
      <w:pPr>
        <w:pStyle w:val="BodyTextKeep"/>
        <w:ind w:right="0"/>
      </w:pPr>
      <w:r>
        <w:t>Seçilen GaN’lar ile kayıp analizi yapılmış ve standart IGBT’li sürücü sistemi ile karşılaştırılmıştır. Bunun sonucunda her iki tipte de standart sisteme göre beş katı anahtarlama frekansına rağmen yüzde iki verim artışı sağlanmıştır. Buna ek olarak, D</w:t>
      </w:r>
      <w:r w:rsidR="00313131">
        <w:t>A</w:t>
      </w:r>
      <w:r>
        <w:t xml:space="preserve">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842357" w:rsidRPr="009D09D2" w:rsidRDefault="00842357">
      <w:pPr>
        <w:pStyle w:val="Heading1"/>
      </w:pPr>
      <w:r w:rsidRPr="009D09D2">
        <w:t>Kaynak</w:t>
      </w:r>
      <w:r w:rsidR="006F1533" w:rsidRPr="009D09D2">
        <w:t>lar</w:t>
      </w:r>
    </w:p>
    <w:p w:rsidR="000B25A5" w:rsidRPr="000B25A5" w:rsidRDefault="00F1721A" w:rsidP="000B25A5">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0B25A5" w:rsidRPr="000B25A5">
        <w:rPr>
          <w:noProof/>
          <w:sz w:val="18"/>
          <w:szCs w:val="24"/>
        </w:rPr>
        <w:t>[1]</w:t>
      </w:r>
      <w:r w:rsidR="000B25A5" w:rsidRPr="000B25A5">
        <w:rPr>
          <w:noProof/>
          <w:sz w:val="18"/>
          <w:szCs w:val="24"/>
        </w:rPr>
        <w:tab/>
        <w:t xml:space="preserve">G. Lo Calzo </w:t>
      </w:r>
      <w:r w:rsidR="000B25A5" w:rsidRPr="000B25A5">
        <w:rPr>
          <w:i/>
          <w:iCs/>
          <w:noProof/>
          <w:sz w:val="18"/>
          <w:szCs w:val="24"/>
        </w:rPr>
        <w:t>et al.</w:t>
      </w:r>
      <w:r w:rsidR="000B25A5" w:rsidRPr="000B25A5">
        <w:rPr>
          <w:noProof/>
          <w:sz w:val="18"/>
          <w:szCs w:val="24"/>
        </w:rPr>
        <w:t xml:space="preserve">, “Integrated motor drives: state of the art and future trends,” </w:t>
      </w:r>
      <w:r w:rsidR="000B25A5" w:rsidRPr="000B25A5">
        <w:rPr>
          <w:i/>
          <w:iCs/>
          <w:noProof/>
          <w:sz w:val="18"/>
          <w:szCs w:val="24"/>
        </w:rPr>
        <w:t>IET Electr. Power Appl.</w:t>
      </w:r>
      <w:r w:rsidR="000B25A5" w:rsidRPr="000B25A5">
        <w:rPr>
          <w:noProof/>
          <w:sz w:val="18"/>
          <w:szCs w:val="24"/>
        </w:rPr>
        <w:t>, vol. 10, no. 8, pp. 757–771, Sep.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[2]</w:t>
      </w:r>
      <w:r w:rsidRPr="000B25A5">
        <w:rPr>
          <w:noProof/>
          <w:sz w:val="18"/>
          <w:szCs w:val="24"/>
        </w:rPr>
        <w:tab/>
        <w:t xml:space="preserve">A. Shea and T. M. Jahns, “Hardware integration for an integrated modular motor drive including distributed control,” in </w:t>
      </w:r>
      <w:r w:rsidRPr="000B25A5">
        <w:rPr>
          <w:i/>
          <w:iCs/>
          <w:noProof/>
          <w:sz w:val="18"/>
          <w:szCs w:val="24"/>
        </w:rPr>
        <w:t>2014 IEEE Energy Conversion Congress and Exposition (ECCE)</w:t>
      </w:r>
      <w:r w:rsidRPr="000B25A5">
        <w:rPr>
          <w:noProof/>
          <w:sz w:val="18"/>
          <w:szCs w:val="24"/>
        </w:rPr>
        <w:t>, 2014, pp. 4881–4887.</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[3]</w:t>
      </w:r>
      <w:r w:rsidRPr="000B25A5">
        <w:rPr>
          <w:noProof/>
          <w:sz w:val="18"/>
          <w:szCs w:val="24"/>
        </w:rPr>
        <w:tab/>
        <w:t xml:space="preserve">S. M. Lambert, B. C. Mecrow, R. Abebe, G. Vakil, and C. M. Johnson, “Integrated Drives for Transport - A Review of the Enabling Electronics Technology,” </w:t>
      </w:r>
      <w:r w:rsidRPr="000B25A5">
        <w:rPr>
          <w:i/>
          <w:iCs/>
          <w:noProof/>
          <w:sz w:val="18"/>
          <w:szCs w:val="24"/>
        </w:rPr>
        <w:t>IEEE Veh. Power Propuls. Conf.</w:t>
      </w:r>
      <w:r w:rsidRPr="000B25A5">
        <w:rPr>
          <w:noProof/>
          <w:sz w:val="18"/>
          <w:szCs w:val="24"/>
        </w:rPr>
        <w:t>, pp. 1–6,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[4]</w:t>
      </w:r>
      <w:r w:rsidRPr="000B25A5">
        <w:rPr>
          <w:noProof/>
          <w:sz w:val="18"/>
          <w:szCs w:val="24"/>
        </w:rPr>
        <w:tab/>
        <w:t xml:space="preserve">J. Wang, Y. Li, and Y. Han, “Evaluation and design for an integrated modular motor drive (IMMD) with GaN devices,” </w:t>
      </w:r>
      <w:r w:rsidRPr="000B25A5">
        <w:rPr>
          <w:i/>
          <w:iCs/>
          <w:noProof/>
          <w:sz w:val="18"/>
          <w:szCs w:val="24"/>
        </w:rPr>
        <w:t>2013 IEEE Energy Convers. Congr. Expo. ECCE 2013</w:t>
      </w:r>
      <w:r w:rsidRPr="000B25A5">
        <w:rPr>
          <w:noProof/>
          <w:sz w:val="18"/>
          <w:szCs w:val="24"/>
        </w:rPr>
        <w:t>, no. Immd, pp. 4318–4325, 2013.</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[5]</w:t>
      </w:r>
      <w:r w:rsidRPr="000B25A5">
        <w:rPr>
          <w:noProof/>
          <w:sz w:val="18"/>
          <w:szCs w:val="24"/>
        </w:rPr>
        <w:tab/>
        <w:t xml:space="preserve">J. J. Wolmarans, M. B. Gerber, H. Polinder, S. W. H. De Haan, J. A. Ferreira, and D. Clarenbach, “A 50kW integrated fault tolerant permanent magnet machine and motor drive,” </w:t>
      </w:r>
      <w:r w:rsidRPr="000B25A5">
        <w:rPr>
          <w:i/>
          <w:iCs/>
          <w:noProof/>
          <w:sz w:val="18"/>
          <w:szCs w:val="24"/>
        </w:rPr>
        <w:t>PESC Rec. - IEEE Annu. Power Electron. Spec. Conf.</w:t>
      </w:r>
      <w:r w:rsidRPr="000B25A5">
        <w:rPr>
          <w:noProof/>
          <w:sz w:val="18"/>
          <w:szCs w:val="24"/>
        </w:rPr>
        <w:t>, pp. 345–351, 2008.</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[6]</w:t>
      </w:r>
      <w:r w:rsidRPr="000B25A5">
        <w:rPr>
          <w:noProof/>
          <w:sz w:val="18"/>
          <w:szCs w:val="24"/>
        </w:rPr>
        <w:tab/>
        <w:t xml:space="preserve">M. D. Hennen, M. Niessen, C. Heyers, H. J. Brauer, and R. W. De Doncker, “Development and control of an integrated and distributed inverter for a fault tolerant five-phase switched reluctance traction drive,” </w:t>
      </w:r>
      <w:r w:rsidRPr="000B25A5">
        <w:rPr>
          <w:i/>
          <w:iCs/>
          <w:noProof/>
          <w:sz w:val="18"/>
          <w:szCs w:val="24"/>
        </w:rPr>
        <w:t>IEEE Trans. Power Electron.</w:t>
      </w:r>
      <w:r w:rsidRPr="000B25A5">
        <w:rPr>
          <w:noProof/>
          <w:sz w:val="18"/>
          <w:szCs w:val="24"/>
        </w:rPr>
        <w:t>, vol. 27, no. 2, pp. 547–554, 2012.</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[7]</w:t>
      </w:r>
      <w:r w:rsidRPr="000B25A5">
        <w:rPr>
          <w:noProof/>
          <w:sz w:val="18"/>
          <w:szCs w:val="24"/>
        </w:rPr>
        <w:tab/>
        <w:t xml:space="preserve">A. Galassini, A. Costabeber, C. Gerada, G. Buticchi, and D. Barater, “State space model of a modular </w:t>
      </w:r>
      <w:r w:rsidRPr="000B25A5">
        <w:rPr>
          <w:noProof/>
          <w:sz w:val="18"/>
          <w:szCs w:val="24"/>
        </w:rPr>
        <w:lastRenderedPageBreak/>
        <w:t xml:space="preserve">speed-drooped system for high reliability integrated modular motor drives,” </w:t>
      </w:r>
      <w:r w:rsidRPr="000B25A5">
        <w:rPr>
          <w:i/>
          <w:iCs/>
          <w:noProof/>
          <w:sz w:val="18"/>
          <w:szCs w:val="24"/>
        </w:rPr>
        <w:t>Electr. Syst. Aircraft, Railw. Sh. Propulsion, ESARS</w:t>
      </w:r>
      <w:r w:rsidRPr="000B25A5">
        <w:rPr>
          <w:noProof/>
          <w:sz w:val="18"/>
          <w:szCs w:val="24"/>
        </w:rPr>
        <w:t>, vol. 2015–May,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[8]</w:t>
      </w:r>
      <w:r w:rsidRPr="000B25A5">
        <w:rPr>
          <w:noProof/>
          <w:sz w:val="18"/>
          <w:szCs w:val="24"/>
        </w:rPr>
        <w:tab/>
        <w:t xml:space="preserve">J. Wang, Y. Li, and Y. Han, “Integrated Modular Motor Drive Design With GaN Power FETs,” </w:t>
      </w:r>
      <w:r w:rsidRPr="000B25A5">
        <w:rPr>
          <w:i/>
          <w:iCs/>
          <w:noProof/>
          <w:sz w:val="18"/>
          <w:szCs w:val="24"/>
        </w:rPr>
        <w:t>IEEE Trans. Ind. Appl.</w:t>
      </w:r>
      <w:r w:rsidRPr="000B25A5">
        <w:rPr>
          <w:noProof/>
          <w:sz w:val="18"/>
          <w:szCs w:val="24"/>
        </w:rPr>
        <w:t>, vol. 51, no. c, pp. 3198–3207,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[9]</w:t>
      </w:r>
      <w:r w:rsidRPr="000B25A5">
        <w:rPr>
          <w:noProof/>
          <w:sz w:val="18"/>
          <w:szCs w:val="24"/>
        </w:rPr>
        <w:tab/>
        <w:t xml:space="preserve">A. Roekke and R. Nilssen, “Analytical Calculation of Yoke Flux Patterns in Fractional-Slot Permanent Magnet Machines,” </w:t>
      </w:r>
      <w:r w:rsidRPr="000B25A5">
        <w:rPr>
          <w:i/>
          <w:iCs/>
          <w:noProof/>
          <w:sz w:val="18"/>
          <w:szCs w:val="24"/>
        </w:rPr>
        <w:t>IEEE Trans. Magn.</w:t>
      </w:r>
      <w:r w:rsidRPr="000B25A5">
        <w:rPr>
          <w:noProof/>
          <w:sz w:val="18"/>
          <w:szCs w:val="24"/>
        </w:rPr>
        <w:t>, vol. 9464, no. c, pp. 1–1,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[10]</w:t>
      </w:r>
      <w:r w:rsidRPr="000B25A5">
        <w:rPr>
          <w:noProof/>
          <w:sz w:val="18"/>
          <w:szCs w:val="24"/>
        </w:rPr>
        <w:tab/>
        <w:t xml:space="preserve">T. Morita </w:t>
      </w:r>
      <w:r w:rsidRPr="000B25A5">
        <w:rPr>
          <w:i/>
          <w:iCs/>
          <w:noProof/>
          <w:sz w:val="18"/>
          <w:szCs w:val="24"/>
        </w:rPr>
        <w:t>et al.</w:t>
      </w:r>
      <w:r w:rsidRPr="000B25A5">
        <w:rPr>
          <w:noProof/>
          <w:sz w:val="18"/>
          <w:szCs w:val="24"/>
        </w:rPr>
        <w:t>, “99 . 3 % Efficiency of Three-Phase Inverter for Motor Drive Using GaN-based Gate Injection Transistors,” pp. 481–484, 2011.</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[11]</w:t>
      </w:r>
      <w:r w:rsidRPr="000B25A5">
        <w:rPr>
          <w:noProof/>
          <w:sz w:val="18"/>
          <w:szCs w:val="24"/>
        </w:rPr>
        <w:tab/>
        <w:t xml:space="preserve">J. W. Kolar and S. D. Round, “Analytical calculation of the RMS current stress on the DC-link capacitor of voltage-PWM converter systems,” </w:t>
      </w:r>
      <w:r w:rsidRPr="000B25A5">
        <w:rPr>
          <w:i/>
          <w:iCs/>
          <w:noProof/>
          <w:sz w:val="18"/>
          <w:szCs w:val="24"/>
        </w:rPr>
        <w:t>IEE Proc. - Electr. Power Appl.</w:t>
      </w:r>
      <w:r w:rsidRPr="000B25A5">
        <w:rPr>
          <w:noProof/>
          <w:sz w:val="18"/>
          <w:szCs w:val="24"/>
        </w:rPr>
        <w:t>, vol. 153, no. 4, p. 535, 2006.</w:t>
      </w:r>
    </w:p>
    <w:p w:rsidR="000B25A5" w:rsidRPr="000B25A5" w:rsidRDefault="000B25A5" w:rsidP="000B25A5">
      <w:pPr>
        <w:widowControl w:val="0"/>
        <w:autoSpaceDE w:val="0"/>
        <w:autoSpaceDN w:val="0"/>
        <w:adjustRightInd w:val="0"/>
        <w:ind w:left="640" w:hanging="640"/>
        <w:rPr>
          <w:noProof/>
          <w:sz w:val="18"/>
        </w:rPr>
      </w:pPr>
      <w:r w:rsidRPr="000B25A5">
        <w:rPr>
          <w:noProof/>
          <w:sz w:val="18"/>
          <w:szCs w:val="24"/>
        </w:rPr>
        <w:t>[12]</w:t>
      </w:r>
      <w:r w:rsidRPr="000B25A5">
        <w:rPr>
          <w:noProof/>
          <w:sz w:val="18"/>
          <w:szCs w:val="24"/>
        </w:rPr>
        <w:tab/>
        <w:t xml:space="preserve">E. A. Jones, F. F. Wang, and D. Costinett, “Review of Commercial GaN Power Devices and GaN-Based Converter Design Challenges,” </w:t>
      </w:r>
      <w:r w:rsidRPr="000B25A5">
        <w:rPr>
          <w:i/>
          <w:iCs/>
          <w:noProof/>
          <w:sz w:val="18"/>
          <w:szCs w:val="24"/>
        </w:rPr>
        <w:t>IEEE J. Emerg. Sel. Top. Power Electron.</w:t>
      </w:r>
      <w:r w:rsidRPr="000B25A5">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B90" w:rsidRDefault="00F43B90">
      <w:r>
        <w:separator/>
      </w:r>
    </w:p>
  </w:endnote>
  <w:endnote w:type="continuationSeparator" w:id="0">
    <w:p w:rsidR="00F43B90" w:rsidRDefault="00F4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9A" w:rsidRDefault="00E84D9A">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84D9A" w:rsidRDefault="00E84D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9A" w:rsidRDefault="00E84D9A">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84D9A" w:rsidRDefault="00E84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B90" w:rsidRDefault="00F43B90">
      <w:r>
        <w:separator/>
      </w:r>
    </w:p>
  </w:footnote>
  <w:footnote w:type="continuationSeparator" w:id="0">
    <w:p w:rsidR="00F43B90" w:rsidRDefault="00F43B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85FE5"/>
    <w:rsid w:val="000907AA"/>
    <w:rsid w:val="00091F51"/>
    <w:rsid w:val="0009542B"/>
    <w:rsid w:val="000B25A5"/>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B5E1D"/>
    <w:rsid w:val="001C152E"/>
    <w:rsid w:val="001E0A59"/>
    <w:rsid w:val="001E4653"/>
    <w:rsid w:val="001E76A7"/>
    <w:rsid w:val="001F42AC"/>
    <w:rsid w:val="002030E9"/>
    <w:rsid w:val="002062DA"/>
    <w:rsid w:val="00212690"/>
    <w:rsid w:val="002355EF"/>
    <w:rsid w:val="00242A63"/>
    <w:rsid w:val="00246D75"/>
    <w:rsid w:val="00280B41"/>
    <w:rsid w:val="00287DAD"/>
    <w:rsid w:val="002A0A94"/>
    <w:rsid w:val="002A381A"/>
    <w:rsid w:val="002A43DF"/>
    <w:rsid w:val="002A6340"/>
    <w:rsid w:val="002D07F5"/>
    <w:rsid w:val="002D44E0"/>
    <w:rsid w:val="002E4566"/>
    <w:rsid w:val="0030012D"/>
    <w:rsid w:val="0030032F"/>
    <w:rsid w:val="00303AD8"/>
    <w:rsid w:val="00305FC4"/>
    <w:rsid w:val="00313131"/>
    <w:rsid w:val="0031613C"/>
    <w:rsid w:val="00316A2D"/>
    <w:rsid w:val="00353398"/>
    <w:rsid w:val="00360AC2"/>
    <w:rsid w:val="00381803"/>
    <w:rsid w:val="0038532E"/>
    <w:rsid w:val="003A40B2"/>
    <w:rsid w:val="003B6CC8"/>
    <w:rsid w:val="003C1C41"/>
    <w:rsid w:val="003C1EA9"/>
    <w:rsid w:val="003C2E50"/>
    <w:rsid w:val="003C3A7E"/>
    <w:rsid w:val="003C53FF"/>
    <w:rsid w:val="003D0C32"/>
    <w:rsid w:val="003D1ADF"/>
    <w:rsid w:val="003D360E"/>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4F6DFB"/>
    <w:rsid w:val="00536AF7"/>
    <w:rsid w:val="005556B5"/>
    <w:rsid w:val="00560777"/>
    <w:rsid w:val="00561FE8"/>
    <w:rsid w:val="00566BD7"/>
    <w:rsid w:val="0058161B"/>
    <w:rsid w:val="00585629"/>
    <w:rsid w:val="00594755"/>
    <w:rsid w:val="005B0A0A"/>
    <w:rsid w:val="005B2D2E"/>
    <w:rsid w:val="005D1F97"/>
    <w:rsid w:val="005D33AB"/>
    <w:rsid w:val="005F0A73"/>
    <w:rsid w:val="00604AA2"/>
    <w:rsid w:val="00605C97"/>
    <w:rsid w:val="006120BD"/>
    <w:rsid w:val="00615F25"/>
    <w:rsid w:val="006229FA"/>
    <w:rsid w:val="00635B54"/>
    <w:rsid w:val="00647F83"/>
    <w:rsid w:val="006771E8"/>
    <w:rsid w:val="00680149"/>
    <w:rsid w:val="00686ED6"/>
    <w:rsid w:val="0069048F"/>
    <w:rsid w:val="006956A5"/>
    <w:rsid w:val="006B1A1F"/>
    <w:rsid w:val="006B743E"/>
    <w:rsid w:val="006C5C73"/>
    <w:rsid w:val="006D1454"/>
    <w:rsid w:val="006E790D"/>
    <w:rsid w:val="006E7A23"/>
    <w:rsid w:val="006F1533"/>
    <w:rsid w:val="00707F0D"/>
    <w:rsid w:val="0073494C"/>
    <w:rsid w:val="007350CB"/>
    <w:rsid w:val="0074105F"/>
    <w:rsid w:val="00763558"/>
    <w:rsid w:val="00784433"/>
    <w:rsid w:val="007850D3"/>
    <w:rsid w:val="00786B81"/>
    <w:rsid w:val="00794F4D"/>
    <w:rsid w:val="00795619"/>
    <w:rsid w:val="007C0C2F"/>
    <w:rsid w:val="007E252F"/>
    <w:rsid w:val="007E4D89"/>
    <w:rsid w:val="007F03F9"/>
    <w:rsid w:val="007F075D"/>
    <w:rsid w:val="00803F2F"/>
    <w:rsid w:val="0080791E"/>
    <w:rsid w:val="00812DC4"/>
    <w:rsid w:val="008138E9"/>
    <w:rsid w:val="00823ECD"/>
    <w:rsid w:val="00832027"/>
    <w:rsid w:val="00842357"/>
    <w:rsid w:val="008464FC"/>
    <w:rsid w:val="00872C76"/>
    <w:rsid w:val="00874620"/>
    <w:rsid w:val="00876EB2"/>
    <w:rsid w:val="008821AB"/>
    <w:rsid w:val="0088584A"/>
    <w:rsid w:val="008A1017"/>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5466C"/>
    <w:rsid w:val="00A72A0C"/>
    <w:rsid w:val="00A8116F"/>
    <w:rsid w:val="00A87F15"/>
    <w:rsid w:val="00A95865"/>
    <w:rsid w:val="00AA0C7F"/>
    <w:rsid w:val="00AC1166"/>
    <w:rsid w:val="00AF6517"/>
    <w:rsid w:val="00B0484F"/>
    <w:rsid w:val="00B1472A"/>
    <w:rsid w:val="00B21514"/>
    <w:rsid w:val="00B22CD7"/>
    <w:rsid w:val="00B40DB9"/>
    <w:rsid w:val="00B429EC"/>
    <w:rsid w:val="00B435BD"/>
    <w:rsid w:val="00B51EE7"/>
    <w:rsid w:val="00B82DCA"/>
    <w:rsid w:val="00B844B3"/>
    <w:rsid w:val="00B956C4"/>
    <w:rsid w:val="00B95945"/>
    <w:rsid w:val="00B97A09"/>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774EC"/>
    <w:rsid w:val="00C87B8A"/>
    <w:rsid w:val="00C91B33"/>
    <w:rsid w:val="00CC5582"/>
    <w:rsid w:val="00CD30BE"/>
    <w:rsid w:val="00CF087F"/>
    <w:rsid w:val="00D01AAE"/>
    <w:rsid w:val="00D228B6"/>
    <w:rsid w:val="00D27B6C"/>
    <w:rsid w:val="00D303F9"/>
    <w:rsid w:val="00D46DB7"/>
    <w:rsid w:val="00D56760"/>
    <w:rsid w:val="00D652F7"/>
    <w:rsid w:val="00D669BF"/>
    <w:rsid w:val="00D770E1"/>
    <w:rsid w:val="00D84537"/>
    <w:rsid w:val="00D863EE"/>
    <w:rsid w:val="00D930E2"/>
    <w:rsid w:val="00D937C8"/>
    <w:rsid w:val="00DA2A3E"/>
    <w:rsid w:val="00DA6DBB"/>
    <w:rsid w:val="00DB6625"/>
    <w:rsid w:val="00DC3DA0"/>
    <w:rsid w:val="00DC4316"/>
    <w:rsid w:val="00DD5487"/>
    <w:rsid w:val="00DE73DC"/>
    <w:rsid w:val="00DE752D"/>
    <w:rsid w:val="00DF3C2C"/>
    <w:rsid w:val="00E00100"/>
    <w:rsid w:val="00E107B7"/>
    <w:rsid w:val="00E13E4C"/>
    <w:rsid w:val="00E14FD4"/>
    <w:rsid w:val="00E248D6"/>
    <w:rsid w:val="00E301DA"/>
    <w:rsid w:val="00E3175E"/>
    <w:rsid w:val="00E35B6E"/>
    <w:rsid w:val="00E43295"/>
    <w:rsid w:val="00E45CE2"/>
    <w:rsid w:val="00E56B89"/>
    <w:rsid w:val="00E73DA2"/>
    <w:rsid w:val="00E84D9A"/>
    <w:rsid w:val="00E91A60"/>
    <w:rsid w:val="00E94D86"/>
    <w:rsid w:val="00EA143B"/>
    <w:rsid w:val="00EA4056"/>
    <w:rsid w:val="00ED46CA"/>
    <w:rsid w:val="00EF0F94"/>
    <w:rsid w:val="00EF2214"/>
    <w:rsid w:val="00EF2938"/>
    <w:rsid w:val="00F12383"/>
    <w:rsid w:val="00F12BB5"/>
    <w:rsid w:val="00F1721A"/>
    <w:rsid w:val="00F22B00"/>
    <w:rsid w:val="00F30255"/>
    <w:rsid w:val="00F3413D"/>
    <w:rsid w:val="00F43B90"/>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A98F44-70BC-4E0C-B022-C3182B32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51</TotalTime>
  <Pages>7</Pages>
  <Words>11814</Words>
  <Characters>67340</Characters>
  <Application>Microsoft Office Word</Application>
  <DocSecurity>0</DocSecurity>
  <Lines>561</Lines>
  <Paragraphs>157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6</cp:revision>
  <cp:lastPrinted>2017-06-14T12:10:00Z</cp:lastPrinted>
  <dcterms:created xsi:type="dcterms:W3CDTF">2017-08-18T07:21:00Z</dcterms:created>
  <dcterms:modified xsi:type="dcterms:W3CDTF">2017-08-20T08:43:00Z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