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A developed model is used dedicated to </w:t>
      </w:r>
      <w:r w:rsidR="0020389B" w:rsidRPr="0020389B">
        <w:rPr>
          <w:rFonts w:ascii="Times New Roman" w:hAnsi="Times New Roman" w:cs="Times New Roman"/>
          <w:sz w:val="20"/>
          <w:szCs w:val="20"/>
        </w:rPr>
        <w:t xml:space="preserve">GS66508B </w:t>
      </w:r>
      <w:r w:rsidR="00F477B3" w:rsidRPr="00BC1235">
        <w:rPr>
          <w:rFonts w:ascii="Times New Roman" w:hAnsi="Times New Roman" w:cs="Times New Roman"/>
          <w:sz w:val="20"/>
          <w:szCs w:val="20"/>
        </w:rPr>
        <w:t>device of GaN Systems. Using this model, the current-voltage characteristics of the device during switching transients are analyzed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components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They act as a resistor just like MOSFETs in forward conduction; however, their behavior in reverse conduction is different than 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The analysis during 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where the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 xml:space="preserve">The equations used for steady-state models are shown in </w:t>
      </w:r>
      <w:r w:rsidR="00A270F6">
        <w:rPr>
          <w:rFonts w:ascii="Times New Roman" w:hAnsi="Times New Roman" w:cs="Times New Roman"/>
          <w:sz w:val="20"/>
          <w:szCs w:val="20"/>
        </w:rPr>
        <w:t xml:space="preserve">Eqn.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first part of the model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he second part represents the region in which the device is operating; i.e., linear region or ohmic region.</w:t>
      </w:r>
      <w:r w:rsidR="00A16FD4">
        <w:rPr>
          <w:rFonts w:ascii="Times New Roman" w:hAnsi="Times New Roman" w:cs="Times New Roman"/>
          <w:sz w:val="20"/>
          <w:szCs w:val="20"/>
        </w:rPr>
        <w:t xml:space="preserve"> </w:t>
      </w:r>
      <w:proofErr w:type="spellStart"/>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proofErr w:type="spellEnd"/>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381pt;height:98.5pt" o:ole="">
            <v:imagedata r:id="rId6" o:title=""/>
          </v:shape>
          <o:OLEObject Type="Embed" ProgID="Visio.Drawing.15" ShapeID="_x0000_i1171" DrawAspect="Content" ObjectID="_1573653069"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3B1B17"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CC30A0"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during dead-time periods, a negative voltage is applied increasing the loss, which makes the optimization of the negative gate voltage and dead-time duration very critical.</w:t>
      </w:r>
    </w:p>
    <w:p w:rsidR="00B24054" w:rsidRDefault="00695958" w:rsidP="00695958">
      <w:pPr>
        <w:spacing w:after="120" w:line="240" w:lineRule="auto"/>
        <w:jc w:val="center"/>
        <w:rPr>
          <w:rFonts w:ascii="Times New Roman" w:hAnsi="Times New Roman" w:cs="Times New Roman"/>
          <w:noProof/>
          <w:sz w:val="20"/>
          <w:szCs w:val="20"/>
        </w:rPr>
      </w:pPr>
      <w:r w:rsidRPr="00695958">
        <w:rPr>
          <w:rFonts w:ascii="Times New Roman" w:hAnsi="Times New Roman" w:cs="Times New Roman"/>
          <w:noProof/>
          <w:sz w:val="20"/>
          <w:szCs w:val="20"/>
        </w:rPr>
        <w:drawing>
          <wp:inline distT="0" distB="0" distL="0" distR="0">
            <wp:extent cx="1512443" cy="149644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27" r="7395"/>
                    <a:stretch/>
                  </pic:blipFill>
                  <pic:spPr bwMode="auto">
                    <a:xfrm>
                      <a:off x="0" y="0"/>
                      <a:ext cx="1519176" cy="1503103"/>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rPr>
        <w:pict>
          <v:shape id="_x0000_i1114" type="#_x0000_t75" style="width:104pt;height:114pt">
            <v:imagedata r:id="rId9" o:title="datasheet_ids_vds_forward"/>
          </v:shape>
        </w:pict>
      </w:r>
      <w:r w:rsidR="00AC0977">
        <w:rPr>
          <w:rFonts w:ascii="Times New Roman" w:hAnsi="Times New Roman" w:cs="Times New Roman"/>
          <w:noProof/>
          <w:sz w:val="20"/>
          <w:szCs w:val="20"/>
        </w:rPr>
        <w:t xml:space="preserve">  </w:t>
      </w:r>
      <w:r w:rsidRPr="00695958">
        <w:rPr>
          <w:rFonts w:ascii="Times New Roman" w:hAnsi="Times New Roman" w:cs="Times New Roman"/>
          <w:noProof/>
          <w:sz w:val="20"/>
          <w:szCs w:val="20"/>
        </w:rPr>
        <w:drawing>
          <wp:inline distT="0" distB="0" distL="0" distR="0" wp14:anchorId="218ECC1A" wp14:editId="7E38D6EF">
            <wp:extent cx="1443105" cy="14097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57" r="6135"/>
                    <a:stretch/>
                  </pic:blipFill>
                  <pic:spPr bwMode="auto">
                    <a:xfrm>
                      <a:off x="0" y="0"/>
                      <a:ext cx="1469995" cy="1435968"/>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extent cx="1235090" cy="1377879"/>
            <wp:effectExtent l="0" t="0" r="3175" b="0"/>
            <wp:docPr id="4" name="Picture 4" descr="C:\Users\mesutto\AppData\Local\Microsoft\Windows\INetCache\Content.Word\datasheet_ids_vds_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esutto\AppData\Local\Microsoft\Windows\INetCache\Content.Word\datasheet_ids_vds_rever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459" cy="1430725"/>
                    </a:xfrm>
                    <a:prstGeom prst="rect">
                      <a:avLst/>
                    </a:prstGeom>
                    <a:noFill/>
                    <a:ln>
                      <a:noFill/>
                    </a:ln>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137289" w:rsidP="00137289">
      <w:pPr>
        <w:spacing w:after="0" w:line="240" w:lineRule="auto"/>
        <w:jc w:val="center"/>
        <w:rPr>
          <w:rFonts w:ascii="Times New Roman" w:hAnsi="Times New Roman" w:cs="Times New Roman"/>
          <w:sz w:val="20"/>
          <w:szCs w:val="20"/>
        </w:rPr>
      </w:pPr>
      <w:r w:rsidRPr="00137289">
        <w:rPr>
          <w:rFonts w:ascii="Times New Roman" w:hAnsi="Times New Roman" w:cs="Times New Roman"/>
          <w:noProof/>
          <w:sz w:val="20"/>
          <w:szCs w:val="20"/>
        </w:rPr>
        <w:drawing>
          <wp:inline distT="0" distB="0" distL="0" distR="0" wp14:anchorId="21ECE636" wp14:editId="184857E6">
            <wp:extent cx="1572313" cy="173958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8858" cy="1768952"/>
                    </a:xfrm>
                    <a:prstGeom prst="rect">
                      <a:avLst/>
                    </a:prstGeom>
                    <a:noFill/>
                    <a:ln>
                      <a:noFill/>
                    </a:ln>
                  </pic:spPr>
                </pic:pic>
              </a:graphicData>
            </a:graphic>
          </wp:inline>
        </w:drawing>
      </w:r>
      <w:r w:rsidR="00E23D49">
        <w:rPr>
          <w:rFonts w:ascii="Times New Roman" w:hAnsi="Times New Roman" w:cs="Times New Roman"/>
          <w:sz w:val="20"/>
          <w:szCs w:val="20"/>
        </w:rPr>
        <w:t xml:space="preserve">           </w:t>
      </w:r>
      <w:r w:rsidR="003B6394">
        <w:rPr>
          <w:rFonts w:ascii="Times New Roman" w:hAnsi="Times New Roman" w:cs="Times New Roman"/>
          <w:noProof/>
          <w:sz w:val="20"/>
          <w:szCs w:val="20"/>
        </w:rPr>
        <w:pict>
          <v:shape id="_x0000_i1125" type="#_x0000_t75" style="width:116pt;height:130.5pt">
            <v:imagedata r:id="rId13" o:title="datasheet_Cap"/>
          </v:shape>
        </w:pict>
      </w:r>
    </w:p>
    <w:p w:rsidR="00E23D49" w:rsidRPr="00137289" w:rsidRDefault="00E23D49" w:rsidP="00137289">
      <w:pPr>
        <w:spacing w:after="0" w:line="240" w:lineRule="auto"/>
        <w:jc w:val="center"/>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proofErr w:type="gramStart"/>
      <w:r w:rsidRPr="00137289">
        <w:rPr>
          <w:rFonts w:ascii="Times New Roman" w:hAnsi="Times New Roman" w:cs="Times New Roman"/>
          <w:sz w:val="16"/>
          <w:szCs w:val="16"/>
        </w:rPr>
        <w:t xml:space="preserve">   (</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0.2 </w:t>
            </w:r>
            <w:proofErr w:type="spellStart"/>
            <w:r>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0.5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described above, turn-on and turn-off characteristics of the top and bottom switches are obtained against</w:t>
      </w:r>
      <w:r w:rsidR="00873A83">
        <w:rPr>
          <w:rFonts w:ascii="Times New Roman" w:hAnsi="Times New Roman" w:cs="Times New Roman"/>
          <w:sz w:val="20"/>
          <w:szCs w:val="20"/>
        </w:rPr>
        <w:t xml:space="preserve"> time and can be seen in Fig. 5.</w:t>
      </w:r>
    </w:p>
    <w:p w:rsidR="001C020C" w:rsidRDefault="001C020C" w:rsidP="008909BB">
      <w:pPr>
        <w:spacing w:after="0" w:line="240" w:lineRule="auto"/>
        <w:jc w:val="center"/>
        <w:rPr>
          <w:rFonts w:ascii="Times New Roman" w:hAnsi="Times New Roman" w:cs="Times New Roman"/>
          <w:sz w:val="16"/>
          <w:szCs w:val="16"/>
        </w:rPr>
      </w:pPr>
      <w:r w:rsidRPr="001C020C">
        <w:rPr>
          <w:rFonts w:ascii="Times New Roman" w:hAnsi="Times New Roman" w:cs="Times New Roman"/>
          <w:noProof/>
          <w:sz w:val="16"/>
          <w:szCs w:val="16"/>
        </w:rPr>
        <w:drawing>
          <wp:inline distT="0" distB="0" distL="0" distR="0">
            <wp:extent cx="1506220" cy="106602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7" r="5374"/>
                    <a:stretch/>
                  </pic:blipFill>
                  <pic:spPr bwMode="auto">
                    <a:xfrm>
                      <a:off x="0" y="0"/>
                      <a:ext cx="1528296" cy="1081647"/>
                    </a:xfrm>
                    <a:prstGeom prst="rect">
                      <a:avLst/>
                    </a:prstGeom>
                    <a:noFill/>
                    <a:ln>
                      <a:noFill/>
                    </a:ln>
                    <a:extLst>
                      <a:ext uri="{53640926-AAD7-44D8-BBD7-CCE9431645EC}">
                        <a14:shadowObscured xmlns:a14="http://schemas.microsoft.com/office/drawing/2010/main"/>
                      </a:ext>
                    </a:extLst>
                  </pic:spPr>
                </pic:pic>
              </a:graphicData>
            </a:graphic>
          </wp:inline>
        </w:drawing>
      </w:r>
      <w:r w:rsidR="00D639CF" w:rsidRPr="00D639CF">
        <w:rPr>
          <w:rFonts w:ascii="Times New Roman" w:hAnsi="Times New Roman" w:cs="Times New Roman"/>
          <w:noProof/>
          <w:sz w:val="16"/>
          <w:szCs w:val="16"/>
        </w:rPr>
        <w:drawing>
          <wp:inline distT="0" distB="0" distL="0" distR="0">
            <wp:extent cx="1461799" cy="1039940"/>
            <wp:effectExtent l="0" t="0" r="508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12" r="5847"/>
                    <a:stretch/>
                  </pic:blipFill>
                  <pic:spPr bwMode="auto">
                    <a:xfrm>
                      <a:off x="0" y="0"/>
                      <a:ext cx="1491464" cy="1061044"/>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rPr>
        <w:drawing>
          <wp:inline distT="0" distB="0" distL="0" distR="0" wp14:anchorId="18FF7E2E" wp14:editId="1C9861F0">
            <wp:extent cx="1495285" cy="106500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rPr>
        <w:drawing>
          <wp:inline distT="0" distB="0" distL="0" distR="0">
            <wp:extent cx="1495844" cy="1064973"/>
            <wp:effectExtent l="0" t="0" r="952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873A83" w:rsidRPr="00873A83">
        <w:rPr>
          <w:rFonts w:ascii="Times New Roman" w:hAnsi="Times New Roman" w:cs="Times New Roman"/>
          <w:sz w:val="18"/>
          <w:szCs w:val="18"/>
        </w:rPr>
        <w:t>5</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tained using the simplest model</w:t>
      </w:r>
    </w:p>
    <w:p w:rsidR="00313C03" w:rsidRPr="00313C03" w:rsidRDefault="00313C03" w:rsidP="004E0D1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313C03" w:rsidRDefault="00313C03" w:rsidP="00313C03">
      <w:pPr>
        <w:spacing w:after="120" w:line="240" w:lineRule="auto"/>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Hangi</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kapasitör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daha</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etkili</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ve</w:t>
      </w:r>
      <w:proofErr w:type="spellEnd"/>
      <w:r w:rsidRPr="00CE26E5">
        <w:rPr>
          <w:rFonts w:ascii="Times New Roman" w:hAnsi="Times New Roman" w:cs="Times New Roman"/>
          <w:color w:val="FF0000"/>
          <w:sz w:val="20"/>
          <w:szCs w:val="20"/>
        </w:rPr>
        <w:t xml:space="preserve"> ne </w:t>
      </w:r>
      <w:proofErr w:type="spellStart"/>
      <w:r w:rsidRPr="00CE26E5">
        <w:rPr>
          <w:rFonts w:ascii="Times New Roman" w:hAnsi="Times New Roman" w:cs="Times New Roman"/>
          <w:color w:val="FF0000"/>
          <w:sz w:val="20"/>
          <w:szCs w:val="20"/>
        </w:rPr>
        <w:t>kadar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değişiyor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bahset</w:t>
      </w:r>
      <w:proofErr w:type="spellEnd"/>
      <w:r w:rsidRPr="00CE26E5">
        <w:rPr>
          <w:rFonts w:ascii="Times New Roman" w:hAnsi="Times New Roman" w:cs="Times New Roman"/>
          <w:color w:val="FF0000"/>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The turn-on and turn-off characteristics of the top and bottom switches are obtained against time and can be seen in Fig. Y.</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51113" cy="104228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18" r="5278"/>
                    <a:stretch/>
                  </pic:blipFill>
                  <pic:spPr bwMode="auto">
                    <a:xfrm>
                      <a:off x="0" y="0"/>
                      <a:ext cx="1475702" cy="1059941"/>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53515" cy="102878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8" r="5751"/>
                    <a:stretch/>
                  </pic:blipFill>
                  <pic:spPr bwMode="auto">
                    <a:xfrm>
                      <a:off x="0" y="0"/>
                      <a:ext cx="1470242" cy="1040626"/>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63040" cy="104915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240" r="5342"/>
                    <a:stretch/>
                  </pic:blipFill>
                  <pic:spPr bwMode="auto">
                    <a:xfrm>
                      <a:off x="0" y="0"/>
                      <a:ext cx="1481869" cy="106265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70925" cy="1046673"/>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58" r="6004" b="-1"/>
                    <a:stretch/>
                  </pic:blipFill>
                  <pic:spPr bwMode="auto">
                    <a:xfrm>
                      <a:off x="0" y="0"/>
                      <a:ext cx="1488214" cy="1058975"/>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313C03" w:rsidRPr="00313C03" w:rsidRDefault="00313C03" w:rsidP="00313C0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4E0D13" w:rsidRDefault="004E0D13" w:rsidP="00313C03">
      <w:pPr>
        <w:spacing w:after="0" w:line="240" w:lineRule="auto"/>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w:t>
      </w:r>
      <w:r w:rsidR="00313C03">
        <w:rPr>
          <w:rFonts w:ascii="Times New Roman" w:hAnsi="Times New Roman" w:cs="Times New Roman"/>
          <w:sz w:val="20"/>
          <w:szCs w:val="20"/>
        </w:rPr>
        <w:t xml:space="preserve">o the model which are caused by </w:t>
      </w: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r w:rsidR="00313C03">
        <w:rPr>
          <w:rFonts w:ascii="Times New Roman" w:hAnsi="Times New Roman" w:cs="Times New Roman"/>
          <w:sz w:val="20"/>
          <w:szCs w:val="20"/>
        </w:rPr>
        <w:t xml:space="preserve">, </w:t>
      </w: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r w:rsidR="00313C03">
        <w:rPr>
          <w:rFonts w:ascii="Times New Roman" w:hAnsi="Times New Roman" w:cs="Times New Roman"/>
          <w:sz w:val="20"/>
          <w:szCs w:val="20"/>
        </w:rPr>
        <w:t xml:space="preserve">, </w:t>
      </w:r>
      <w:r>
        <w:rPr>
          <w:rFonts w:ascii="Times New Roman" w:hAnsi="Times New Roman" w:cs="Times New Roman"/>
          <w:sz w:val="20"/>
          <w:szCs w:val="20"/>
        </w:rPr>
        <w:t>Capacitor ESLs etc…</w:t>
      </w:r>
    </w:p>
    <w:p w:rsidR="004E0D13" w:rsidRDefault="00350A36" w:rsidP="004E0D13">
      <w:pPr>
        <w:spacing w:after="0" w:line="240" w:lineRule="auto"/>
        <w:jc w:val="center"/>
        <w:rPr>
          <w:rFonts w:ascii="Times New Roman" w:hAnsi="Times New Roman" w:cs="Times New Roman"/>
          <w:sz w:val="16"/>
          <w:szCs w:val="16"/>
        </w:rPr>
      </w:pPr>
      <w:r w:rsidRPr="00350A36">
        <w:rPr>
          <w:rFonts w:ascii="Times New Roman" w:hAnsi="Times New Roman" w:cs="Times New Roman"/>
          <w:noProof/>
          <w:sz w:val="16"/>
          <w:szCs w:val="16"/>
        </w:rPr>
        <w:lastRenderedPageBreak/>
        <w:drawing>
          <wp:inline distT="0" distB="0" distL="0" distR="0">
            <wp:extent cx="1501971" cy="1073426"/>
            <wp:effectExtent l="0" t="0" r="317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804" r="5566"/>
                    <a:stretch/>
                  </pic:blipFill>
                  <pic:spPr bwMode="auto">
                    <a:xfrm>
                      <a:off x="0" y="0"/>
                      <a:ext cx="1521360" cy="1087283"/>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91120F" w:rsidRPr="0091120F">
        <w:rPr>
          <w:rFonts w:ascii="Times New Roman" w:hAnsi="Times New Roman" w:cs="Times New Roman"/>
          <w:noProof/>
          <w:sz w:val="16"/>
          <w:szCs w:val="16"/>
        </w:rPr>
        <w:drawing>
          <wp:inline distT="0" distB="0" distL="0" distR="0">
            <wp:extent cx="1437437" cy="1063613"/>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t="4592" r="6034"/>
                    <a:stretch/>
                  </pic:blipFill>
                  <pic:spPr bwMode="auto">
                    <a:xfrm>
                      <a:off x="0" y="0"/>
                      <a:ext cx="1449820" cy="1072775"/>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7757F8" w:rsidRPr="007757F8">
        <w:rPr>
          <w:rFonts w:ascii="Times New Roman" w:hAnsi="Times New Roman" w:cs="Times New Roman"/>
          <w:noProof/>
          <w:sz w:val="16"/>
          <w:szCs w:val="16"/>
        </w:rPr>
        <w:drawing>
          <wp:inline distT="0" distB="0" distL="0" distR="0">
            <wp:extent cx="1433779" cy="105651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576" r="6179"/>
                    <a:stretch/>
                  </pic:blipFill>
                  <pic:spPr bwMode="auto">
                    <a:xfrm>
                      <a:off x="0" y="0"/>
                      <a:ext cx="1455781" cy="1072726"/>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005E76B8" w:rsidRPr="005E76B8">
        <w:rPr>
          <w:rFonts w:ascii="Times New Roman" w:hAnsi="Times New Roman" w:cs="Times New Roman"/>
          <w:noProof/>
          <w:sz w:val="16"/>
          <w:szCs w:val="16"/>
        </w:rPr>
        <w:drawing>
          <wp:inline distT="0" distB="0" distL="0" distR="0">
            <wp:extent cx="1437437" cy="10547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 t="4469" r="6087"/>
                    <a:stretch/>
                  </pic:blipFill>
                  <pic:spPr bwMode="auto">
                    <a:xfrm>
                      <a:off x="0" y="0"/>
                      <a:ext cx="1458019" cy="1069837"/>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the model with parasitics</w:t>
      </w:r>
    </w:p>
    <w:p w:rsidR="00313C03" w:rsidRPr="00313C03" w:rsidRDefault="00313C03" w:rsidP="00313C0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69788C" w:rsidRDefault="007C2584"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w:t>
      </w:r>
      <w:proofErr w:type="spellStart"/>
      <w:r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Pr="00873A83">
        <w:rPr>
          <w:rFonts w:ascii="Times New Roman" w:hAnsi="Times New Roman" w:cs="Times New Roman"/>
          <w:i/>
          <w:sz w:val="20"/>
          <w:szCs w:val="20"/>
        </w:rPr>
        <w:t>, V</w:t>
      </w:r>
      <w:r w:rsidRPr="00873A83">
        <w:rPr>
          <w:rFonts w:ascii="Times New Roman" w:hAnsi="Times New Roman" w:cs="Times New Roman"/>
          <w:i/>
          <w:sz w:val="20"/>
          <w:szCs w:val="20"/>
          <w:vertAlign w:val="subscript"/>
        </w:rPr>
        <w:t>ds</w:t>
      </w:r>
      <w:r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Pr>
          <w:rFonts w:ascii="Times New Roman" w:hAnsi="Times New Roman" w:cs="Times New Roman"/>
          <w:sz w:val="20"/>
          <w:szCs w:val="20"/>
        </w:rPr>
        <w:t xml:space="preserve"> that the top and bottom switches follow during turn-on and turn-off times are also obtained as state trajectories and shown in Fig.</w:t>
      </w:r>
      <w:r w:rsidR="00873A83">
        <w:rPr>
          <w:rFonts w:ascii="Times New Roman" w:hAnsi="Times New Roman" w:cs="Times New Roman"/>
          <w:sz w:val="20"/>
          <w:szCs w:val="20"/>
        </w:rPr>
        <w:t>6</w:t>
      </w:r>
      <w:r>
        <w:rPr>
          <w:rFonts w:ascii="Times New Roman" w:hAnsi="Times New Roman" w:cs="Times New Roman"/>
          <w:sz w:val="20"/>
          <w:szCs w:val="20"/>
        </w:rPr>
        <w:t>.</w:t>
      </w:r>
    </w:p>
    <w:p w:rsidR="00874E72" w:rsidRDefault="00874E72" w:rsidP="004E0D13">
      <w:pPr>
        <w:spacing w:after="120" w:line="240" w:lineRule="auto"/>
        <w:rPr>
          <w:rFonts w:ascii="Times New Roman" w:hAnsi="Times New Roman" w:cs="Times New Roman"/>
          <w:sz w:val="16"/>
          <w:szCs w:val="16"/>
        </w:rPr>
      </w:pPr>
      <w:r w:rsidRPr="00874E72">
        <w:rPr>
          <w:noProof/>
        </w:rPr>
        <w:t xml:space="preserve"> </w:t>
      </w:r>
      <w:r w:rsidRPr="00874E72">
        <w:rPr>
          <w:rFonts w:ascii="Times New Roman" w:hAnsi="Times New Roman" w:cs="Times New Roman"/>
          <w:sz w:val="16"/>
          <w:szCs w:val="16"/>
        </w:rPr>
        <w:drawing>
          <wp:inline distT="0" distB="0" distL="0" distR="0" wp14:anchorId="38D0742E" wp14:editId="72745525">
            <wp:extent cx="2877200" cy="188806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773" t="5045" r="9216" b="-1"/>
                    <a:stretch/>
                  </pic:blipFill>
                  <pic:spPr bwMode="auto">
                    <a:xfrm>
                      <a:off x="0" y="0"/>
                      <a:ext cx="2889827" cy="1896352"/>
                    </a:xfrm>
                    <a:prstGeom prst="rect">
                      <a:avLst/>
                    </a:prstGeom>
                    <a:ln>
                      <a:noFill/>
                    </a:ln>
                    <a:extLst>
                      <a:ext uri="{53640926-AAD7-44D8-BBD7-CCE9431645EC}">
                        <a14:shadowObscured xmlns:a14="http://schemas.microsoft.com/office/drawing/2010/main"/>
                      </a:ext>
                    </a:extLst>
                  </pic:spPr>
                </pic:pic>
              </a:graphicData>
            </a:graphic>
          </wp:inline>
        </w:drawing>
      </w:r>
      <w:r w:rsidR="00AF6D88">
        <w:rPr>
          <w:noProof/>
        </w:rPr>
        <w:t xml:space="preserve">  </w:t>
      </w:r>
      <w:r w:rsidRPr="00874E72">
        <w:rPr>
          <w:rFonts w:ascii="Times New Roman" w:hAnsi="Times New Roman" w:cs="Times New Roman"/>
          <w:sz w:val="16"/>
          <w:szCs w:val="16"/>
        </w:rPr>
        <w:drawing>
          <wp:inline distT="0" distB="0" distL="0" distR="0" wp14:anchorId="56B7892B" wp14:editId="710F64DF">
            <wp:extent cx="2869961" cy="1889471"/>
            <wp:effectExtent l="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4837" t="5116" r="9494"/>
                    <a:stretch/>
                  </pic:blipFill>
                  <pic:spPr bwMode="auto">
                    <a:xfrm>
                      <a:off x="0" y="0"/>
                      <a:ext cx="2894595" cy="1905689"/>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AF6D88" w:rsidP="004E0D13">
      <w:pPr>
        <w:spacing w:after="120" w:line="240" w:lineRule="auto"/>
        <w:rPr>
          <w:rFonts w:ascii="Times New Roman" w:hAnsi="Times New Roman" w:cs="Times New Roman"/>
          <w:sz w:val="16"/>
          <w:szCs w:val="16"/>
        </w:rPr>
      </w:pPr>
      <w:r w:rsidRPr="00AF6D88">
        <w:rPr>
          <w:rFonts w:ascii="Times New Roman" w:hAnsi="Times New Roman" w:cs="Times New Roman"/>
          <w:sz w:val="16"/>
          <w:szCs w:val="16"/>
        </w:rPr>
        <w:drawing>
          <wp:inline distT="0" distB="0" distL="0" distR="0" wp14:anchorId="14E5C52E" wp14:editId="4C0E652B">
            <wp:extent cx="2907879" cy="1829850"/>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969" t="4615" r="8430"/>
                    <a:stretch/>
                  </pic:blipFill>
                  <pic:spPr bwMode="auto">
                    <a:xfrm>
                      <a:off x="0" y="0"/>
                      <a:ext cx="2921415" cy="183836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16"/>
          <w:szCs w:val="16"/>
        </w:rPr>
        <w:t xml:space="preserve">  </w:t>
      </w:r>
      <w:r w:rsidR="00397E09" w:rsidRPr="00397E09">
        <w:rPr>
          <w:rFonts w:ascii="Times New Roman" w:hAnsi="Times New Roman" w:cs="Times New Roman"/>
          <w:sz w:val="16"/>
          <w:szCs w:val="16"/>
        </w:rPr>
        <w:drawing>
          <wp:inline distT="0" distB="0" distL="0" distR="0" wp14:anchorId="726CA3A3" wp14:editId="522759E4">
            <wp:extent cx="2790871" cy="17838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99" t="6591" r="8935"/>
                    <a:stretch/>
                  </pic:blipFill>
                  <pic:spPr bwMode="auto">
                    <a:xfrm>
                      <a:off x="0" y="0"/>
                      <a:ext cx="2823264" cy="1804562"/>
                    </a:xfrm>
                    <a:prstGeom prst="rect">
                      <a:avLst/>
                    </a:prstGeom>
                    <a:ln>
                      <a:noFill/>
                    </a:ln>
                    <a:extLst>
                      <a:ext uri="{53640926-AAD7-44D8-BBD7-CCE9431645EC}">
                        <a14:shadowObscured xmlns:a14="http://schemas.microsoft.com/office/drawing/2010/main"/>
                      </a:ext>
                    </a:extLst>
                  </pic:spPr>
                </pic:pic>
              </a:graphicData>
            </a:graphic>
          </wp:inline>
        </w:drawing>
      </w:r>
      <w:r w:rsidR="00397E09">
        <w:rPr>
          <w:rFonts w:ascii="Times New Roman" w:hAnsi="Times New Roman" w:cs="Times New Roman"/>
          <w:sz w:val="16"/>
          <w:szCs w:val="16"/>
        </w:rPr>
        <w:t xml:space="preserve"> </w:t>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bookmarkStart w:id="0" w:name="_GoBack"/>
      <w:bookmarkEnd w:id="0"/>
      <w:r w:rsidR="007C2584" w:rsidRPr="00873A83">
        <w:rPr>
          <w:rFonts w:ascii="Times New Roman" w:hAnsi="Times New Roman" w:cs="Times New Roman"/>
          <w:sz w:val="16"/>
          <w:szCs w:val="16"/>
        </w:rPr>
        <w:t xml:space="preserve">      </w:t>
      </w:r>
      <w:proofErr w:type="gramStart"/>
      <w:r w:rsidR="007C2584" w:rsidRPr="00873A83">
        <w:rPr>
          <w:rFonts w:ascii="Times New Roman" w:hAnsi="Times New Roman" w:cs="Times New Roman"/>
          <w:sz w:val="16"/>
          <w:szCs w:val="16"/>
        </w:rPr>
        <w:t xml:space="preserve">   (</w:t>
      </w:r>
      <w:proofErr w:type="gramEnd"/>
      <w:r w:rsidR="007C2584" w:rsidRPr="00873A83">
        <w:rPr>
          <w:rFonts w:ascii="Times New Roman" w:hAnsi="Times New Roman" w:cs="Times New Roman"/>
          <w:sz w:val="16"/>
          <w:szCs w:val="16"/>
        </w:rPr>
        <w:t>d) bottom switch turn-o</w:t>
      </w:r>
      <w:r>
        <w:rPr>
          <w:rFonts w:ascii="Times New Roman" w:hAnsi="Times New Roman" w:cs="Times New Roman"/>
          <w:sz w:val="16"/>
          <w:szCs w:val="16"/>
        </w:rPr>
        <w:t>n</w:t>
      </w:r>
    </w:p>
    <w:p w:rsidR="007C2584" w:rsidRPr="00873A83" w:rsidRDefault="00BD075B" w:rsidP="002D4FB2">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Pr="003B1B17" w:rsidRDefault="003B1B17" w:rsidP="003B1B17">
      <w:pPr>
        <w:spacing w:after="120" w:line="240" w:lineRule="auto"/>
        <w:rPr>
          <w:rFonts w:ascii="Times New Roman" w:hAnsi="Times New Roman" w:cs="Times New Roman"/>
          <w:b/>
          <w:sz w:val="20"/>
          <w:szCs w:val="20"/>
        </w:rPr>
      </w:pP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F27719" w:rsidRDefault="00CE26E5" w:rsidP="002D4FB2">
      <w:pPr>
        <w:spacing w:after="120" w:line="240" w:lineRule="auto"/>
        <w:rPr>
          <w:rFonts w:ascii="Times New Roman" w:hAnsi="Times New Roman" w:cs="Times New Roman"/>
          <w:sz w:val="20"/>
          <w:szCs w:val="20"/>
        </w:rPr>
      </w:pPr>
      <w:proofErr w:type="spellStart"/>
      <w:r>
        <w:rPr>
          <w:rFonts w:ascii="Times New Roman" w:hAnsi="Times New Roman" w:cs="Times New Roman"/>
          <w:sz w:val="20"/>
          <w:szCs w:val="20"/>
        </w:rPr>
        <w:t>Hepsini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toplayalım</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Konu</w:t>
      </w:r>
      <w:proofErr w:type="spellEnd"/>
      <w:r>
        <w:rPr>
          <w:rFonts w:ascii="Times New Roman" w:hAnsi="Times New Roman" w:cs="Times New Roman"/>
          <w:sz w:val="20"/>
          <w:szCs w:val="20"/>
        </w:rPr>
        <w:t>, objective</w:t>
      </w:r>
      <w:r w:rsidR="004E0D13">
        <w:rPr>
          <w:rFonts w:ascii="Times New Roman" w:hAnsi="Times New Roman" w:cs="Times New Roman"/>
          <w:sz w:val="20"/>
          <w:szCs w:val="20"/>
        </w:rPr>
        <w:t xml:space="preserve">, </w:t>
      </w:r>
      <w:r>
        <w:rPr>
          <w:rFonts w:ascii="Times New Roman" w:hAnsi="Times New Roman" w:cs="Times New Roman"/>
          <w:sz w:val="20"/>
          <w:szCs w:val="20"/>
        </w:rPr>
        <w:t xml:space="preserve">Problem, </w:t>
      </w:r>
      <w:proofErr w:type="spellStart"/>
      <w:r>
        <w:rPr>
          <w:rFonts w:ascii="Times New Roman" w:hAnsi="Times New Roman" w:cs="Times New Roman"/>
          <w:sz w:val="20"/>
          <w:szCs w:val="20"/>
        </w:rPr>
        <w:t>motivasyon</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Çözüm</w:t>
      </w:r>
      <w:proofErr w:type="spellEnd"/>
      <w:r>
        <w:rPr>
          <w:rFonts w:ascii="Times New Roman" w:hAnsi="Times New Roman" w:cs="Times New Roman"/>
          <w:sz w:val="20"/>
          <w:szCs w:val="20"/>
        </w:rPr>
        <w:t>, method</w:t>
      </w:r>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Beklentiler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çıktılar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çıkarımlar</w:t>
      </w:r>
      <w:proofErr w:type="spellEnd"/>
    </w:p>
    <w:p w:rsidR="00CE26E5" w:rsidRDefault="00CE26E5"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In the final paper (</w:t>
      </w:r>
      <w:proofErr w:type="spellStart"/>
      <w:r>
        <w:rPr>
          <w:rFonts w:ascii="Times New Roman" w:hAnsi="Times New Roman" w:cs="Times New Roman"/>
          <w:sz w:val="20"/>
          <w:szCs w:val="20"/>
        </w:rPr>
        <w:t>çok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kalmadı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ama</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Pr="00BC1235" w:rsidRDefault="003B1B17" w:rsidP="002D4FB2">
      <w:pPr>
        <w:spacing w:after="120" w:line="240" w:lineRule="auto"/>
        <w:rPr>
          <w:rFonts w:ascii="Times New Roman" w:hAnsi="Times New Roman" w:cs="Times New Roman"/>
          <w:sz w:val="20"/>
          <w:szCs w:val="20"/>
        </w:rPr>
      </w:pP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5DDC1B26"/>
    <w:lvl w:ilvl="0" w:tplc="041F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7242E"/>
    <w:rsid w:val="00080099"/>
    <w:rsid w:val="00092394"/>
    <w:rsid w:val="000B27F8"/>
    <w:rsid w:val="001300A6"/>
    <w:rsid w:val="00137289"/>
    <w:rsid w:val="00176BFC"/>
    <w:rsid w:val="001C020C"/>
    <w:rsid w:val="001D412A"/>
    <w:rsid w:val="0020389B"/>
    <w:rsid w:val="00242FCB"/>
    <w:rsid w:val="00272EDB"/>
    <w:rsid w:val="002944A2"/>
    <w:rsid w:val="002D4FB2"/>
    <w:rsid w:val="00313C03"/>
    <w:rsid w:val="00350A36"/>
    <w:rsid w:val="00397E09"/>
    <w:rsid w:val="003B1B17"/>
    <w:rsid w:val="003B6394"/>
    <w:rsid w:val="003F5457"/>
    <w:rsid w:val="004141B3"/>
    <w:rsid w:val="004A1788"/>
    <w:rsid w:val="004E0D13"/>
    <w:rsid w:val="00534638"/>
    <w:rsid w:val="005B50A1"/>
    <w:rsid w:val="005C19DF"/>
    <w:rsid w:val="005E76B8"/>
    <w:rsid w:val="00621A40"/>
    <w:rsid w:val="00695958"/>
    <w:rsid w:val="0069788C"/>
    <w:rsid w:val="006A60D6"/>
    <w:rsid w:val="0074635D"/>
    <w:rsid w:val="00756187"/>
    <w:rsid w:val="00775645"/>
    <w:rsid w:val="007757F8"/>
    <w:rsid w:val="007A4BED"/>
    <w:rsid w:val="007C2584"/>
    <w:rsid w:val="00804B1D"/>
    <w:rsid w:val="00837582"/>
    <w:rsid w:val="008729D4"/>
    <w:rsid w:val="00873A83"/>
    <w:rsid w:val="00874E72"/>
    <w:rsid w:val="008909BB"/>
    <w:rsid w:val="008D6AB7"/>
    <w:rsid w:val="008F4745"/>
    <w:rsid w:val="009034BC"/>
    <w:rsid w:val="009064BD"/>
    <w:rsid w:val="0091120F"/>
    <w:rsid w:val="0091525C"/>
    <w:rsid w:val="00920A54"/>
    <w:rsid w:val="00975B2D"/>
    <w:rsid w:val="0098753B"/>
    <w:rsid w:val="009C19E3"/>
    <w:rsid w:val="009D0065"/>
    <w:rsid w:val="00A078DB"/>
    <w:rsid w:val="00A16FD4"/>
    <w:rsid w:val="00A270F6"/>
    <w:rsid w:val="00A31D4E"/>
    <w:rsid w:val="00A5460E"/>
    <w:rsid w:val="00A82016"/>
    <w:rsid w:val="00AC0977"/>
    <w:rsid w:val="00AF0B73"/>
    <w:rsid w:val="00AF1E09"/>
    <w:rsid w:val="00AF6D88"/>
    <w:rsid w:val="00B24054"/>
    <w:rsid w:val="00B63209"/>
    <w:rsid w:val="00B64BDD"/>
    <w:rsid w:val="00BC1235"/>
    <w:rsid w:val="00BC69C7"/>
    <w:rsid w:val="00BD075B"/>
    <w:rsid w:val="00C04920"/>
    <w:rsid w:val="00C44478"/>
    <w:rsid w:val="00C52EF0"/>
    <w:rsid w:val="00C71658"/>
    <w:rsid w:val="00C800B9"/>
    <w:rsid w:val="00C81A1B"/>
    <w:rsid w:val="00C977F7"/>
    <w:rsid w:val="00CC30A0"/>
    <w:rsid w:val="00CE26E5"/>
    <w:rsid w:val="00D11590"/>
    <w:rsid w:val="00D4433F"/>
    <w:rsid w:val="00D639CF"/>
    <w:rsid w:val="00DD3648"/>
    <w:rsid w:val="00E23D49"/>
    <w:rsid w:val="00EB3F30"/>
    <w:rsid w:val="00F019D7"/>
    <w:rsid w:val="00F27719"/>
    <w:rsid w:val="00F35D2D"/>
    <w:rsid w:val="00F455B5"/>
    <w:rsid w:val="00F4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4E6F"/>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AB28-9928-4FFF-A70F-5BCB7F5F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5</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47</cp:revision>
  <cp:lastPrinted>2017-12-01T11:22:00Z</cp:lastPrinted>
  <dcterms:created xsi:type="dcterms:W3CDTF">2017-11-30T09:04:00Z</dcterms:created>
  <dcterms:modified xsi:type="dcterms:W3CDTF">2017-12-01T14:04:00Z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