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E0415" w:rsidRDefault="00406398" w:rsidP="00521EED">
      <w:pPr>
        <w:jc w:val="center"/>
        <w:rPr>
          <w:sz w:val="48"/>
        </w:rPr>
      </w:pPr>
      <w:r w:rsidRPr="00406398">
        <w:rPr>
          <w:sz w:val="48"/>
        </w:rPr>
        <w:t xml:space="preserve">Evaluation </w:t>
      </w:r>
      <w:r>
        <w:rPr>
          <w:sz w:val="48"/>
        </w:rPr>
        <w:t>o</w:t>
      </w:r>
      <w:r w:rsidRPr="00406398">
        <w:rPr>
          <w:sz w:val="48"/>
        </w:rPr>
        <w:t xml:space="preserve">f Inverter Topologies Suited </w:t>
      </w:r>
      <w:r>
        <w:rPr>
          <w:sz w:val="48"/>
        </w:rPr>
        <w:t>f</w:t>
      </w:r>
      <w:r w:rsidRPr="00406398">
        <w:rPr>
          <w:sz w:val="48"/>
        </w:rPr>
        <w:t>or Integrated Modular Motor Drive Applications</w:t>
      </w:r>
    </w:p>
    <w:p w:rsidR="009E0415" w:rsidRDefault="009E0415">
      <w:pPr>
        <w:jc w:val="center"/>
      </w:pPr>
    </w:p>
    <w:p w:rsidR="00717BB8" w:rsidRDefault="00717BB8" w:rsidP="00717BB8">
      <w:pPr>
        <w:jc w:val="center"/>
        <w:rPr>
          <w:sz w:val="21"/>
          <w:szCs w:val="22"/>
          <w:lang w:eastAsia="ja-JP"/>
        </w:rPr>
      </w:pPr>
      <w:bookmarkStart w:id="0" w:name="authorName"/>
      <w:bookmarkEnd w:id="0"/>
      <w:r w:rsidRPr="00EB6795">
        <w:rPr>
          <w:rFonts w:hint="eastAsia"/>
          <w:sz w:val="21"/>
          <w:szCs w:val="22"/>
          <w:lang w:eastAsia="ja-JP"/>
        </w:rPr>
        <w:t xml:space="preserve">Topic number: </w:t>
      </w:r>
      <w:r w:rsidR="00521EED">
        <w:rPr>
          <w:sz w:val="21"/>
          <w:szCs w:val="22"/>
          <w:lang w:eastAsia="ja-JP"/>
        </w:rPr>
        <w:t>TT01</w:t>
      </w:r>
    </w:p>
    <w:p w:rsidR="009E0415" w:rsidRDefault="009E0415">
      <w:pPr>
        <w:pStyle w:val="Affiliation"/>
      </w:pPr>
    </w:p>
    <w:p w:rsidR="00521EED" w:rsidRDefault="00521EED">
      <w:pPr>
        <w:pStyle w:val="Affiliation"/>
      </w:pPr>
    </w:p>
    <w:p w:rsidR="009E0415" w:rsidRDefault="009E0415">
      <w:pPr>
        <w:sectPr w:rsidR="009E0415">
          <w:footnotePr>
            <w:pos w:val="beneathText"/>
          </w:footnotePr>
          <w:pgSz w:w="11899" w:h="16837"/>
          <w:pgMar w:top="1080" w:right="850" w:bottom="2261" w:left="850" w:header="720" w:footer="720" w:gutter="0"/>
          <w:cols w:space="720"/>
          <w:docGrid w:linePitch="360"/>
        </w:sectPr>
      </w:pPr>
    </w:p>
    <w:p w:rsidR="009E0415" w:rsidRDefault="009E0415">
      <w:pPr>
        <w:pStyle w:val="abstract"/>
        <w:ind w:firstLine="0"/>
      </w:pPr>
      <w:bookmarkStart w:id="1" w:name="abstract"/>
      <w:bookmarkEnd w:id="1"/>
      <w:r>
        <w:rPr>
          <w:i/>
        </w:rPr>
        <w:lastRenderedPageBreak/>
        <w:t>Abstract-</w:t>
      </w:r>
      <w:r w:rsidR="00C17DEC" w:rsidRPr="00C17DEC">
        <w:t>In this paper, evaluation of inverter topologies for integrated modular motor drive (IMMD) applications is presented. Two-level voltage source inverter (2L-VSI), three-level voltage source inverter (3L-VSI) and series/parallel combinations of these topologies using the modularity of the system are investigated in terms of motor side</w:t>
      </w:r>
      <w:r w:rsidR="00D22622">
        <w:t xml:space="preserve"> and</w:t>
      </w:r>
      <w:r w:rsidR="00C17DEC" w:rsidRPr="00C17DEC">
        <w:t xml:space="preserve"> DC link</w:t>
      </w:r>
      <w:r w:rsidR="00B82B08">
        <w:t xml:space="preserve"> side</w:t>
      </w:r>
      <w:r w:rsidR="00D22622">
        <w:t xml:space="preserve"> voltage and current harmonic spectrum</w:t>
      </w:r>
      <w:r w:rsidR="00C17DEC" w:rsidRPr="00C17DEC">
        <w:t>, passive component sizes and motor drive efficiency. New generation wide band-gap GaN power semiconductor devices are utilized in modular topologies and they are compared with a conventional motor drive</w:t>
      </w:r>
      <w:r w:rsidR="00D22622">
        <w:t xml:space="preserve"> utilizing IGBT</w:t>
      </w:r>
      <w:r w:rsidR="00B82B08">
        <w:t>s</w:t>
      </w:r>
      <w:r w:rsidR="00D22622">
        <w:t xml:space="preserve"> under</w:t>
      </w:r>
      <w:r w:rsidR="00C17DEC" w:rsidRPr="00C17DEC">
        <w:t xml:space="preserve"> the same </w:t>
      </w:r>
      <w:r w:rsidR="00D22622">
        <w:t xml:space="preserve">system </w:t>
      </w:r>
      <w:r w:rsidR="00C17DEC" w:rsidRPr="00C17DEC">
        <w:t>ratings. The effect of phase-shifting between the PWM carrier signals of parallel connected modules</w:t>
      </w:r>
      <w:r w:rsidR="00D22622">
        <w:t xml:space="preserve"> and its contribution to size reduction</w:t>
      </w:r>
      <w:r w:rsidR="00C17DEC" w:rsidRPr="00C17DEC">
        <w:t xml:space="preserve"> is investigated. </w:t>
      </w:r>
      <w:r w:rsidR="00D22622">
        <w:t>IMMD structure has proven to have a super</w:t>
      </w:r>
      <w:r w:rsidR="00FA698F">
        <w:t xml:space="preserve">ior efficiency performance over conventional motor drives, thanks to the utilization of GaNs. </w:t>
      </w:r>
      <w:r w:rsidR="00C17DEC" w:rsidRPr="00C17DEC">
        <w:t>It has been shown that 98</w:t>
      </w:r>
      <w:r w:rsidR="00D22622">
        <w:t>.5</w:t>
      </w:r>
      <w:r w:rsidR="00C17DEC" w:rsidRPr="00C17DEC">
        <w:t>% motor drive efficiency can be achieved using series and parallel connected modules for an 8kW output power.</w:t>
      </w:r>
      <w:r>
        <w:t xml:space="preserve"> </w:t>
      </w:r>
    </w:p>
    <w:p w:rsidR="009E0415" w:rsidRDefault="009E0415">
      <w:pPr>
        <w:pStyle w:val="sectionhead1"/>
        <w:tabs>
          <w:tab w:val="clear" w:pos="360"/>
          <w:tab w:val="left" w:pos="720"/>
        </w:tabs>
        <w:ind w:left="720" w:hanging="720"/>
      </w:pPr>
      <w:bookmarkStart w:id="2" w:name="sectionHeads1"/>
      <w:bookmarkEnd w:id="2"/>
      <w:r>
        <w:t>Introduction</w:t>
      </w:r>
    </w:p>
    <w:p w:rsidR="009E0415" w:rsidRDefault="00377E8A" w:rsidP="00521EED">
      <w:pPr>
        <w:pStyle w:val="text"/>
      </w:pPr>
      <w:bookmarkStart w:id="3" w:name="text"/>
      <w:bookmarkEnd w:id="3"/>
      <w:r>
        <w:t xml:space="preserve">The percentage of electric motor drives in global electricity consumption is over 45% which makes energy conversion efficiency </w:t>
      </w:r>
      <w:r w:rsidR="00A16FD6">
        <w:t>highly</w:t>
      </w:r>
      <w:r>
        <w:t xml:space="preserve"> significant. Many of the electric motor drives are becoming variable frequency adjustable speed drives (ASD</w:t>
      </w:r>
      <w:r w:rsidR="00A16FD6">
        <w:t>s</w:t>
      </w:r>
      <w:r>
        <w:t>) each day due to the need for precise speed or motion control</w:t>
      </w:r>
      <w:r w:rsidR="00A16FD6">
        <w:t xml:space="preserve">. Power density also plays a critical role in designing motor drives </w:t>
      </w:r>
      <w:r>
        <w:t>in several applications such as</w:t>
      </w:r>
      <w:r w:rsidR="00A16FD6">
        <w:t xml:space="preserve"> electric traction and</w:t>
      </w:r>
      <w:r>
        <w:t xml:space="preserve"> aerospac</w:t>
      </w:r>
      <w:r w:rsidR="00A16FD6">
        <w:t>e.</w:t>
      </w:r>
    </w:p>
    <w:p w:rsidR="00377E8A" w:rsidRDefault="00377E8A" w:rsidP="00521EED">
      <w:pPr>
        <w:pStyle w:val="text"/>
      </w:pPr>
      <w:r>
        <w:t xml:space="preserve">Conventional ASDs are composed of motor drive inverter power electronics, </w:t>
      </w:r>
      <w:r w:rsidR="00D602AA">
        <w:t xml:space="preserve">passive components, </w:t>
      </w:r>
      <w:r>
        <w:t xml:space="preserve">cooling structures, control/communication interfaces and sensors for speed control. In integrated motor drives, the aforementioned drive components are integrated on the electric motor to reduce </w:t>
      </w:r>
      <w:r w:rsidR="00D602AA">
        <w:t xml:space="preserve">the </w:t>
      </w:r>
      <w:r>
        <w:t>system size</w:t>
      </w:r>
      <w:r w:rsidR="00D602AA">
        <w:t>,</w:t>
      </w:r>
      <w:r>
        <w:t xml:space="preserve"> eliminate the connection cables for better EMI/EMC performance</w:t>
      </w:r>
      <w:r w:rsidR="00D602AA">
        <w:t xml:space="preserve"> and eliminate the need for separate enclosures</w:t>
      </w:r>
      <w:r>
        <w:t xml:space="preserve"> [</w:t>
      </w:r>
      <w:r w:rsidR="00164CC2" w:rsidRPr="00164CC2">
        <w:rPr>
          <w:sz w:val="12"/>
          <w:szCs w:val="12"/>
          <w:highlight w:val="yellow"/>
        </w:rPr>
        <w:t>Abebe-2016</w:t>
      </w:r>
      <w:r>
        <w:t xml:space="preserve">]. A more compact approach for integration is </w:t>
      </w:r>
      <w:r w:rsidR="00D602AA">
        <w:t>dividing the system in modules which is called the Integrated Modular Motor Drive (IMMD)</w:t>
      </w:r>
      <w:r w:rsidR="00B82B08">
        <w:t xml:space="preserve"> concept</w:t>
      </w:r>
      <w:r w:rsidR="00A16FD6">
        <w:t>.</w:t>
      </w:r>
      <w:r w:rsidR="00D602AA">
        <w:t xml:space="preserve"> </w:t>
      </w:r>
      <w:r w:rsidR="00A16FD6">
        <w:t>A</w:t>
      </w:r>
      <w:r w:rsidR="00D602AA">
        <w:t xml:space="preserve"> dedicated drive is integrated onto each motor segment</w:t>
      </w:r>
      <w:r w:rsidR="00A16FD6">
        <w:t xml:space="preserve"> in IMMDs</w:t>
      </w:r>
      <w:r w:rsidR="00D602AA">
        <w:t xml:space="preserve">. </w:t>
      </w:r>
      <w:r w:rsidR="00A16FD6">
        <w:t>T</w:t>
      </w:r>
      <w:r w:rsidR="00D602AA">
        <w:t>he advantages of using such an arrangement are reduction of power semiconductor device and motor winding voltage and current stress</w:t>
      </w:r>
      <w:r w:rsidR="00A16FD6">
        <w:t>es</w:t>
      </w:r>
      <w:r w:rsidR="00D602AA">
        <w:t xml:space="preserve">, </w:t>
      </w:r>
      <w:r w:rsidR="00B82B08">
        <w:t>improvement</w:t>
      </w:r>
      <w:r w:rsidR="00D602AA">
        <w:t xml:space="preserve"> of fault tolerance capability, distribution of heat sources to get an easier therma</w:t>
      </w:r>
      <w:r w:rsidR="00A16FD6">
        <w:t>l management and</w:t>
      </w:r>
      <w:r w:rsidR="00D602AA">
        <w:t xml:space="preserve"> </w:t>
      </w:r>
      <w:r w:rsidR="00A16FD6">
        <w:t>manufacturing</w:t>
      </w:r>
      <w:r w:rsidR="00D602AA">
        <w:t>, maintenance and repair cost reduction [</w:t>
      </w:r>
      <w:r w:rsidR="00164CC2" w:rsidRPr="00164CC2">
        <w:rPr>
          <w:sz w:val="12"/>
          <w:szCs w:val="12"/>
          <w:highlight w:val="yellow"/>
        </w:rPr>
        <w:t>Wang-2015</w:t>
      </w:r>
      <w:r w:rsidR="00D602AA">
        <w:t>].</w:t>
      </w:r>
    </w:p>
    <w:p w:rsidR="00B82B08" w:rsidRDefault="00B82B08" w:rsidP="00B82B08">
      <w:pPr>
        <w:pStyle w:val="text"/>
      </w:pPr>
      <w:r>
        <w:t xml:space="preserve">With the introduction of modularity to the system, the variety of available topologies suitable for motor drive increases significantly in IMMD applications. Three-phase voltage source inverter (VSI) topologies for different applications such as motor drive or grid-connected renewable </w:t>
      </w:r>
      <w:r>
        <w:lastRenderedPageBreak/>
        <w:t>energy converters have been proposed, evaluated, tested and reported thoroughly for many years. Most of these reports include two-level VSI (2L-VSI) and three-level VSI (3L-VSI), cascaded H-bridge (CHB) and modular multilevel converter (M2LC) for higher voltage ratings</w:t>
      </w:r>
      <w:r w:rsidR="00164CC2">
        <w:t>.</w:t>
      </w:r>
      <w:r>
        <w:t xml:space="preserve">  On the other hand, different motor poles can be connected to separate and dedicated drive inverters in IMMDs which brings design flexibility in terms of moto</w:t>
      </w:r>
      <w:r w:rsidR="00535B6E">
        <w:t>r drive topology selection</w:t>
      </w:r>
      <w:r w:rsidR="00164CC2">
        <w:t xml:space="preserve"> [</w:t>
      </w:r>
      <w:r w:rsidR="00164CC2" w:rsidRPr="00164CC2">
        <w:rPr>
          <w:sz w:val="12"/>
          <w:szCs w:val="12"/>
          <w:highlight w:val="yellow"/>
        </w:rPr>
        <w:t>Yeiu-2014</w:t>
      </w:r>
      <w:r w:rsidR="00164CC2">
        <w:t>]</w:t>
      </w:r>
      <w:r w:rsidR="00535B6E">
        <w:t>.</w:t>
      </w:r>
    </w:p>
    <w:p w:rsidR="00DA6916" w:rsidRDefault="00535B6E" w:rsidP="00521EED">
      <w:pPr>
        <w:pStyle w:val="text"/>
      </w:pPr>
      <w:r>
        <w:t xml:space="preserve">To integrate the drive on its motor, significant size reduction should be achieved </w:t>
      </w:r>
      <w:r w:rsidR="00DA6916">
        <w:t>to fit all the drive components in a small volume [</w:t>
      </w:r>
      <w:r w:rsidR="00164CC2" w:rsidRPr="00164CC2">
        <w:rPr>
          <w:sz w:val="12"/>
          <w:szCs w:val="12"/>
          <w:highlight w:val="yellow"/>
        </w:rPr>
        <w:t>Abebe-2016</w:t>
      </w:r>
      <w:r w:rsidR="00DA6916">
        <w:t>]. The largest components in an average power converter are the passive components and heatsinks [</w:t>
      </w:r>
      <w:r w:rsidR="00947D0E" w:rsidRPr="00947D0E">
        <w:rPr>
          <w:sz w:val="12"/>
          <w:szCs w:val="12"/>
          <w:highlight w:val="yellow"/>
        </w:rPr>
        <w:t>Marz-2010</w:t>
      </w:r>
      <w:r w:rsidR="00DA6916">
        <w:t>], therefore the size reduction challenge can be addressed by either minimization DC link capacitor or heat sink volume (or both) in an integrated drive. Considering the design flexibility, investigation of the most suitable motor drive topology in terms of DC link ripples, AC side harmonics and efficiency is mandatory.</w:t>
      </w:r>
    </w:p>
    <w:p w:rsidR="002F0817" w:rsidRDefault="00DA6916" w:rsidP="002F0817">
      <w:pPr>
        <w:pStyle w:val="text"/>
      </w:pPr>
      <w:r>
        <w:t xml:space="preserve">There have been several studies in search for the most suitable motor drive arrangement for an IMMD design. </w:t>
      </w:r>
      <w:r w:rsidR="009D43F3">
        <w:t>The first integrated regenerative motor drive was proposed in 2002</w:t>
      </w:r>
      <w:r w:rsidR="00A16FD6">
        <w:t xml:space="preserve"> for industry applications</w:t>
      </w:r>
      <w:r w:rsidR="009D43F3">
        <w:t xml:space="preserve"> which was based on a matrix converter topology [</w:t>
      </w:r>
      <w:r w:rsidR="00055406" w:rsidRPr="00055406">
        <w:rPr>
          <w:sz w:val="12"/>
          <w:szCs w:val="12"/>
          <w:highlight w:val="yellow"/>
        </w:rPr>
        <w:t>Klumpner-2002</w:t>
      </w:r>
      <w:r w:rsidR="009D43F3">
        <w:t>].</w:t>
      </w:r>
      <w:r>
        <w:t xml:space="preserve"> </w:t>
      </w:r>
      <w:r w:rsidR="009D43F3">
        <w:t>Another prototype based on matrix converters was b</w:t>
      </w:r>
      <w:r>
        <w:t>uilt for a 30kW induction motor</w:t>
      </w:r>
      <w:r w:rsidR="00A16FD6">
        <w:t xml:space="preserve"> </w:t>
      </w:r>
      <w:r>
        <w:t>[</w:t>
      </w:r>
      <w:r w:rsidR="002F0817" w:rsidRPr="002F0817">
        <w:rPr>
          <w:sz w:val="12"/>
          <w:szCs w:val="12"/>
          <w:highlight w:val="yellow"/>
        </w:rPr>
        <w:t>Wheeler-2005</w:t>
      </w:r>
      <w:r>
        <w:t>]. The aim of these studies were to eliminate the need for filtering elements.</w:t>
      </w:r>
      <w:r w:rsidR="00055406">
        <w:t xml:space="preserve"> In [</w:t>
      </w:r>
      <w:r w:rsidR="002F0817" w:rsidRPr="00055406">
        <w:rPr>
          <w:sz w:val="12"/>
          <w:szCs w:val="12"/>
          <w:highlight w:val="yellow"/>
        </w:rPr>
        <w:t>Klumpner-2002</w:t>
      </w:r>
      <w:r w:rsidR="00055406">
        <w:t>]</w:t>
      </w:r>
      <w:r w:rsidR="002F0817">
        <w:t>, converter topologies on the rectifier front-end are evaluated for integrated motor drives, keeping the inverter side the same. An IMMD design with soft magnetic composite (SMC) core material for a five-phase machine is developed in [</w:t>
      </w:r>
      <w:r w:rsidR="002F0817" w:rsidRPr="002F0817">
        <w:rPr>
          <w:sz w:val="12"/>
          <w:szCs w:val="12"/>
          <w:highlight w:val="yellow"/>
        </w:rPr>
        <w:t>Brown-2007</w:t>
      </w:r>
      <w:r w:rsidR="002F0817" w:rsidRPr="002F0817">
        <w:t>],</w:t>
      </w:r>
      <w:r w:rsidR="002F0817">
        <w:t xml:space="preserve"> where each phase leg is composed of independent IGBT based half-bridges. A similar approach is used in [</w:t>
      </w:r>
      <w:r w:rsidR="002F0817" w:rsidRPr="002F0817">
        <w:rPr>
          <w:sz w:val="12"/>
          <w:szCs w:val="12"/>
          <w:highlight w:val="yellow"/>
        </w:rPr>
        <w:t>Shea-2014</w:t>
      </w:r>
      <w:r w:rsidR="002F0817">
        <w:t xml:space="preserve">] for a six-phase machine, grouping each three-phase with a common neutral point. This was the first IMMD prototype with dedicated controllers on each module to further increase the reliability and fault tolerance. </w:t>
      </w:r>
      <w:r w:rsidR="00947D0E">
        <w:t>A 50kW, 6-phase integrated fault tolerant permanent magnet motor drive is proposed in [</w:t>
      </w:r>
      <w:r w:rsidR="00947D0E" w:rsidRPr="00947D0E">
        <w:rPr>
          <w:sz w:val="12"/>
          <w:szCs w:val="12"/>
          <w:highlight w:val="yellow"/>
        </w:rPr>
        <w:t>Wolmarans-2008</w:t>
      </w:r>
      <w:r w:rsidR="00947D0E">
        <w:t xml:space="preserve">], where each phase of the drive is composed of a full-bridge converter, instead of half bridges. </w:t>
      </w:r>
      <w:r w:rsidR="00264012">
        <w:t>GaN FETs were firstly introduced into the IMMD designs in 2013 to reduce the DC link capacitor size as well as eliminate the heat sink by operating at high switching frequencies [</w:t>
      </w:r>
      <w:r w:rsidR="00264012" w:rsidRPr="00264012">
        <w:rPr>
          <w:sz w:val="12"/>
          <w:szCs w:val="12"/>
          <w:highlight w:val="yellow"/>
        </w:rPr>
        <w:t>Wang-2013</w:t>
      </w:r>
      <w:r w:rsidR="00264012">
        <w:t>]. In this work, series connection of inverter modules is proposed to match the low voltage rating of GaNs to higher DC link voltages. Evaluation of the aforementioned conventional inverter topologies</w:t>
      </w:r>
      <w:r w:rsidR="00947D0E">
        <w:t xml:space="preserve"> (2L-VSI, 3L-VSI and CHB)</w:t>
      </w:r>
      <w:r w:rsidR="00264012">
        <w:t xml:space="preserve"> has been investigated by the authors </w:t>
      </w:r>
      <w:r w:rsidR="00947D0E">
        <w:t>of</w:t>
      </w:r>
      <w:r w:rsidR="00264012">
        <w:t xml:space="preserve"> [</w:t>
      </w:r>
      <w:r w:rsidR="00264012" w:rsidRPr="00947D0E">
        <w:rPr>
          <w:sz w:val="12"/>
          <w:szCs w:val="12"/>
          <w:highlight w:val="yellow"/>
        </w:rPr>
        <w:t>Wang-2014, Yeiu-2014, Wang-2015</w:t>
      </w:r>
      <w:r w:rsidR="00264012">
        <w:t>]</w:t>
      </w:r>
      <w:r w:rsidR="00947D0E">
        <w:t xml:space="preserve"> for IMMDs, and compared with their proposed </w:t>
      </w:r>
      <w:r w:rsidR="00947D0E">
        <w:lastRenderedPageBreak/>
        <w:t>topology having series connected 2L-VSI inverters in terms of number of components used, flexibility in voltage levels, modularity and fault tolerance [</w:t>
      </w:r>
      <w:r w:rsidR="00947D0E" w:rsidRPr="00947D0E">
        <w:rPr>
          <w:sz w:val="12"/>
          <w:szCs w:val="12"/>
          <w:highlight w:val="yellow"/>
        </w:rPr>
        <w:t>Wang-2014</w:t>
      </w:r>
      <w:r w:rsidR="00947D0E">
        <w:t>]. Gate signal interleaving has been applied to decrease the capacitor size requirement [</w:t>
      </w:r>
      <w:r w:rsidR="00947D0E" w:rsidRPr="00947D0E">
        <w:rPr>
          <w:sz w:val="12"/>
          <w:szCs w:val="12"/>
          <w:highlight w:val="yellow"/>
        </w:rPr>
        <w:t>Wang-2014</w:t>
      </w:r>
      <w:r w:rsidR="00947D0E">
        <w:t xml:space="preserve">]. </w:t>
      </w:r>
      <w:r w:rsidR="0007613F">
        <w:t>Additional medium-voltage inverter topologies are mentioned in [</w:t>
      </w:r>
      <w:r w:rsidR="0007613F" w:rsidRPr="0007613F">
        <w:rPr>
          <w:sz w:val="12"/>
          <w:szCs w:val="12"/>
          <w:highlight w:val="yellow"/>
        </w:rPr>
        <w:t>Yeiu-2014</w:t>
      </w:r>
      <w:r w:rsidR="0007613F">
        <w:t>] where separate DC links are used for each inverter. Moreover, the series connected topology is further extended with replacing the 2L-VSI with 3L-VSI either in Neutral Point Clamped (NPC) or Flying Capacitor (FC) configuration [</w:t>
      </w:r>
      <w:r w:rsidR="0007613F" w:rsidRPr="0007613F">
        <w:rPr>
          <w:sz w:val="12"/>
          <w:szCs w:val="12"/>
          <w:highlight w:val="yellow"/>
        </w:rPr>
        <w:t>Yeiu-2014</w:t>
      </w:r>
      <w:r w:rsidR="0007613F">
        <w:t>]. Similar evaluation parameters are considered in these studies; however, these evaluations are generally conceptual rather than providing numerical comparisons.</w:t>
      </w:r>
    </w:p>
    <w:p w:rsidR="0007613F" w:rsidRDefault="0007613F" w:rsidP="002F0817">
      <w:pPr>
        <w:pStyle w:val="text"/>
      </w:pPr>
      <w:r>
        <w:t>In this paper, a detailed analysis is presented for the evaluation of selected inverter topologies suited for IMMD applications</w:t>
      </w:r>
      <w:r w:rsidR="006029E7">
        <w:t>. A conventional 2L-VSI IGBT based inverter is considered in addition to the 2L-VSI and 3L-VSI GaN based IMMD inverters and their series and/or parallel connected derivations. Gate signal interleaving is applied in parallel connected converters to reduce the DC link capacitor size. Motor terminal voltage and line current, DC link voltage and capacitor current spectral analyses are performed using MATLAB/Simulink simulations. Furthermore, power semiconductor losses are analyzed for varying switching frequencies using numerical integration method applied to device waveforms obtained from MATLAB/Simulink simulations.</w:t>
      </w:r>
    </w:p>
    <w:p w:rsidR="009E0415" w:rsidRDefault="00521EED">
      <w:pPr>
        <w:pStyle w:val="sectionhead1"/>
        <w:tabs>
          <w:tab w:val="clear" w:pos="360"/>
          <w:tab w:val="left" w:pos="720"/>
        </w:tabs>
        <w:ind w:left="720" w:hanging="720"/>
      </w:pPr>
      <w:bookmarkStart w:id="4" w:name="tableCaptions"/>
      <w:bookmarkEnd w:id="4"/>
      <w:r>
        <w:t>System Descrıptıon</w:t>
      </w:r>
    </w:p>
    <w:p w:rsidR="009E0415" w:rsidRDefault="00521EED">
      <w:pPr>
        <w:pStyle w:val="Head2"/>
        <w:tabs>
          <w:tab w:val="left" w:pos="360"/>
        </w:tabs>
        <w:spacing w:before="0" w:line="240" w:lineRule="exact"/>
        <w:ind w:left="360" w:hanging="360"/>
        <w:rPr>
          <w:spacing w:val="0"/>
        </w:rPr>
      </w:pPr>
      <w:r>
        <w:rPr>
          <w:spacing w:val="0"/>
        </w:rPr>
        <w:t>Integrated Modular Motor Drives</w:t>
      </w:r>
    </w:p>
    <w:p w:rsidR="005D6E90" w:rsidRDefault="00653EB5" w:rsidP="005D6E90">
      <w:pPr>
        <w:pStyle w:val="text"/>
      </w:pPr>
      <w:r>
        <w:t>There are several ways of integration proposed in the literature</w:t>
      </w:r>
      <w:r w:rsidR="00293CCE">
        <w:t xml:space="preserve"> [</w:t>
      </w:r>
      <w:r w:rsidR="00293CCE" w:rsidRPr="00164CC2">
        <w:rPr>
          <w:sz w:val="12"/>
          <w:szCs w:val="12"/>
          <w:highlight w:val="yellow"/>
        </w:rPr>
        <w:t>Abebe-2016</w:t>
      </w:r>
      <w:r w:rsidR="00293CCE">
        <w:t>]</w:t>
      </w:r>
      <w:r>
        <w:t xml:space="preserve">. The IMMD structure considered in this paper is called stator iron mount integration where each stator pole piece has its own drive module consisting of power electronics, </w:t>
      </w:r>
      <w:r w:rsidR="00293CCE">
        <w:t xml:space="preserve">and </w:t>
      </w:r>
      <w:r>
        <w:t>control</w:t>
      </w:r>
      <w:r w:rsidR="00293CCE">
        <w:t xml:space="preserve"> electronics as shown in Fig. 1 </w:t>
      </w:r>
      <w:r w:rsidR="00293CCE">
        <w:t>[</w:t>
      </w:r>
      <w:r w:rsidR="00293CCE" w:rsidRPr="002F0817">
        <w:rPr>
          <w:sz w:val="12"/>
          <w:szCs w:val="12"/>
          <w:highlight w:val="yellow"/>
        </w:rPr>
        <w:t>Shea-2014</w:t>
      </w:r>
      <w:r w:rsidR="00293CCE">
        <w:t>].</w:t>
      </w:r>
      <w:r w:rsidR="005D6E90">
        <w:t xml:space="preserve"> </w:t>
      </w:r>
      <w:r w:rsidR="005D6E90">
        <w:t>In this study, and IMMD having a nominal output power of 8</w:t>
      </w:r>
      <w:r w:rsidR="00505B10">
        <w:t xml:space="preserve"> kW is considered. The block diagram can be seen in Fig. 2. </w:t>
      </w:r>
      <w:r w:rsidR="005D6E90">
        <w:t xml:space="preserve">Depending on the number </w:t>
      </w:r>
      <w:r w:rsidR="00505B10">
        <w:t xml:space="preserve">of </w:t>
      </w:r>
      <w:r w:rsidR="005D6E90">
        <w:t>machine poles, the topology and configuration of modular pole-drive modules can be arranged. The rated values of the system are shown in Table 1.</w:t>
      </w:r>
      <w:r w:rsidR="00505B10">
        <w:t xml:space="preserve"> </w:t>
      </w:r>
    </w:p>
    <w:p w:rsidR="00293CCE" w:rsidRDefault="005D6E90" w:rsidP="00293CCE">
      <w:pPr>
        <w:pStyle w:val="text"/>
      </w:pPr>
      <w:r>
        <w:rPr>
          <w:noProof/>
          <w:lang w:eastAsia="en-US"/>
        </w:rPr>
        <w:drawing>
          <wp:anchor distT="0" distB="0" distL="114300" distR="114300" simplePos="0" relativeHeight="251658752" behindDoc="1" locked="0" layoutInCell="1" allowOverlap="1" wp14:anchorId="6ED43442" wp14:editId="5DE5C2B5">
            <wp:simplePos x="0" y="0"/>
            <wp:positionH relativeFrom="column">
              <wp:posOffset>260350</wp:posOffset>
            </wp:positionH>
            <wp:positionV relativeFrom="paragraph">
              <wp:posOffset>52705</wp:posOffset>
            </wp:positionV>
            <wp:extent cx="2501900" cy="1338580"/>
            <wp:effectExtent l="0" t="0" r="0" b="0"/>
            <wp:wrapTight wrapText="bothSides">
              <wp:wrapPolygon edited="0">
                <wp:start x="0" y="0"/>
                <wp:lineTo x="0" y="21211"/>
                <wp:lineTo x="21381" y="21211"/>
                <wp:lineTo x="213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1338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6E90" w:rsidRDefault="005D6E90">
      <w:pPr>
        <w:pStyle w:val="text"/>
        <w:rPr>
          <w:sz w:val="16"/>
          <w:szCs w:val="16"/>
        </w:rPr>
      </w:pPr>
    </w:p>
    <w:p w:rsidR="005D6E90" w:rsidRDefault="005D6E90" w:rsidP="005D6E90">
      <w:pPr>
        <w:pStyle w:val="text"/>
        <w:ind w:firstLine="0"/>
        <w:rPr>
          <w:sz w:val="16"/>
          <w:szCs w:val="16"/>
        </w:rPr>
      </w:pPr>
    </w:p>
    <w:p w:rsidR="005D6E90" w:rsidRDefault="005D6E90" w:rsidP="005D6E90">
      <w:pPr>
        <w:pStyle w:val="text"/>
        <w:ind w:firstLine="0"/>
        <w:rPr>
          <w:sz w:val="16"/>
          <w:szCs w:val="16"/>
        </w:rPr>
      </w:pPr>
    </w:p>
    <w:p w:rsidR="005D6E90" w:rsidRDefault="005D6E90" w:rsidP="005D6E90">
      <w:pPr>
        <w:pStyle w:val="text"/>
        <w:ind w:firstLine="0"/>
        <w:rPr>
          <w:sz w:val="16"/>
          <w:szCs w:val="16"/>
        </w:rPr>
      </w:pPr>
    </w:p>
    <w:p w:rsidR="005D6E90" w:rsidRDefault="005D6E90" w:rsidP="005D6E90">
      <w:pPr>
        <w:pStyle w:val="text"/>
        <w:ind w:firstLine="0"/>
        <w:rPr>
          <w:sz w:val="16"/>
          <w:szCs w:val="16"/>
        </w:rPr>
      </w:pPr>
    </w:p>
    <w:p w:rsidR="005D6E90" w:rsidRDefault="005D6E90" w:rsidP="005D6E90">
      <w:pPr>
        <w:pStyle w:val="text"/>
        <w:ind w:firstLine="0"/>
        <w:rPr>
          <w:sz w:val="16"/>
          <w:szCs w:val="16"/>
        </w:rPr>
      </w:pPr>
    </w:p>
    <w:p w:rsidR="005D6E90" w:rsidRDefault="005D6E90" w:rsidP="005D6E90">
      <w:pPr>
        <w:pStyle w:val="text"/>
        <w:ind w:firstLine="0"/>
        <w:rPr>
          <w:sz w:val="16"/>
          <w:szCs w:val="16"/>
        </w:rPr>
      </w:pPr>
    </w:p>
    <w:p w:rsidR="005D6E90" w:rsidRDefault="005D6E90" w:rsidP="005D6E90">
      <w:pPr>
        <w:pStyle w:val="text"/>
        <w:ind w:firstLine="0"/>
        <w:rPr>
          <w:sz w:val="16"/>
          <w:szCs w:val="16"/>
        </w:rPr>
      </w:pPr>
    </w:p>
    <w:p w:rsidR="00293CCE" w:rsidRDefault="00293CCE" w:rsidP="005D6E90">
      <w:pPr>
        <w:pStyle w:val="text"/>
        <w:ind w:firstLine="0"/>
        <w:rPr>
          <w:sz w:val="16"/>
          <w:szCs w:val="16"/>
        </w:rPr>
      </w:pPr>
      <w:r w:rsidRPr="00293CCE">
        <w:rPr>
          <w:sz w:val="16"/>
          <w:szCs w:val="16"/>
        </w:rPr>
        <w:t>Fig. 1. An IMMD illustration with stator iron mount integration</w:t>
      </w:r>
      <w:r w:rsidR="00505B10">
        <w:rPr>
          <w:sz w:val="16"/>
          <w:szCs w:val="16"/>
        </w:rPr>
        <w:t xml:space="preserve"> [</w:t>
      </w:r>
      <w:r w:rsidR="00505B10" w:rsidRPr="002F0817">
        <w:rPr>
          <w:sz w:val="12"/>
          <w:szCs w:val="12"/>
          <w:highlight w:val="yellow"/>
        </w:rPr>
        <w:t>Shea-2014</w:t>
      </w:r>
      <w:r w:rsidR="00505B10">
        <w:rPr>
          <w:sz w:val="16"/>
          <w:szCs w:val="16"/>
        </w:rPr>
        <w:t>]</w:t>
      </w:r>
    </w:p>
    <w:p w:rsidR="005D6E90" w:rsidRDefault="005D6E90" w:rsidP="005D6E90">
      <w:pPr>
        <w:spacing w:before="120" w:line="216" w:lineRule="auto"/>
        <w:jc w:val="center"/>
        <w:rPr>
          <w:sz w:val="16"/>
        </w:rPr>
      </w:pPr>
      <w:r>
        <w:rPr>
          <w:sz w:val="16"/>
        </w:rPr>
        <w:t>TABLE I</w:t>
      </w:r>
    </w:p>
    <w:p w:rsidR="005D6E90" w:rsidRDefault="005D6E90" w:rsidP="005D6E90">
      <w:pPr>
        <w:spacing w:after="60"/>
        <w:jc w:val="center"/>
        <w:rPr>
          <w:smallCaps/>
          <w:sz w:val="16"/>
        </w:rPr>
      </w:pPr>
      <w:r>
        <w:rPr>
          <w:smallCaps/>
          <w:sz w:val="16"/>
        </w:rPr>
        <w:t>Rated Values of the System</w:t>
      </w:r>
    </w:p>
    <w:tbl>
      <w:tblPr>
        <w:tblW w:w="0" w:type="auto"/>
        <w:jc w:val="center"/>
        <w:tblLayout w:type="fixed"/>
        <w:tblCellMar>
          <w:left w:w="70" w:type="dxa"/>
          <w:right w:w="70" w:type="dxa"/>
        </w:tblCellMar>
        <w:tblLook w:val="0000" w:firstRow="0" w:lastRow="0" w:firstColumn="0" w:lastColumn="0" w:noHBand="0" w:noVBand="0"/>
      </w:tblPr>
      <w:tblGrid>
        <w:gridCol w:w="3510"/>
        <w:gridCol w:w="1405"/>
      </w:tblGrid>
      <w:tr w:rsidR="005D6E90" w:rsidRPr="007E3C6D" w:rsidTr="005D6E90">
        <w:trPr>
          <w:jc w:val="center"/>
        </w:trPr>
        <w:tc>
          <w:tcPr>
            <w:tcW w:w="3510" w:type="dxa"/>
            <w:tcBorders>
              <w:top w:val="single" w:sz="4" w:space="0" w:color="auto"/>
              <w:bottom w:val="single" w:sz="4" w:space="0" w:color="auto"/>
            </w:tcBorders>
          </w:tcPr>
          <w:p w:rsidR="005D6E90" w:rsidRPr="005D6E90" w:rsidRDefault="005D6E90" w:rsidP="00900448">
            <w:pPr>
              <w:pStyle w:val="List"/>
              <w:rPr>
                <w:b w:val="0"/>
                <w:sz w:val="16"/>
                <w:szCs w:val="16"/>
              </w:rPr>
            </w:pPr>
            <w:r w:rsidRPr="005D6E90">
              <w:rPr>
                <w:b w:val="0"/>
                <w:sz w:val="16"/>
                <w:szCs w:val="16"/>
              </w:rPr>
              <w:t>Parameter</w:t>
            </w:r>
          </w:p>
        </w:tc>
        <w:tc>
          <w:tcPr>
            <w:tcW w:w="1405" w:type="dxa"/>
            <w:tcBorders>
              <w:top w:val="single" w:sz="4" w:space="0" w:color="auto"/>
              <w:bottom w:val="single" w:sz="4" w:space="0" w:color="auto"/>
            </w:tcBorders>
          </w:tcPr>
          <w:p w:rsidR="005D6E90" w:rsidRPr="005D6E90" w:rsidRDefault="005D6E90" w:rsidP="00900448">
            <w:pPr>
              <w:pStyle w:val="List"/>
              <w:rPr>
                <w:b w:val="0"/>
                <w:sz w:val="16"/>
                <w:szCs w:val="16"/>
              </w:rPr>
            </w:pPr>
            <w:r w:rsidRPr="005D6E90">
              <w:rPr>
                <w:b w:val="0"/>
                <w:sz w:val="16"/>
                <w:szCs w:val="16"/>
              </w:rPr>
              <w:t>Value</w:t>
            </w:r>
          </w:p>
        </w:tc>
      </w:tr>
      <w:tr w:rsidR="005D6E90" w:rsidRPr="007E3C6D" w:rsidTr="005D6E90">
        <w:trPr>
          <w:jc w:val="center"/>
        </w:trPr>
        <w:tc>
          <w:tcPr>
            <w:tcW w:w="3510" w:type="dxa"/>
            <w:tcBorders>
              <w:top w:val="single" w:sz="4" w:space="0" w:color="auto"/>
            </w:tcBorders>
          </w:tcPr>
          <w:p w:rsidR="005D6E90" w:rsidRPr="005D6E90" w:rsidRDefault="005D6E90" w:rsidP="00900448">
            <w:pPr>
              <w:pStyle w:val="List"/>
              <w:rPr>
                <w:b w:val="0"/>
                <w:sz w:val="16"/>
                <w:szCs w:val="16"/>
              </w:rPr>
            </w:pPr>
            <w:r>
              <w:rPr>
                <w:b w:val="0"/>
                <w:sz w:val="16"/>
                <w:szCs w:val="16"/>
              </w:rPr>
              <w:t>Drive</w:t>
            </w:r>
            <w:r w:rsidRPr="005D6E90">
              <w:rPr>
                <w:b w:val="0"/>
                <w:sz w:val="16"/>
                <w:szCs w:val="16"/>
              </w:rPr>
              <w:t xml:space="preserve"> total output power, </w:t>
            </w:r>
            <w:r w:rsidRPr="005D6E90">
              <w:rPr>
                <w:b w:val="0"/>
                <w:i/>
                <w:sz w:val="16"/>
                <w:szCs w:val="16"/>
              </w:rPr>
              <w:t>P</w:t>
            </w:r>
            <w:r w:rsidRPr="005D6E90">
              <w:rPr>
                <w:b w:val="0"/>
                <w:i/>
                <w:sz w:val="16"/>
                <w:szCs w:val="16"/>
                <w:vertAlign w:val="subscript"/>
              </w:rPr>
              <w:t>out</w:t>
            </w:r>
          </w:p>
        </w:tc>
        <w:tc>
          <w:tcPr>
            <w:tcW w:w="1405" w:type="dxa"/>
            <w:tcBorders>
              <w:top w:val="single" w:sz="4" w:space="0" w:color="auto"/>
            </w:tcBorders>
          </w:tcPr>
          <w:p w:rsidR="005D6E90" w:rsidRPr="005D6E90" w:rsidRDefault="005D6E90" w:rsidP="00900448">
            <w:pPr>
              <w:pStyle w:val="List"/>
              <w:rPr>
                <w:b w:val="0"/>
                <w:sz w:val="16"/>
                <w:szCs w:val="16"/>
              </w:rPr>
            </w:pPr>
            <w:r w:rsidRPr="005D6E90">
              <w:rPr>
                <w:b w:val="0"/>
                <w:sz w:val="16"/>
                <w:szCs w:val="16"/>
              </w:rPr>
              <w:t>8 kW</w:t>
            </w:r>
          </w:p>
        </w:tc>
      </w:tr>
      <w:tr w:rsidR="005D6E90" w:rsidRPr="007E3C6D" w:rsidTr="005D6E90">
        <w:trPr>
          <w:jc w:val="center"/>
        </w:trPr>
        <w:tc>
          <w:tcPr>
            <w:tcW w:w="3510" w:type="dxa"/>
          </w:tcPr>
          <w:p w:rsidR="005D6E90" w:rsidRPr="005D6E90" w:rsidRDefault="005D6E90" w:rsidP="005D6E90">
            <w:pPr>
              <w:pStyle w:val="List"/>
              <w:rPr>
                <w:b w:val="0"/>
                <w:sz w:val="16"/>
                <w:szCs w:val="16"/>
              </w:rPr>
            </w:pPr>
            <w:r w:rsidRPr="005D6E90">
              <w:rPr>
                <w:b w:val="0"/>
                <w:sz w:val="16"/>
                <w:szCs w:val="16"/>
              </w:rPr>
              <w:t xml:space="preserve">DC link voltage, </w:t>
            </w:r>
            <w:r w:rsidRPr="005D6E90">
              <w:rPr>
                <w:b w:val="0"/>
                <w:i/>
                <w:sz w:val="16"/>
                <w:szCs w:val="16"/>
              </w:rPr>
              <w:t>V</w:t>
            </w:r>
            <w:r w:rsidRPr="005D6E90">
              <w:rPr>
                <w:b w:val="0"/>
                <w:i/>
                <w:sz w:val="16"/>
                <w:szCs w:val="16"/>
                <w:vertAlign w:val="subscript"/>
              </w:rPr>
              <w:t>dc</w:t>
            </w:r>
          </w:p>
        </w:tc>
        <w:tc>
          <w:tcPr>
            <w:tcW w:w="1405" w:type="dxa"/>
          </w:tcPr>
          <w:p w:rsidR="005D6E90" w:rsidRPr="005D6E90" w:rsidRDefault="005D6E90" w:rsidP="005D6E90">
            <w:pPr>
              <w:pStyle w:val="List"/>
              <w:rPr>
                <w:b w:val="0"/>
                <w:sz w:val="16"/>
                <w:szCs w:val="16"/>
              </w:rPr>
            </w:pPr>
            <w:r w:rsidRPr="005D6E90">
              <w:rPr>
                <w:b w:val="0"/>
                <w:sz w:val="16"/>
                <w:szCs w:val="16"/>
              </w:rPr>
              <w:t>540 V</w:t>
            </w:r>
          </w:p>
        </w:tc>
      </w:tr>
      <w:tr w:rsidR="005D6E90" w:rsidRPr="007E3C6D" w:rsidTr="005D6E90">
        <w:trPr>
          <w:jc w:val="center"/>
        </w:trPr>
        <w:tc>
          <w:tcPr>
            <w:tcW w:w="3510" w:type="dxa"/>
          </w:tcPr>
          <w:p w:rsidR="005D6E90" w:rsidRPr="005D6E90" w:rsidRDefault="005D6E90" w:rsidP="005D6E90">
            <w:pPr>
              <w:pStyle w:val="List"/>
              <w:rPr>
                <w:b w:val="0"/>
                <w:sz w:val="16"/>
                <w:szCs w:val="16"/>
              </w:rPr>
            </w:pPr>
            <w:r>
              <w:rPr>
                <w:b w:val="0"/>
                <w:sz w:val="16"/>
                <w:szCs w:val="16"/>
              </w:rPr>
              <w:t>Number of phases in each module</w:t>
            </w:r>
            <w:r w:rsidRPr="005D6E90">
              <w:rPr>
                <w:b w:val="0"/>
                <w:sz w:val="16"/>
                <w:szCs w:val="16"/>
              </w:rPr>
              <w:t xml:space="preserve">, </w:t>
            </w:r>
            <w:r w:rsidRPr="005D6E90">
              <w:rPr>
                <w:b w:val="0"/>
                <w:i/>
                <w:sz w:val="16"/>
                <w:szCs w:val="16"/>
              </w:rPr>
              <w:t>m</w:t>
            </w:r>
          </w:p>
        </w:tc>
        <w:tc>
          <w:tcPr>
            <w:tcW w:w="1405" w:type="dxa"/>
          </w:tcPr>
          <w:p w:rsidR="005D6E90" w:rsidRPr="005D6E90" w:rsidRDefault="005D6E90" w:rsidP="00900448">
            <w:pPr>
              <w:pStyle w:val="List"/>
              <w:rPr>
                <w:b w:val="0"/>
                <w:sz w:val="16"/>
                <w:szCs w:val="16"/>
              </w:rPr>
            </w:pPr>
            <w:r>
              <w:rPr>
                <w:b w:val="0"/>
                <w:sz w:val="16"/>
                <w:szCs w:val="16"/>
              </w:rPr>
              <w:t>3</w:t>
            </w:r>
          </w:p>
        </w:tc>
      </w:tr>
      <w:tr w:rsidR="005D6E90" w:rsidRPr="007E3C6D" w:rsidTr="005D6E90">
        <w:trPr>
          <w:jc w:val="center"/>
        </w:trPr>
        <w:tc>
          <w:tcPr>
            <w:tcW w:w="3510" w:type="dxa"/>
            <w:tcBorders>
              <w:bottom w:val="single" w:sz="4" w:space="0" w:color="auto"/>
            </w:tcBorders>
          </w:tcPr>
          <w:p w:rsidR="005D6E90" w:rsidRPr="005D6E90" w:rsidRDefault="005D6E90" w:rsidP="00900448">
            <w:pPr>
              <w:pStyle w:val="List"/>
              <w:rPr>
                <w:b w:val="0"/>
                <w:sz w:val="16"/>
                <w:szCs w:val="16"/>
              </w:rPr>
            </w:pPr>
            <w:r>
              <w:rPr>
                <w:b w:val="0"/>
                <w:sz w:val="16"/>
                <w:szCs w:val="16"/>
              </w:rPr>
              <w:t xml:space="preserve">Power factor, </w:t>
            </w:r>
            <w:r w:rsidRPr="005D6E90">
              <w:rPr>
                <w:b w:val="0"/>
                <w:i/>
                <w:sz w:val="16"/>
                <w:szCs w:val="16"/>
              </w:rPr>
              <w:t>pf</w:t>
            </w:r>
          </w:p>
        </w:tc>
        <w:tc>
          <w:tcPr>
            <w:tcW w:w="1405" w:type="dxa"/>
            <w:tcBorders>
              <w:bottom w:val="single" w:sz="4" w:space="0" w:color="auto"/>
            </w:tcBorders>
          </w:tcPr>
          <w:p w:rsidR="005D6E90" w:rsidRPr="005D6E90" w:rsidRDefault="005D6E90" w:rsidP="00900448">
            <w:pPr>
              <w:pStyle w:val="List"/>
              <w:rPr>
                <w:b w:val="0"/>
                <w:sz w:val="16"/>
                <w:szCs w:val="16"/>
              </w:rPr>
            </w:pPr>
            <w:r>
              <w:rPr>
                <w:b w:val="0"/>
                <w:sz w:val="16"/>
                <w:szCs w:val="16"/>
              </w:rPr>
              <w:t>0.9</w:t>
            </w:r>
          </w:p>
        </w:tc>
      </w:tr>
    </w:tbl>
    <w:p w:rsidR="00521EED" w:rsidRDefault="00521EED" w:rsidP="00521EED">
      <w:pPr>
        <w:pStyle w:val="Head2"/>
        <w:tabs>
          <w:tab w:val="left" w:pos="360"/>
        </w:tabs>
        <w:spacing w:before="0" w:line="240" w:lineRule="exact"/>
        <w:ind w:left="360" w:hanging="360"/>
        <w:rPr>
          <w:spacing w:val="0"/>
        </w:rPr>
      </w:pPr>
      <w:r>
        <w:rPr>
          <w:spacing w:val="0"/>
        </w:rPr>
        <w:lastRenderedPageBreak/>
        <w:t>Classification of Topologies</w:t>
      </w:r>
    </w:p>
    <w:p w:rsidR="00635154" w:rsidRDefault="00CD3AAC" w:rsidP="00CD3AAC">
      <w:pPr>
        <w:pStyle w:val="text"/>
      </w:pPr>
      <w:r>
        <w:t>Five different IMMD topologies are considered and evaluated which are shown in Fig.</w:t>
      </w:r>
      <w:r w:rsidR="00505B10">
        <w:t xml:space="preserve"> 3</w:t>
      </w:r>
      <w:r>
        <w:t xml:space="preserve">. 2L-2S-VSI is the same as the one proposed in </w:t>
      </w:r>
      <w:r>
        <w:t>[</w:t>
      </w:r>
      <w:r w:rsidRPr="00947D0E">
        <w:rPr>
          <w:sz w:val="12"/>
          <w:szCs w:val="12"/>
          <w:highlight w:val="yellow"/>
        </w:rPr>
        <w:t>Wang-2014</w:t>
      </w:r>
      <w:r>
        <w:t>]. 2L-2S2P-VSI and 3L-2P-VSI are topologies derived from the series connected one.</w:t>
      </w:r>
      <w:r w:rsidR="00635154">
        <w:t xml:space="preserve"> These are newly developed topologies where both series and parallel connection are applied simultaneously.</w:t>
      </w:r>
      <w:r w:rsidR="009C7316">
        <w:t xml:space="preserve"> The 3-level topologies are in diode clamped (neutral point clamped) multilevel configuration. </w:t>
      </w:r>
    </w:p>
    <w:p w:rsidR="00635154" w:rsidRDefault="00CD3AAC" w:rsidP="00CD3AAC">
      <w:pPr>
        <w:pStyle w:val="text"/>
      </w:pPr>
      <w:r>
        <w:t>The modulation technique is Sinusoidal Pulse Width Modulation (SPWM) for all topologies. Additionally, interleaving is applied for the topologies where parallel connected modules share the same module capacitor. In fact, the same technique can be applied to series connected modules; however, while decreasing the ripple voltage on the overall DC input, it does not affect the percent ripple on the individual module DC buses. The aim of restricting the percent ripple on the DC link is to make sure that the AC side voltage waveform quality is not affected by the DC link ripples, therefore it is meaningless to decrease the overall DC link voltage ripple.</w:t>
      </w:r>
    </w:p>
    <w:p w:rsidR="00CD3AAC" w:rsidRDefault="00CD3AAC" w:rsidP="00CD3AAC">
      <w:pPr>
        <w:pStyle w:val="text"/>
      </w:pPr>
      <w:r>
        <w:t xml:space="preserve"> </w:t>
      </w:r>
    </w:p>
    <w:p w:rsidR="00521EED" w:rsidRDefault="00521EED" w:rsidP="00521EED">
      <w:pPr>
        <w:pStyle w:val="Head2"/>
        <w:tabs>
          <w:tab w:val="left" w:pos="360"/>
        </w:tabs>
        <w:spacing w:before="0" w:line="240" w:lineRule="exact"/>
        <w:ind w:left="360" w:hanging="360"/>
        <w:rPr>
          <w:spacing w:val="0"/>
        </w:rPr>
      </w:pPr>
      <w:r>
        <w:rPr>
          <w:spacing w:val="0"/>
        </w:rPr>
        <w:t>Power Semiconductor Devices</w:t>
      </w:r>
    </w:p>
    <w:p w:rsidR="00521EED" w:rsidRDefault="00635154" w:rsidP="00521EED">
      <w:pPr>
        <w:pStyle w:val="text"/>
      </w:pPr>
      <w:r>
        <w:t>A conventional drive topology (2L-VSI) is considered having IGBTs and anti-parallel diodes as power semiconductor devices, to be able to compare the power density and efficiency of IMMDs with a conventional motor drive. For the other topologies, a kind of series connection is used purposefully, either directly connecting 2-level modules in series, or using 3-level inverters, to make the drive having an input of 540 V</w:t>
      </w:r>
      <w:r w:rsidRPr="00635154">
        <w:rPr>
          <w:vertAlign w:val="subscript"/>
        </w:rPr>
        <w:t>DC</w:t>
      </w:r>
      <w:r>
        <w:t xml:space="preserve">   compatible with commercially available GAN FETs with the highest voltage rating. Two different GaNs having 650V blocking voltage rating are used from GaN Systems with suitable current ratings according to the having parallel connection or not. Finally, Silicon Carbide (SiC) Schottky diode from Wolfspeed is selected </w:t>
      </w:r>
      <w:r w:rsidR="009C7316">
        <w:t xml:space="preserve">for </w:t>
      </w:r>
      <w:r>
        <w:t>the clamping</w:t>
      </w:r>
      <w:r w:rsidR="009C7316">
        <w:t xml:space="preserve"> diode of </w:t>
      </w:r>
      <w:r w:rsidR="00D3304A">
        <w:t>the 3-level topologies. All the selected devices and their basic parameters are shown in Table 2 [</w:t>
      </w:r>
      <w:r w:rsidR="00D3304A" w:rsidRPr="00D3304A">
        <w:rPr>
          <w:sz w:val="12"/>
          <w:szCs w:val="12"/>
          <w:highlight w:val="yellow"/>
        </w:rPr>
        <w:t>GanS-Infineon-Wolfs</w:t>
      </w:r>
      <w:r w:rsidR="00D3304A">
        <w:t>].</w:t>
      </w:r>
    </w:p>
    <w:p w:rsidR="00505B10" w:rsidRDefault="00505B10" w:rsidP="00521EED">
      <w:pPr>
        <w:pStyle w:val="text"/>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10.8pt;margin-top:1.55pt;width:223.6pt;height:81.4pt;z-index:251660800;mso-position-horizontal-relative:text;mso-position-vertical-relative:text" wrapcoords="5689 1317 5014 2898 4725 4215 4725 9746 2796 12380 2314 13434 193 15015 193 18176 2314 18176 1929 20020 2604 21337 12632 21337 17068 21337 18611 21337 20250 19756 20154 18176 20636 18176 21504 15278 21407 10273 20732 9746 20829 7639 19671 6322 17068 5532 17164 4215 11186 1844 6943 1317 5689 1317">
            <v:imagedata r:id="rId9" o:title=""/>
            <w10:wrap type="tight"/>
          </v:shape>
          <o:OLEObject Type="Embed" ProgID="Visio.Drawing.15" ShapeID="_x0000_s1032" DrawAspect="Content" ObjectID="_1581943253" r:id="rId10"/>
        </w:object>
      </w:r>
    </w:p>
    <w:p w:rsidR="00505B10" w:rsidRDefault="00505B10" w:rsidP="00521EED">
      <w:pPr>
        <w:pStyle w:val="text"/>
      </w:pPr>
    </w:p>
    <w:p w:rsidR="00505B10" w:rsidRDefault="00505B10" w:rsidP="00521EED">
      <w:pPr>
        <w:pStyle w:val="text"/>
      </w:pPr>
    </w:p>
    <w:p w:rsidR="00505B10" w:rsidRDefault="00505B10" w:rsidP="00521EED">
      <w:pPr>
        <w:pStyle w:val="text"/>
      </w:pPr>
    </w:p>
    <w:p w:rsidR="00505B10" w:rsidRDefault="00505B10" w:rsidP="00521EED">
      <w:pPr>
        <w:pStyle w:val="text"/>
      </w:pPr>
    </w:p>
    <w:p w:rsidR="00505B10" w:rsidRDefault="00505B10" w:rsidP="00505B10">
      <w:pPr>
        <w:pStyle w:val="text"/>
        <w:ind w:firstLine="0"/>
        <w:rPr>
          <w:sz w:val="16"/>
          <w:szCs w:val="16"/>
        </w:rPr>
      </w:pPr>
    </w:p>
    <w:p w:rsidR="00505B10" w:rsidRDefault="00505B10" w:rsidP="00505B10">
      <w:pPr>
        <w:pStyle w:val="text"/>
        <w:ind w:firstLine="0"/>
        <w:rPr>
          <w:sz w:val="16"/>
          <w:szCs w:val="16"/>
        </w:rPr>
      </w:pPr>
      <w:r>
        <w:rPr>
          <w:sz w:val="16"/>
          <w:szCs w:val="16"/>
        </w:rPr>
        <w:t>Fig. 2</w:t>
      </w:r>
      <w:r w:rsidRPr="00293CCE">
        <w:rPr>
          <w:sz w:val="16"/>
          <w:szCs w:val="16"/>
        </w:rPr>
        <w:t xml:space="preserve">. </w:t>
      </w:r>
      <w:r>
        <w:rPr>
          <w:sz w:val="16"/>
          <w:szCs w:val="16"/>
        </w:rPr>
        <w:t>Block diagram of the IMMD</w:t>
      </w:r>
    </w:p>
    <w:p w:rsidR="00517A47" w:rsidRDefault="00517A47" w:rsidP="00517A47">
      <w:pPr>
        <w:spacing w:before="120" w:line="216" w:lineRule="auto"/>
        <w:jc w:val="center"/>
        <w:rPr>
          <w:sz w:val="16"/>
        </w:rPr>
      </w:pPr>
      <w:r>
        <w:rPr>
          <w:sz w:val="16"/>
        </w:rPr>
        <w:t>TABLE I</w:t>
      </w:r>
      <w:r>
        <w:rPr>
          <w:sz w:val="16"/>
        </w:rPr>
        <w:t>I</w:t>
      </w:r>
    </w:p>
    <w:p w:rsidR="00517A47" w:rsidRDefault="00517A47" w:rsidP="00584DB5">
      <w:pPr>
        <w:pStyle w:val="text"/>
        <w:jc w:val="center"/>
        <w:rPr>
          <w:smallCaps/>
          <w:sz w:val="16"/>
        </w:rPr>
      </w:pPr>
      <w:r>
        <w:rPr>
          <w:smallCaps/>
          <w:sz w:val="16"/>
        </w:rPr>
        <w:t>Selected Devıces and theır parameters</w:t>
      </w:r>
    </w:p>
    <w:p w:rsidR="009576A6" w:rsidRDefault="009576A6" w:rsidP="00584DB5">
      <w:pPr>
        <w:pStyle w:val="text"/>
        <w:jc w:val="center"/>
        <w:rPr>
          <w:smallCaps/>
          <w:sz w:val="16"/>
        </w:rPr>
      </w:pPr>
    </w:p>
    <w:tbl>
      <w:tblPr>
        <w:tblW w:w="5130" w:type="dxa"/>
        <w:jc w:val="center"/>
        <w:tblLayout w:type="fixed"/>
        <w:tblLook w:val="04A0" w:firstRow="1" w:lastRow="0" w:firstColumn="1" w:lastColumn="0" w:noHBand="0" w:noVBand="1"/>
      </w:tblPr>
      <w:tblGrid>
        <w:gridCol w:w="895"/>
        <w:gridCol w:w="1175"/>
        <w:gridCol w:w="990"/>
        <w:gridCol w:w="990"/>
        <w:gridCol w:w="1080"/>
      </w:tblGrid>
      <w:tr w:rsidR="009576A6" w:rsidRPr="00E85834" w:rsidTr="00900448">
        <w:trPr>
          <w:jc w:val="center"/>
        </w:trPr>
        <w:tc>
          <w:tcPr>
            <w:tcW w:w="895" w:type="dxa"/>
            <w:tcBorders>
              <w:top w:val="single" w:sz="4" w:space="0" w:color="auto"/>
              <w:bottom w:val="single" w:sz="4" w:space="0" w:color="auto"/>
            </w:tcBorders>
            <w:shd w:val="clear" w:color="auto" w:fill="auto"/>
          </w:tcPr>
          <w:p w:rsidR="009576A6" w:rsidRPr="00E85834" w:rsidRDefault="009576A6" w:rsidP="00900448">
            <w:pPr>
              <w:pStyle w:val="BodyTextKeep"/>
              <w:ind w:right="0"/>
              <w:jc w:val="center"/>
              <w:rPr>
                <w:b/>
                <w:sz w:val="16"/>
                <w:szCs w:val="16"/>
                <w:lang w:val="en-US"/>
              </w:rPr>
            </w:pPr>
            <w:r w:rsidRPr="00E85834">
              <w:rPr>
                <w:b/>
                <w:sz w:val="16"/>
                <w:szCs w:val="16"/>
                <w:lang w:val="en-US"/>
              </w:rPr>
              <w:t>Device</w:t>
            </w:r>
          </w:p>
        </w:tc>
        <w:tc>
          <w:tcPr>
            <w:tcW w:w="1175" w:type="dxa"/>
            <w:tcBorders>
              <w:top w:val="single" w:sz="4" w:space="0" w:color="auto"/>
              <w:bottom w:val="single" w:sz="4" w:space="0" w:color="auto"/>
            </w:tcBorders>
            <w:shd w:val="clear" w:color="auto" w:fill="auto"/>
          </w:tcPr>
          <w:p w:rsidR="009576A6" w:rsidRPr="00517A47" w:rsidRDefault="009576A6" w:rsidP="00900448">
            <w:pPr>
              <w:pStyle w:val="BodyTextKeep"/>
              <w:ind w:right="0"/>
              <w:jc w:val="center"/>
              <w:rPr>
                <w:b/>
                <w:sz w:val="16"/>
                <w:szCs w:val="16"/>
                <w:lang w:val="en-US"/>
              </w:rPr>
            </w:pPr>
            <w:r w:rsidRPr="00517A47">
              <w:rPr>
                <w:b/>
                <w:sz w:val="16"/>
                <w:szCs w:val="16"/>
              </w:rPr>
              <w:t>FF50R12RT4</w:t>
            </w:r>
          </w:p>
        </w:tc>
        <w:tc>
          <w:tcPr>
            <w:tcW w:w="990" w:type="dxa"/>
            <w:tcBorders>
              <w:top w:val="single" w:sz="4" w:space="0" w:color="auto"/>
              <w:bottom w:val="single" w:sz="4" w:space="0" w:color="auto"/>
            </w:tcBorders>
          </w:tcPr>
          <w:p w:rsidR="009576A6" w:rsidRPr="00E85834" w:rsidRDefault="009576A6" w:rsidP="00900448">
            <w:pPr>
              <w:pStyle w:val="BodyTextKeep"/>
              <w:ind w:right="0"/>
              <w:jc w:val="center"/>
              <w:rPr>
                <w:b/>
                <w:sz w:val="16"/>
                <w:szCs w:val="16"/>
                <w:lang w:val="en-US"/>
              </w:rPr>
            </w:pPr>
            <w:r w:rsidRPr="00E85834">
              <w:rPr>
                <w:b/>
                <w:sz w:val="16"/>
                <w:szCs w:val="16"/>
                <w:lang w:val="en-US"/>
              </w:rPr>
              <w:t>GS66508B</w:t>
            </w:r>
          </w:p>
        </w:tc>
        <w:tc>
          <w:tcPr>
            <w:tcW w:w="990" w:type="dxa"/>
            <w:tcBorders>
              <w:top w:val="single" w:sz="4" w:space="0" w:color="auto"/>
              <w:bottom w:val="single" w:sz="4" w:space="0" w:color="auto"/>
            </w:tcBorders>
          </w:tcPr>
          <w:p w:rsidR="009576A6" w:rsidRPr="00E85834" w:rsidRDefault="009576A6" w:rsidP="00900448">
            <w:pPr>
              <w:pStyle w:val="BodyTextKeep"/>
              <w:ind w:right="0"/>
              <w:jc w:val="center"/>
              <w:rPr>
                <w:b/>
                <w:sz w:val="16"/>
                <w:szCs w:val="16"/>
                <w:lang w:val="en-US"/>
              </w:rPr>
            </w:pPr>
            <w:r>
              <w:rPr>
                <w:b/>
                <w:sz w:val="16"/>
                <w:szCs w:val="16"/>
                <w:lang w:val="en-US"/>
              </w:rPr>
              <w:t>GS66516</w:t>
            </w:r>
            <w:r w:rsidRPr="00E85834">
              <w:rPr>
                <w:b/>
                <w:sz w:val="16"/>
                <w:szCs w:val="16"/>
                <w:lang w:val="en-US"/>
              </w:rPr>
              <w:t>B</w:t>
            </w:r>
          </w:p>
        </w:tc>
        <w:tc>
          <w:tcPr>
            <w:tcW w:w="1080" w:type="dxa"/>
            <w:tcBorders>
              <w:top w:val="single" w:sz="4" w:space="0" w:color="auto"/>
              <w:bottom w:val="single" w:sz="4" w:space="0" w:color="auto"/>
            </w:tcBorders>
            <w:shd w:val="clear" w:color="auto" w:fill="auto"/>
          </w:tcPr>
          <w:p w:rsidR="009576A6" w:rsidRPr="00E85834" w:rsidRDefault="009576A6" w:rsidP="00900448">
            <w:pPr>
              <w:pStyle w:val="BodyTextKeep"/>
              <w:ind w:right="0"/>
              <w:jc w:val="center"/>
              <w:rPr>
                <w:b/>
                <w:sz w:val="16"/>
                <w:szCs w:val="16"/>
                <w:lang w:val="en-US"/>
              </w:rPr>
            </w:pPr>
            <w:r w:rsidRPr="00517A47">
              <w:rPr>
                <w:b/>
                <w:sz w:val="16"/>
                <w:szCs w:val="16"/>
                <w:lang w:val="en-US"/>
              </w:rPr>
              <w:t>C5D50065D</w:t>
            </w:r>
          </w:p>
        </w:tc>
      </w:tr>
      <w:tr w:rsidR="009576A6" w:rsidRPr="00E85834" w:rsidTr="00900448">
        <w:trPr>
          <w:jc w:val="center"/>
        </w:trPr>
        <w:tc>
          <w:tcPr>
            <w:tcW w:w="895" w:type="dxa"/>
            <w:tcBorders>
              <w:top w:val="single" w:sz="4" w:space="0" w:color="auto"/>
            </w:tcBorders>
            <w:shd w:val="clear" w:color="auto" w:fill="auto"/>
          </w:tcPr>
          <w:p w:rsidR="009576A6" w:rsidRPr="00517A47" w:rsidRDefault="009576A6" w:rsidP="00900448">
            <w:pPr>
              <w:pStyle w:val="BodyTextKeep"/>
              <w:ind w:right="0"/>
              <w:jc w:val="center"/>
              <w:rPr>
                <w:sz w:val="14"/>
                <w:szCs w:val="14"/>
                <w:lang w:val="en-US"/>
              </w:rPr>
            </w:pPr>
            <w:r w:rsidRPr="00517A47">
              <w:rPr>
                <w:sz w:val="14"/>
                <w:szCs w:val="14"/>
                <w:lang w:val="en-US"/>
              </w:rPr>
              <w:t>Type</w:t>
            </w:r>
          </w:p>
        </w:tc>
        <w:tc>
          <w:tcPr>
            <w:tcW w:w="1175" w:type="dxa"/>
            <w:tcBorders>
              <w:top w:val="single" w:sz="4" w:space="0" w:color="auto"/>
            </w:tcBorders>
            <w:shd w:val="clear" w:color="auto" w:fill="auto"/>
          </w:tcPr>
          <w:p w:rsidR="009576A6" w:rsidRPr="00517A47" w:rsidRDefault="009576A6" w:rsidP="00900448">
            <w:pPr>
              <w:pStyle w:val="BodyTextKeep"/>
              <w:ind w:right="0"/>
              <w:jc w:val="center"/>
              <w:rPr>
                <w:sz w:val="14"/>
                <w:szCs w:val="14"/>
                <w:lang w:val="en-US"/>
              </w:rPr>
            </w:pPr>
            <w:r w:rsidRPr="00517A47">
              <w:rPr>
                <w:sz w:val="14"/>
                <w:szCs w:val="14"/>
                <w:lang w:val="en-US"/>
              </w:rPr>
              <w:t>IGBT</w:t>
            </w:r>
          </w:p>
        </w:tc>
        <w:tc>
          <w:tcPr>
            <w:tcW w:w="990" w:type="dxa"/>
            <w:tcBorders>
              <w:top w:val="single" w:sz="4" w:space="0" w:color="auto"/>
            </w:tcBorders>
          </w:tcPr>
          <w:p w:rsidR="009576A6" w:rsidRPr="00517A47" w:rsidRDefault="009576A6" w:rsidP="00900448">
            <w:pPr>
              <w:pStyle w:val="BodyTextKeep"/>
              <w:ind w:right="0"/>
              <w:jc w:val="center"/>
              <w:rPr>
                <w:sz w:val="14"/>
                <w:szCs w:val="14"/>
                <w:lang w:val="en-US"/>
              </w:rPr>
            </w:pPr>
            <w:r w:rsidRPr="00517A47">
              <w:rPr>
                <w:sz w:val="14"/>
                <w:szCs w:val="14"/>
                <w:lang w:val="en-US"/>
              </w:rPr>
              <w:t>E-mode GaN</w:t>
            </w:r>
          </w:p>
        </w:tc>
        <w:tc>
          <w:tcPr>
            <w:tcW w:w="990" w:type="dxa"/>
            <w:tcBorders>
              <w:top w:val="single" w:sz="4" w:space="0" w:color="auto"/>
            </w:tcBorders>
          </w:tcPr>
          <w:p w:rsidR="009576A6" w:rsidRPr="00517A47" w:rsidRDefault="009576A6" w:rsidP="00900448">
            <w:pPr>
              <w:pStyle w:val="BodyTextKeep"/>
              <w:ind w:right="0"/>
              <w:jc w:val="center"/>
              <w:rPr>
                <w:sz w:val="14"/>
                <w:szCs w:val="14"/>
                <w:lang w:val="en-US"/>
              </w:rPr>
            </w:pPr>
            <w:r w:rsidRPr="00517A47">
              <w:rPr>
                <w:sz w:val="14"/>
                <w:szCs w:val="14"/>
                <w:lang w:val="en-US"/>
              </w:rPr>
              <w:t>E-mode GaN</w:t>
            </w:r>
          </w:p>
        </w:tc>
        <w:tc>
          <w:tcPr>
            <w:tcW w:w="1080" w:type="dxa"/>
            <w:tcBorders>
              <w:top w:val="single" w:sz="4" w:space="0" w:color="auto"/>
            </w:tcBorders>
            <w:shd w:val="clear" w:color="auto" w:fill="auto"/>
          </w:tcPr>
          <w:p w:rsidR="009576A6" w:rsidRPr="00517A47" w:rsidRDefault="009576A6" w:rsidP="00900448">
            <w:pPr>
              <w:pStyle w:val="BodyTextKeep"/>
              <w:ind w:right="0"/>
              <w:jc w:val="center"/>
              <w:rPr>
                <w:sz w:val="14"/>
                <w:szCs w:val="14"/>
                <w:lang w:val="en-US"/>
              </w:rPr>
            </w:pPr>
            <w:r>
              <w:rPr>
                <w:sz w:val="14"/>
                <w:szCs w:val="14"/>
                <w:lang w:val="en-US"/>
              </w:rPr>
              <w:t>SiC Schottky</w:t>
            </w:r>
          </w:p>
        </w:tc>
      </w:tr>
      <w:tr w:rsidR="009576A6" w:rsidRPr="00E85834" w:rsidTr="00900448">
        <w:trPr>
          <w:jc w:val="center"/>
        </w:trPr>
        <w:tc>
          <w:tcPr>
            <w:tcW w:w="895" w:type="dxa"/>
            <w:shd w:val="clear" w:color="auto" w:fill="auto"/>
          </w:tcPr>
          <w:p w:rsidR="009576A6" w:rsidRPr="00517A47" w:rsidRDefault="009576A6" w:rsidP="00900448">
            <w:pPr>
              <w:pStyle w:val="BodyTextKeep"/>
              <w:ind w:right="0"/>
              <w:jc w:val="center"/>
              <w:rPr>
                <w:sz w:val="14"/>
                <w:szCs w:val="14"/>
                <w:lang w:val="en-US"/>
              </w:rPr>
            </w:pPr>
            <w:r w:rsidRPr="00517A47">
              <w:rPr>
                <w:sz w:val="14"/>
                <w:szCs w:val="14"/>
                <w:lang w:val="en-US"/>
              </w:rPr>
              <w:t>Voltage</w:t>
            </w:r>
          </w:p>
        </w:tc>
        <w:tc>
          <w:tcPr>
            <w:tcW w:w="1175" w:type="dxa"/>
            <w:shd w:val="clear" w:color="auto" w:fill="auto"/>
          </w:tcPr>
          <w:p w:rsidR="009576A6" w:rsidRPr="00517A47" w:rsidRDefault="009576A6" w:rsidP="00900448">
            <w:pPr>
              <w:pStyle w:val="BodyTextKeep"/>
              <w:ind w:right="0"/>
              <w:jc w:val="center"/>
              <w:rPr>
                <w:sz w:val="14"/>
                <w:szCs w:val="14"/>
                <w:lang w:val="en-US"/>
              </w:rPr>
            </w:pPr>
            <w:r w:rsidRPr="00517A47">
              <w:rPr>
                <w:sz w:val="14"/>
                <w:szCs w:val="14"/>
                <w:lang w:val="en-US"/>
              </w:rPr>
              <w:t>1200 V</w:t>
            </w:r>
          </w:p>
        </w:tc>
        <w:tc>
          <w:tcPr>
            <w:tcW w:w="990" w:type="dxa"/>
          </w:tcPr>
          <w:p w:rsidR="009576A6" w:rsidRPr="00517A47" w:rsidRDefault="009576A6" w:rsidP="00900448">
            <w:pPr>
              <w:pStyle w:val="BodyTextKeep"/>
              <w:ind w:right="0"/>
              <w:jc w:val="center"/>
              <w:rPr>
                <w:sz w:val="14"/>
                <w:szCs w:val="14"/>
                <w:lang w:val="en-US"/>
              </w:rPr>
            </w:pPr>
            <w:r w:rsidRPr="00517A47">
              <w:rPr>
                <w:sz w:val="14"/>
                <w:szCs w:val="14"/>
                <w:lang w:val="en-US"/>
              </w:rPr>
              <w:t>650 V</w:t>
            </w:r>
          </w:p>
        </w:tc>
        <w:tc>
          <w:tcPr>
            <w:tcW w:w="990" w:type="dxa"/>
          </w:tcPr>
          <w:p w:rsidR="009576A6" w:rsidRPr="00517A47" w:rsidRDefault="009576A6" w:rsidP="00900448">
            <w:pPr>
              <w:pStyle w:val="BodyTextKeep"/>
              <w:ind w:right="0"/>
              <w:jc w:val="center"/>
              <w:rPr>
                <w:sz w:val="14"/>
                <w:szCs w:val="14"/>
                <w:lang w:val="en-US"/>
              </w:rPr>
            </w:pPr>
            <w:r w:rsidRPr="00517A47">
              <w:rPr>
                <w:sz w:val="14"/>
                <w:szCs w:val="14"/>
                <w:lang w:val="en-US"/>
              </w:rPr>
              <w:t>650 V</w:t>
            </w:r>
          </w:p>
        </w:tc>
        <w:tc>
          <w:tcPr>
            <w:tcW w:w="1080" w:type="dxa"/>
            <w:shd w:val="clear" w:color="auto" w:fill="auto"/>
          </w:tcPr>
          <w:p w:rsidR="009576A6" w:rsidRPr="00517A47" w:rsidRDefault="009576A6" w:rsidP="00900448">
            <w:pPr>
              <w:pStyle w:val="BodyTextKeep"/>
              <w:ind w:right="0"/>
              <w:jc w:val="center"/>
              <w:rPr>
                <w:sz w:val="14"/>
                <w:szCs w:val="14"/>
                <w:lang w:val="en-US"/>
              </w:rPr>
            </w:pPr>
            <w:r w:rsidRPr="00517A47">
              <w:rPr>
                <w:sz w:val="14"/>
                <w:szCs w:val="14"/>
                <w:lang w:val="en-US"/>
              </w:rPr>
              <w:t>650 V</w:t>
            </w:r>
          </w:p>
        </w:tc>
      </w:tr>
      <w:tr w:rsidR="009576A6" w:rsidRPr="00E85834" w:rsidTr="00900448">
        <w:trPr>
          <w:jc w:val="center"/>
        </w:trPr>
        <w:tc>
          <w:tcPr>
            <w:tcW w:w="895" w:type="dxa"/>
            <w:shd w:val="clear" w:color="auto" w:fill="auto"/>
          </w:tcPr>
          <w:p w:rsidR="009576A6" w:rsidRPr="00517A47" w:rsidRDefault="009576A6" w:rsidP="00900448">
            <w:pPr>
              <w:pStyle w:val="BodyTextKeep"/>
              <w:ind w:right="0"/>
              <w:jc w:val="center"/>
              <w:rPr>
                <w:sz w:val="14"/>
                <w:szCs w:val="14"/>
                <w:lang w:val="en-US"/>
              </w:rPr>
            </w:pPr>
            <w:r w:rsidRPr="00517A47">
              <w:rPr>
                <w:sz w:val="14"/>
                <w:szCs w:val="14"/>
                <w:lang w:val="en-US"/>
              </w:rPr>
              <w:t>Current</w:t>
            </w:r>
          </w:p>
        </w:tc>
        <w:tc>
          <w:tcPr>
            <w:tcW w:w="1175" w:type="dxa"/>
            <w:shd w:val="clear" w:color="auto" w:fill="auto"/>
          </w:tcPr>
          <w:p w:rsidR="009576A6" w:rsidRPr="00517A47" w:rsidRDefault="009576A6" w:rsidP="00900448">
            <w:pPr>
              <w:pStyle w:val="BodyTextKeep"/>
              <w:ind w:right="0"/>
              <w:jc w:val="center"/>
              <w:rPr>
                <w:sz w:val="14"/>
                <w:szCs w:val="14"/>
                <w:lang w:val="en-US"/>
              </w:rPr>
            </w:pPr>
            <w:r>
              <w:rPr>
                <w:sz w:val="14"/>
                <w:szCs w:val="14"/>
                <w:lang w:val="en-US"/>
              </w:rPr>
              <w:t>50</w:t>
            </w:r>
            <w:r w:rsidRPr="00517A47">
              <w:rPr>
                <w:sz w:val="14"/>
                <w:szCs w:val="14"/>
                <w:lang w:val="en-US"/>
              </w:rPr>
              <w:t xml:space="preserve"> A</w:t>
            </w:r>
          </w:p>
        </w:tc>
        <w:tc>
          <w:tcPr>
            <w:tcW w:w="990" w:type="dxa"/>
          </w:tcPr>
          <w:p w:rsidR="009576A6" w:rsidRPr="00517A47" w:rsidRDefault="009576A6" w:rsidP="00900448">
            <w:pPr>
              <w:pStyle w:val="BodyTextKeep"/>
              <w:ind w:right="0"/>
              <w:jc w:val="center"/>
              <w:rPr>
                <w:sz w:val="14"/>
                <w:szCs w:val="14"/>
                <w:lang w:val="en-US"/>
              </w:rPr>
            </w:pPr>
            <w:r w:rsidRPr="00517A47">
              <w:rPr>
                <w:sz w:val="14"/>
                <w:szCs w:val="14"/>
                <w:lang w:val="en-US"/>
              </w:rPr>
              <w:t>30 A</w:t>
            </w:r>
          </w:p>
        </w:tc>
        <w:tc>
          <w:tcPr>
            <w:tcW w:w="990" w:type="dxa"/>
          </w:tcPr>
          <w:p w:rsidR="009576A6" w:rsidRPr="00517A47" w:rsidRDefault="009576A6" w:rsidP="00900448">
            <w:pPr>
              <w:pStyle w:val="BodyTextKeep"/>
              <w:ind w:right="0"/>
              <w:jc w:val="center"/>
              <w:rPr>
                <w:sz w:val="14"/>
                <w:szCs w:val="14"/>
                <w:lang w:val="en-US"/>
              </w:rPr>
            </w:pPr>
            <w:r>
              <w:rPr>
                <w:sz w:val="14"/>
                <w:szCs w:val="14"/>
                <w:lang w:val="en-US"/>
              </w:rPr>
              <w:t>6</w:t>
            </w:r>
            <w:r w:rsidRPr="00517A47">
              <w:rPr>
                <w:sz w:val="14"/>
                <w:szCs w:val="14"/>
                <w:lang w:val="en-US"/>
              </w:rPr>
              <w:t>0 A</w:t>
            </w:r>
          </w:p>
        </w:tc>
        <w:tc>
          <w:tcPr>
            <w:tcW w:w="1080" w:type="dxa"/>
            <w:shd w:val="clear" w:color="auto" w:fill="auto"/>
          </w:tcPr>
          <w:p w:rsidR="009576A6" w:rsidRPr="00517A47" w:rsidRDefault="009576A6" w:rsidP="00900448">
            <w:pPr>
              <w:pStyle w:val="BodyTextKeep"/>
              <w:ind w:right="0"/>
              <w:jc w:val="center"/>
              <w:rPr>
                <w:sz w:val="14"/>
                <w:szCs w:val="14"/>
                <w:lang w:val="en-US"/>
              </w:rPr>
            </w:pPr>
            <w:r>
              <w:rPr>
                <w:sz w:val="14"/>
                <w:szCs w:val="14"/>
                <w:lang w:val="en-US"/>
              </w:rPr>
              <w:t>50</w:t>
            </w:r>
            <w:r w:rsidRPr="00517A47">
              <w:rPr>
                <w:sz w:val="14"/>
                <w:szCs w:val="14"/>
                <w:lang w:val="en-US"/>
              </w:rPr>
              <w:t xml:space="preserve"> A</w:t>
            </w:r>
          </w:p>
        </w:tc>
      </w:tr>
      <w:tr w:rsidR="009576A6" w:rsidRPr="00E85834" w:rsidTr="00900448">
        <w:trPr>
          <w:jc w:val="center"/>
        </w:trPr>
        <w:tc>
          <w:tcPr>
            <w:tcW w:w="895" w:type="dxa"/>
            <w:shd w:val="clear" w:color="auto" w:fill="auto"/>
          </w:tcPr>
          <w:p w:rsidR="009576A6" w:rsidRPr="00517A47" w:rsidRDefault="009576A6" w:rsidP="00900448">
            <w:pPr>
              <w:pStyle w:val="BodyTextKeep"/>
              <w:ind w:right="0"/>
              <w:jc w:val="center"/>
              <w:rPr>
                <w:sz w:val="14"/>
                <w:szCs w:val="14"/>
                <w:lang w:val="en-US"/>
              </w:rPr>
            </w:pPr>
            <w:r w:rsidRPr="00517A47">
              <w:rPr>
                <w:sz w:val="14"/>
                <w:szCs w:val="14"/>
                <w:lang w:val="en-US"/>
              </w:rPr>
              <w:t>V</w:t>
            </w:r>
            <w:r w:rsidRPr="00517A47">
              <w:rPr>
                <w:sz w:val="14"/>
                <w:szCs w:val="14"/>
                <w:vertAlign w:val="subscript"/>
                <w:lang w:val="en-US"/>
              </w:rPr>
              <w:t>ce,sat</w:t>
            </w:r>
          </w:p>
        </w:tc>
        <w:tc>
          <w:tcPr>
            <w:tcW w:w="1175" w:type="dxa"/>
            <w:shd w:val="clear" w:color="auto" w:fill="auto"/>
          </w:tcPr>
          <w:p w:rsidR="009576A6" w:rsidRPr="00517A47" w:rsidRDefault="009576A6" w:rsidP="00900448">
            <w:pPr>
              <w:pStyle w:val="BodyTextKeep"/>
              <w:ind w:right="0"/>
              <w:jc w:val="center"/>
              <w:rPr>
                <w:sz w:val="14"/>
                <w:szCs w:val="14"/>
                <w:lang w:val="en-US"/>
              </w:rPr>
            </w:pPr>
            <w:r w:rsidRPr="00517A47">
              <w:rPr>
                <w:sz w:val="14"/>
                <w:szCs w:val="14"/>
                <w:lang w:val="en-US"/>
              </w:rPr>
              <w:t>2,15 V</w:t>
            </w:r>
          </w:p>
        </w:tc>
        <w:tc>
          <w:tcPr>
            <w:tcW w:w="990" w:type="dxa"/>
          </w:tcPr>
          <w:p w:rsidR="009576A6" w:rsidRPr="00517A47" w:rsidRDefault="009576A6" w:rsidP="00900448">
            <w:pPr>
              <w:pStyle w:val="BodyTextKeep"/>
              <w:ind w:right="0"/>
              <w:jc w:val="center"/>
              <w:rPr>
                <w:sz w:val="14"/>
                <w:szCs w:val="14"/>
                <w:lang w:val="en-US"/>
              </w:rPr>
            </w:pPr>
            <w:r w:rsidRPr="00517A47">
              <w:rPr>
                <w:sz w:val="14"/>
                <w:szCs w:val="14"/>
                <w:lang w:val="en-US"/>
              </w:rPr>
              <w:t>-</w:t>
            </w:r>
          </w:p>
        </w:tc>
        <w:tc>
          <w:tcPr>
            <w:tcW w:w="990" w:type="dxa"/>
          </w:tcPr>
          <w:p w:rsidR="009576A6" w:rsidRPr="00517A47" w:rsidRDefault="009576A6" w:rsidP="00900448">
            <w:pPr>
              <w:pStyle w:val="BodyTextKeep"/>
              <w:ind w:right="0"/>
              <w:jc w:val="center"/>
              <w:rPr>
                <w:sz w:val="14"/>
                <w:szCs w:val="14"/>
                <w:lang w:val="en-US"/>
              </w:rPr>
            </w:pPr>
            <w:r w:rsidRPr="00517A47">
              <w:rPr>
                <w:sz w:val="14"/>
                <w:szCs w:val="14"/>
                <w:lang w:val="en-US"/>
              </w:rPr>
              <w:t>-</w:t>
            </w:r>
          </w:p>
        </w:tc>
        <w:tc>
          <w:tcPr>
            <w:tcW w:w="1080" w:type="dxa"/>
            <w:shd w:val="clear" w:color="auto" w:fill="auto"/>
          </w:tcPr>
          <w:p w:rsidR="009576A6" w:rsidRPr="00517A47" w:rsidRDefault="009576A6" w:rsidP="00900448">
            <w:pPr>
              <w:pStyle w:val="BodyTextKeep"/>
              <w:ind w:right="0"/>
              <w:jc w:val="center"/>
              <w:rPr>
                <w:sz w:val="14"/>
                <w:szCs w:val="14"/>
                <w:lang w:val="en-US"/>
              </w:rPr>
            </w:pPr>
            <w:r w:rsidRPr="00517A47">
              <w:rPr>
                <w:sz w:val="14"/>
                <w:szCs w:val="14"/>
                <w:lang w:val="en-US"/>
              </w:rPr>
              <w:t>-</w:t>
            </w:r>
          </w:p>
        </w:tc>
      </w:tr>
      <w:tr w:rsidR="009576A6" w:rsidRPr="00E85834" w:rsidTr="00900448">
        <w:trPr>
          <w:jc w:val="center"/>
        </w:trPr>
        <w:tc>
          <w:tcPr>
            <w:tcW w:w="895" w:type="dxa"/>
            <w:shd w:val="clear" w:color="auto" w:fill="auto"/>
          </w:tcPr>
          <w:p w:rsidR="009576A6" w:rsidRPr="00517A47" w:rsidRDefault="009576A6" w:rsidP="00900448">
            <w:pPr>
              <w:pStyle w:val="BodyTextKeep"/>
              <w:ind w:right="0"/>
              <w:jc w:val="center"/>
              <w:rPr>
                <w:sz w:val="14"/>
                <w:szCs w:val="14"/>
                <w:lang w:val="en-US"/>
              </w:rPr>
            </w:pPr>
            <w:r w:rsidRPr="00517A47">
              <w:rPr>
                <w:sz w:val="14"/>
                <w:szCs w:val="14"/>
                <w:lang w:val="en-US"/>
              </w:rPr>
              <w:t>R</w:t>
            </w:r>
            <w:r w:rsidRPr="00517A47">
              <w:rPr>
                <w:sz w:val="14"/>
                <w:szCs w:val="14"/>
                <w:vertAlign w:val="subscript"/>
                <w:lang w:val="en-US"/>
              </w:rPr>
              <w:t>ds,on</w:t>
            </w:r>
          </w:p>
        </w:tc>
        <w:tc>
          <w:tcPr>
            <w:tcW w:w="1175" w:type="dxa"/>
            <w:shd w:val="clear" w:color="auto" w:fill="auto"/>
          </w:tcPr>
          <w:p w:rsidR="009576A6" w:rsidRPr="00517A47" w:rsidRDefault="009576A6" w:rsidP="00900448">
            <w:pPr>
              <w:pStyle w:val="BodyTextKeep"/>
              <w:ind w:right="0"/>
              <w:jc w:val="center"/>
              <w:rPr>
                <w:sz w:val="14"/>
                <w:szCs w:val="14"/>
                <w:lang w:val="en-US"/>
              </w:rPr>
            </w:pPr>
            <w:r w:rsidRPr="00517A47">
              <w:rPr>
                <w:sz w:val="14"/>
                <w:szCs w:val="14"/>
                <w:lang w:val="en-US"/>
              </w:rPr>
              <w:t>-</w:t>
            </w:r>
          </w:p>
        </w:tc>
        <w:tc>
          <w:tcPr>
            <w:tcW w:w="990" w:type="dxa"/>
          </w:tcPr>
          <w:p w:rsidR="009576A6" w:rsidRPr="00517A47" w:rsidRDefault="009576A6" w:rsidP="00900448">
            <w:pPr>
              <w:pStyle w:val="BodyTextKeep"/>
              <w:ind w:right="0"/>
              <w:jc w:val="center"/>
              <w:rPr>
                <w:sz w:val="14"/>
                <w:szCs w:val="14"/>
                <w:lang w:val="en-US"/>
              </w:rPr>
            </w:pPr>
            <w:r w:rsidRPr="00517A47">
              <w:rPr>
                <w:sz w:val="14"/>
                <w:szCs w:val="14"/>
                <w:lang w:val="en-US"/>
              </w:rPr>
              <w:t>50 mΩ</w:t>
            </w:r>
          </w:p>
        </w:tc>
        <w:tc>
          <w:tcPr>
            <w:tcW w:w="990" w:type="dxa"/>
          </w:tcPr>
          <w:p w:rsidR="009576A6" w:rsidRPr="00517A47" w:rsidRDefault="009576A6" w:rsidP="00900448">
            <w:pPr>
              <w:pStyle w:val="BodyTextKeep"/>
              <w:ind w:right="0"/>
              <w:jc w:val="center"/>
              <w:rPr>
                <w:sz w:val="14"/>
                <w:szCs w:val="14"/>
                <w:lang w:val="en-US"/>
              </w:rPr>
            </w:pPr>
            <w:r>
              <w:rPr>
                <w:sz w:val="14"/>
                <w:szCs w:val="14"/>
                <w:lang w:val="en-US"/>
              </w:rPr>
              <w:t>25</w:t>
            </w:r>
            <w:r w:rsidRPr="00517A47">
              <w:rPr>
                <w:sz w:val="14"/>
                <w:szCs w:val="14"/>
                <w:lang w:val="en-US"/>
              </w:rPr>
              <w:t xml:space="preserve"> mΩ</w:t>
            </w:r>
          </w:p>
        </w:tc>
        <w:tc>
          <w:tcPr>
            <w:tcW w:w="1080" w:type="dxa"/>
            <w:shd w:val="clear" w:color="auto" w:fill="auto"/>
          </w:tcPr>
          <w:p w:rsidR="009576A6" w:rsidRPr="00517A47" w:rsidRDefault="009576A6" w:rsidP="00900448">
            <w:pPr>
              <w:pStyle w:val="BodyTextKeep"/>
              <w:ind w:right="0"/>
              <w:jc w:val="center"/>
              <w:rPr>
                <w:sz w:val="14"/>
                <w:szCs w:val="14"/>
                <w:lang w:val="en-US"/>
              </w:rPr>
            </w:pPr>
            <w:r>
              <w:rPr>
                <w:sz w:val="14"/>
                <w:szCs w:val="14"/>
                <w:lang w:val="en-US"/>
              </w:rPr>
              <w:t>-</w:t>
            </w:r>
          </w:p>
        </w:tc>
      </w:tr>
      <w:tr w:rsidR="009576A6" w:rsidRPr="00E85834" w:rsidTr="00900448">
        <w:trPr>
          <w:jc w:val="center"/>
        </w:trPr>
        <w:tc>
          <w:tcPr>
            <w:tcW w:w="895" w:type="dxa"/>
            <w:tcBorders>
              <w:bottom w:val="single" w:sz="4" w:space="0" w:color="auto"/>
            </w:tcBorders>
            <w:shd w:val="clear" w:color="auto" w:fill="auto"/>
          </w:tcPr>
          <w:p w:rsidR="009576A6" w:rsidRPr="00517A47" w:rsidRDefault="009576A6" w:rsidP="00900448">
            <w:pPr>
              <w:pStyle w:val="BodyTextKeep"/>
              <w:ind w:right="0"/>
              <w:jc w:val="center"/>
              <w:rPr>
                <w:sz w:val="14"/>
                <w:szCs w:val="14"/>
                <w:lang w:val="en-US"/>
              </w:rPr>
            </w:pPr>
            <w:r>
              <w:rPr>
                <w:sz w:val="14"/>
                <w:szCs w:val="14"/>
                <w:lang w:val="en-US"/>
              </w:rPr>
              <w:t>V</w:t>
            </w:r>
            <w:r w:rsidRPr="00517A47">
              <w:rPr>
                <w:sz w:val="14"/>
                <w:szCs w:val="14"/>
                <w:vertAlign w:val="subscript"/>
                <w:lang w:val="en-US"/>
              </w:rPr>
              <w:t>f</w:t>
            </w:r>
            <w:r>
              <w:rPr>
                <w:sz w:val="14"/>
                <w:szCs w:val="14"/>
                <w:lang w:val="en-US"/>
              </w:rPr>
              <w:t xml:space="preserve"> (diode)</w:t>
            </w:r>
          </w:p>
        </w:tc>
        <w:tc>
          <w:tcPr>
            <w:tcW w:w="1175" w:type="dxa"/>
            <w:tcBorders>
              <w:bottom w:val="single" w:sz="4" w:space="0" w:color="auto"/>
            </w:tcBorders>
            <w:shd w:val="clear" w:color="auto" w:fill="auto"/>
          </w:tcPr>
          <w:p w:rsidR="009576A6" w:rsidRPr="00517A47" w:rsidRDefault="009576A6" w:rsidP="00900448">
            <w:pPr>
              <w:pStyle w:val="BodyTextKeep"/>
              <w:ind w:right="0"/>
              <w:jc w:val="center"/>
              <w:rPr>
                <w:sz w:val="14"/>
                <w:szCs w:val="14"/>
                <w:lang w:val="en-US"/>
              </w:rPr>
            </w:pPr>
            <w:r>
              <w:rPr>
                <w:sz w:val="14"/>
                <w:szCs w:val="14"/>
                <w:lang w:val="en-US"/>
              </w:rPr>
              <w:t>1.65 V</w:t>
            </w:r>
          </w:p>
        </w:tc>
        <w:tc>
          <w:tcPr>
            <w:tcW w:w="990" w:type="dxa"/>
            <w:tcBorders>
              <w:bottom w:val="single" w:sz="4" w:space="0" w:color="auto"/>
            </w:tcBorders>
          </w:tcPr>
          <w:p w:rsidR="009576A6" w:rsidRPr="00517A47" w:rsidRDefault="009576A6" w:rsidP="00900448">
            <w:pPr>
              <w:pStyle w:val="BodyTextKeep"/>
              <w:ind w:right="0"/>
              <w:jc w:val="center"/>
              <w:rPr>
                <w:sz w:val="14"/>
                <w:szCs w:val="14"/>
                <w:lang w:val="en-US"/>
              </w:rPr>
            </w:pPr>
            <w:r>
              <w:rPr>
                <w:sz w:val="14"/>
                <w:szCs w:val="14"/>
                <w:lang w:val="en-US"/>
              </w:rPr>
              <w:t>-</w:t>
            </w:r>
          </w:p>
        </w:tc>
        <w:tc>
          <w:tcPr>
            <w:tcW w:w="990" w:type="dxa"/>
            <w:tcBorders>
              <w:bottom w:val="single" w:sz="4" w:space="0" w:color="auto"/>
            </w:tcBorders>
          </w:tcPr>
          <w:p w:rsidR="009576A6" w:rsidRPr="00517A47" w:rsidRDefault="009576A6" w:rsidP="00900448">
            <w:pPr>
              <w:pStyle w:val="BodyTextKeep"/>
              <w:ind w:right="0"/>
              <w:jc w:val="center"/>
              <w:rPr>
                <w:sz w:val="14"/>
                <w:szCs w:val="14"/>
                <w:lang w:val="en-US"/>
              </w:rPr>
            </w:pPr>
            <w:r>
              <w:rPr>
                <w:sz w:val="14"/>
                <w:szCs w:val="14"/>
                <w:lang w:val="en-US"/>
              </w:rPr>
              <w:t>-</w:t>
            </w:r>
          </w:p>
        </w:tc>
        <w:tc>
          <w:tcPr>
            <w:tcW w:w="1080" w:type="dxa"/>
            <w:tcBorders>
              <w:bottom w:val="single" w:sz="4" w:space="0" w:color="auto"/>
            </w:tcBorders>
            <w:shd w:val="clear" w:color="auto" w:fill="auto"/>
          </w:tcPr>
          <w:p w:rsidR="009576A6" w:rsidRPr="00517A47" w:rsidRDefault="009576A6" w:rsidP="00900448">
            <w:pPr>
              <w:pStyle w:val="BodyTextKeep"/>
              <w:ind w:right="0"/>
              <w:jc w:val="center"/>
              <w:rPr>
                <w:sz w:val="14"/>
                <w:szCs w:val="14"/>
                <w:lang w:val="en-US"/>
              </w:rPr>
            </w:pPr>
            <w:r>
              <w:rPr>
                <w:sz w:val="14"/>
                <w:szCs w:val="14"/>
                <w:lang w:val="en-US"/>
              </w:rPr>
              <w:t>2.0 V</w:t>
            </w:r>
          </w:p>
        </w:tc>
      </w:tr>
    </w:tbl>
    <w:p w:rsidR="00505B10" w:rsidRDefault="00505B10">
      <w:pPr>
        <w:suppressAutoHyphens w:val="0"/>
        <w:rPr>
          <w:smallCaps/>
        </w:rPr>
      </w:pPr>
      <w:r>
        <w:br w:type="page"/>
      </w:r>
    </w:p>
    <w:p w:rsidR="00505B10" w:rsidRDefault="00505B10" w:rsidP="00505B10">
      <w:pPr>
        <w:pStyle w:val="sectionhead1"/>
        <w:numPr>
          <w:ilvl w:val="0"/>
          <w:numId w:val="0"/>
        </w:numPr>
        <w:tabs>
          <w:tab w:val="clear" w:pos="360"/>
        </w:tabs>
        <w:jc w:val="left"/>
      </w:pPr>
      <w:r>
        <w:object w:dxaOrig="15900" w:dyaOrig="10081">
          <v:shape id="_x0000_i1266" type="#_x0000_t75" style="width:257.6pt;height:163.65pt" o:ole="" o:allowoverlap="f">
            <v:imagedata r:id="rId11" o:title=""/>
          </v:shape>
          <o:OLEObject Type="Embed" ProgID="Visio.Drawing.15" ShapeID="_x0000_i1266" DrawAspect="Content" ObjectID="_1581943252" r:id="rId12"/>
        </w:object>
      </w:r>
    </w:p>
    <w:p w:rsidR="00505B10" w:rsidRDefault="00505B10" w:rsidP="00505B10">
      <w:pPr>
        <w:pStyle w:val="text"/>
        <w:ind w:firstLine="0"/>
        <w:rPr>
          <w:sz w:val="16"/>
          <w:szCs w:val="16"/>
        </w:rPr>
      </w:pPr>
      <w:r>
        <w:rPr>
          <w:sz w:val="16"/>
          <w:szCs w:val="16"/>
        </w:rPr>
        <w:t>Fig. 3</w:t>
      </w:r>
      <w:r w:rsidRPr="00293CCE">
        <w:rPr>
          <w:sz w:val="16"/>
          <w:szCs w:val="16"/>
        </w:rPr>
        <w:t xml:space="preserve">. </w:t>
      </w:r>
      <w:r>
        <w:rPr>
          <w:sz w:val="16"/>
          <w:szCs w:val="16"/>
        </w:rPr>
        <w:t>The five motor drive topologies</w:t>
      </w:r>
    </w:p>
    <w:p w:rsidR="009576A6" w:rsidRDefault="009576A6" w:rsidP="009576A6">
      <w:pPr>
        <w:pStyle w:val="sectionhead1"/>
        <w:tabs>
          <w:tab w:val="clear" w:pos="360"/>
        </w:tabs>
        <w:ind w:left="720" w:hanging="720"/>
      </w:pPr>
      <w:r>
        <w:t>Evaluated parameters</w:t>
      </w:r>
    </w:p>
    <w:p w:rsidR="0004159C" w:rsidRDefault="0004159C" w:rsidP="005008E1">
      <w:pPr>
        <w:pStyle w:val="sectionhead1"/>
        <w:numPr>
          <w:ilvl w:val="0"/>
          <w:numId w:val="0"/>
        </w:numPr>
        <w:tabs>
          <w:tab w:val="clear" w:pos="360"/>
        </w:tabs>
        <w:jc w:val="left"/>
      </w:pPr>
      <w:bookmarkStart w:id="5" w:name="_GoBack"/>
      <w:bookmarkEnd w:id="5"/>
    </w:p>
    <w:p w:rsidR="009576A6" w:rsidRDefault="009576A6" w:rsidP="009576A6">
      <w:pPr>
        <w:pStyle w:val="Head2"/>
        <w:numPr>
          <w:ilvl w:val="0"/>
          <w:numId w:val="5"/>
        </w:numPr>
        <w:spacing w:before="0" w:line="240" w:lineRule="exact"/>
        <w:rPr>
          <w:spacing w:val="0"/>
        </w:rPr>
      </w:pPr>
      <w:r>
        <w:rPr>
          <w:spacing w:val="0"/>
        </w:rPr>
        <w:t>AC side</w:t>
      </w:r>
    </w:p>
    <w:p w:rsidR="009576A6" w:rsidRDefault="009576A6" w:rsidP="009576A6">
      <w:pPr>
        <w:pStyle w:val="text"/>
      </w:pPr>
      <w:r>
        <w:t>The</w:t>
      </w:r>
      <w:r w:rsidR="00505B10">
        <w:t xml:space="preserve"> motor is a permanent magnet synchronous motor (PMSM) having concentrated windings. Keeping the number of slots constant, the end windings of the four stator poles are either connected in series, or taken out to the drive separately, depending on the number of modules existing in the corresponding topology. The </w:t>
      </w:r>
      <w:r>
        <w:t xml:space="preserve">single phase equivalent of the motor model </w:t>
      </w:r>
      <w:r w:rsidR="00505B10">
        <w:t>is</w:t>
      </w:r>
      <w:r>
        <w:t xml:space="preserve"> shown in Fig. </w:t>
      </w:r>
      <w:r w:rsidR="0071141C">
        <w:t>4</w:t>
      </w:r>
      <w:r>
        <w:t xml:space="preserve">. </w:t>
      </w:r>
    </w:p>
    <w:p w:rsidR="0071141C" w:rsidRDefault="0071141C" w:rsidP="009576A6">
      <w:pPr>
        <w:pStyle w:val="text"/>
      </w:pPr>
      <w:r>
        <w:rPr>
          <w:noProof/>
        </w:rPr>
        <w:object w:dxaOrig="1440" w:dyaOrig="1440">
          <v:shape id="_x0000_s1033" type="#_x0000_t75" style="position:absolute;left:0;text-align:left;margin-left:41.15pt;margin-top:1.6pt;width:113.15pt;height:54pt;z-index:251662848;mso-position-horizontal-relative:text;mso-position-vertical-relative:text" wrapcoords="14601 1779 2293 2033 -121 2541 -121 10419 6396 13976 7120 13976 6637 16518 19911 18042 19187 19567 19669 21346 20635 21346 21117 20838 21117 19567 20635 18042 21600 13976 21479 11944 20514 9911 20755 6861 20152 6099 18221 5845 15204 1779 14601 1779">
            <v:imagedata r:id="rId13" o:title=""/>
            <w10:wrap type="tight"/>
          </v:shape>
          <o:OLEObject Type="Embed" ProgID="Visio.Drawing.15" ShapeID="_x0000_s1033" DrawAspect="Content" ObjectID="_1581943254" r:id="rId14"/>
        </w:object>
      </w:r>
    </w:p>
    <w:p w:rsidR="0071141C" w:rsidRDefault="0071141C" w:rsidP="009576A6">
      <w:pPr>
        <w:pStyle w:val="text"/>
      </w:pPr>
    </w:p>
    <w:p w:rsidR="0071141C" w:rsidRDefault="0071141C" w:rsidP="009576A6">
      <w:pPr>
        <w:pStyle w:val="text"/>
      </w:pPr>
    </w:p>
    <w:p w:rsidR="0071141C" w:rsidRDefault="0071141C" w:rsidP="009576A6">
      <w:pPr>
        <w:pStyle w:val="text"/>
      </w:pPr>
    </w:p>
    <w:p w:rsidR="0071141C" w:rsidRDefault="0071141C" w:rsidP="009576A6">
      <w:pPr>
        <w:pStyle w:val="text"/>
      </w:pPr>
    </w:p>
    <w:p w:rsidR="0071141C" w:rsidRDefault="0071141C" w:rsidP="0071141C">
      <w:pPr>
        <w:pStyle w:val="text"/>
        <w:ind w:firstLine="0"/>
        <w:rPr>
          <w:sz w:val="16"/>
          <w:szCs w:val="16"/>
        </w:rPr>
      </w:pPr>
      <w:r>
        <w:rPr>
          <w:sz w:val="16"/>
          <w:szCs w:val="16"/>
        </w:rPr>
        <w:t>Fig. 4</w:t>
      </w:r>
      <w:r w:rsidRPr="00293CCE">
        <w:rPr>
          <w:sz w:val="16"/>
          <w:szCs w:val="16"/>
        </w:rPr>
        <w:t xml:space="preserve">. </w:t>
      </w:r>
      <w:r>
        <w:rPr>
          <w:sz w:val="16"/>
          <w:szCs w:val="16"/>
        </w:rPr>
        <w:t xml:space="preserve">The </w:t>
      </w:r>
      <w:r>
        <w:rPr>
          <w:sz w:val="16"/>
          <w:szCs w:val="16"/>
        </w:rPr>
        <w:t>single phase equivalent of the</w:t>
      </w:r>
      <w:r>
        <w:rPr>
          <w:sz w:val="16"/>
          <w:szCs w:val="16"/>
        </w:rPr>
        <w:t xml:space="preserve"> motor</w:t>
      </w:r>
      <w:r>
        <w:rPr>
          <w:sz w:val="16"/>
          <w:szCs w:val="16"/>
        </w:rPr>
        <w:t xml:space="preserve"> model</w:t>
      </w:r>
    </w:p>
    <w:p w:rsidR="009576A6" w:rsidRDefault="009576A6" w:rsidP="009576A6">
      <w:pPr>
        <w:pStyle w:val="text"/>
      </w:pPr>
    </w:p>
    <w:p w:rsidR="0071141C" w:rsidRDefault="0071141C" w:rsidP="009576A6">
      <w:pPr>
        <w:pStyle w:val="text"/>
      </w:pPr>
    </w:p>
    <w:p w:rsidR="009576A6" w:rsidRDefault="009576A6" w:rsidP="009576A6">
      <w:pPr>
        <w:pStyle w:val="text"/>
      </w:pPr>
      <w:r>
        <w:t>Multipliers</w:t>
      </w:r>
    </w:p>
    <w:p w:rsidR="009576A6" w:rsidRDefault="009576A6" w:rsidP="009576A6">
      <w:pPr>
        <w:pStyle w:val="text"/>
      </w:pPr>
      <w:r>
        <w:t>THDv, THDi formülleri</w:t>
      </w:r>
    </w:p>
    <w:p w:rsidR="009576A6" w:rsidRDefault="009576A6" w:rsidP="00584DB5">
      <w:pPr>
        <w:pStyle w:val="text"/>
        <w:jc w:val="center"/>
      </w:pPr>
    </w:p>
    <w:p w:rsidR="00521EED" w:rsidRDefault="00521EED" w:rsidP="00521EED">
      <w:pPr>
        <w:pStyle w:val="Head2"/>
        <w:numPr>
          <w:ilvl w:val="0"/>
          <w:numId w:val="5"/>
        </w:numPr>
        <w:spacing w:before="0" w:line="240" w:lineRule="exact"/>
        <w:rPr>
          <w:spacing w:val="0"/>
        </w:rPr>
      </w:pPr>
      <w:r>
        <w:rPr>
          <w:spacing w:val="0"/>
        </w:rPr>
        <w:t>AC side</w:t>
      </w:r>
    </w:p>
    <w:p w:rsidR="00521EED" w:rsidRDefault="00521EED" w:rsidP="00521EED">
      <w:pPr>
        <w:pStyle w:val="text"/>
      </w:pPr>
      <w:r>
        <w:t>Multipliers</w:t>
      </w:r>
    </w:p>
    <w:p w:rsidR="00082D93" w:rsidRDefault="00082D93" w:rsidP="00082D93">
      <w:pPr>
        <w:pStyle w:val="text"/>
      </w:pPr>
      <w:r>
        <w:t>THDv, THDi formülleri</w:t>
      </w:r>
    </w:p>
    <w:p w:rsidR="009576A6" w:rsidRDefault="009576A6" w:rsidP="009576A6">
      <w:pPr>
        <w:pStyle w:val="text"/>
        <w:ind w:firstLine="0"/>
        <w:rPr>
          <w:sz w:val="16"/>
          <w:szCs w:val="16"/>
        </w:rPr>
      </w:pPr>
    </w:p>
    <w:p w:rsidR="009576A6" w:rsidRDefault="009576A6" w:rsidP="009576A6">
      <w:pPr>
        <w:pStyle w:val="text"/>
        <w:ind w:firstLine="0"/>
        <w:rPr>
          <w:sz w:val="16"/>
          <w:szCs w:val="16"/>
        </w:rPr>
      </w:pPr>
      <w:r>
        <w:rPr>
          <w:sz w:val="16"/>
          <w:szCs w:val="16"/>
        </w:rPr>
        <w:t>Motor modelini çizelim</w:t>
      </w:r>
    </w:p>
    <w:p w:rsidR="00082D93" w:rsidRDefault="00082D93" w:rsidP="00521EED">
      <w:pPr>
        <w:pStyle w:val="text"/>
      </w:pPr>
    </w:p>
    <w:p w:rsidR="00521EED" w:rsidRDefault="00521EED" w:rsidP="00521EED">
      <w:pPr>
        <w:pStyle w:val="text"/>
      </w:pPr>
    </w:p>
    <w:p w:rsidR="00464A83" w:rsidRDefault="00464A83" w:rsidP="00521EED">
      <w:pPr>
        <w:pStyle w:val="text"/>
      </w:pPr>
    </w:p>
    <w:p w:rsidR="00464A83" w:rsidRDefault="00464A83" w:rsidP="00521EED">
      <w:pPr>
        <w:pStyle w:val="text"/>
      </w:pPr>
    </w:p>
    <w:p w:rsidR="00464A83" w:rsidRDefault="00464A83" w:rsidP="00521EED">
      <w:pPr>
        <w:pStyle w:val="text"/>
      </w:pPr>
    </w:p>
    <w:p w:rsidR="00464A83" w:rsidRDefault="00464A83" w:rsidP="00521EED">
      <w:pPr>
        <w:pStyle w:val="text"/>
      </w:pPr>
    </w:p>
    <w:p w:rsidR="00464A83" w:rsidRDefault="00464A83" w:rsidP="00521EED">
      <w:pPr>
        <w:pStyle w:val="text"/>
      </w:pPr>
    </w:p>
    <w:p w:rsidR="00464A83" w:rsidRDefault="00464A83" w:rsidP="00521EED">
      <w:pPr>
        <w:pStyle w:val="text"/>
      </w:pPr>
    </w:p>
    <w:p w:rsidR="00464A83" w:rsidRDefault="00464A83" w:rsidP="00521EED">
      <w:pPr>
        <w:pStyle w:val="text"/>
      </w:pPr>
    </w:p>
    <w:p w:rsidR="00464A83" w:rsidRDefault="00464A83" w:rsidP="00521EED">
      <w:pPr>
        <w:pStyle w:val="text"/>
      </w:pPr>
    </w:p>
    <w:p w:rsidR="00464A83" w:rsidRDefault="00464A83" w:rsidP="00521EED">
      <w:pPr>
        <w:pStyle w:val="text"/>
      </w:pPr>
    </w:p>
    <w:p w:rsidR="00464A83" w:rsidRDefault="00464A83" w:rsidP="00521EED">
      <w:pPr>
        <w:pStyle w:val="text"/>
      </w:pPr>
    </w:p>
    <w:p w:rsidR="00464A83" w:rsidRDefault="00464A83" w:rsidP="00521EED">
      <w:pPr>
        <w:pStyle w:val="text"/>
      </w:pPr>
    </w:p>
    <w:p w:rsidR="00464A83" w:rsidRDefault="00464A83" w:rsidP="00521EED">
      <w:pPr>
        <w:pStyle w:val="text"/>
      </w:pPr>
    </w:p>
    <w:p w:rsidR="00464A83" w:rsidRDefault="00464A83" w:rsidP="00521EED">
      <w:pPr>
        <w:pStyle w:val="text"/>
      </w:pPr>
    </w:p>
    <w:p w:rsidR="00464A83" w:rsidRDefault="00464A83" w:rsidP="00521EED">
      <w:pPr>
        <w:pStyle w:val="text"/>
      </w:pPr>
    </w:p>
    <w:p w:rsidR="00521EED" w:rsidRDefault="00521EED" w:rsidP="00521EED">
      <w:pPr>
        <w:pStyle w:val="Head2"/>
        <w:numPr>
          <w:ilvl w:val="0"/>
          <w:numId w:val="5"/>
        </w:numPr>
        <w:spacing w:before="0" w:line="240" w:lineRule="exact"/>
        <w:rPr>
          <w:spacing w:val="0"/>
        </w:rPr>
      </w:pPr>
      <w:r>
        <w:rPr>
          <w:spacing w:val="0"/>
        </w:rPr>
        <w:t>DC side</w:t>
      </w:r>
    </w:p>
    <w:p w:rsidR="00521EED" w:rsidRDefault="00521EED" w:rsidP="00521EED">
      <w:pPr>
        <w:pStyle w:val="text"/>
      </w:pPr>
      <w:r>
        <w:t xml:space="preserve">For papers </w:t>
      </w:r>
    </w:p>
    <w:p w:rsidR="00037E2C" w:rsidRDefault="00037E2C" w:rsidP="00521EED">
      <w:pPr>
        <w:pStyle w:val="text"/>
      </w:pPr>
      <w:r>
        <w:t>Akım RMS formülü?</w:t>
      </w:r>
    </w:p>
    <w:p w:rsidR="00037E2C" w:rsidRDefault="00037E2C" w:rsidP="00521EED">
      <w:pPr>
        <w:pStyle w:val="text"/>
      </w:pPr>
      <w:r>
        <w:t>voltaj ripple formülü?</w:t>
      </w:r>
      <w:r w:rsidR="00CD3AAC">
        <w:t xml:space="preserve"> % 1 olacak</w:t>
      </w:r>
    </w:p>
    <w:p w:rsidR="00521EED" w:rsidRDefault="00521EED" w:rsidP="00521EED">
      <w:pPr>
        <w:pStyle w:val="text"/>
      </w:pPr>
    </w:p>
    <w:p w:rsidR="00521EED" w:rsidRDefault="00521EED" w:rsidP="00521EED">
      <w:pPr>
        <w:pStyle w:val="Head2"/>
        <w:numPr>
          <w:ilvl w:val="0"/>
          <w:numId w:val="5"/>
        </w:numPr>
        <w:spacing w:before="0" w:line="240" w:lineRule="exact"/>
        <w:rPr>
          <w:spacing w:val="0"/>
        </w:rPr>
      </w:pPr>
      <w:r>
        <w:rPr>
          <w:spacing w:val="0"/>
        </w:rPr>
        <w:t>Efficiency</w:t>
      </w:r>
    </w:p>
    <w:p w:rsidR="00521EED" w:rsidRDefault="00521EED" w:rsidP="00521EED">
      <w:pPr>
        <w:pStyle w:val="text"/>
      </w:pPr>
      <w:r>
        <w:t xml:space="preserve">For papers </w:t>
      </w:r>
    </w:p>
    <w:p w:rsidR="00082D93" w:rsidRDefault="00082D93" w:rsidP="00521EED">
      <w:pPr>
        <w:pStyle w:val="text"/>
      </w:pPr>
      <w:r>
        <w:t>Efficiency hesabında kullanılan yöntemin çizimi</w:t>
      </w:r>
    </w:p>
    <w:p w:rsidR="002F462C" w:rsidRDefault="002F462C" w:rsidP="00521EED">
      <w:pPr>
        <w:pStyle w:val="text"/>
      </w:pPr>
    </w:p>
    <w:p w:rsidR="002F462C" w:rsidRDefault="002F462C" w:rsidP="00521EED">
      <w:pPr>
        <w:pStyle w:val="text"/>
      </w:pPr>
      <w:r>
        <w:t>Factors for switching frequency:</w:t>
      </w:r>
    </w:p>
    <w:p w:rsidR="002F462C" w:rsidRDefault="002F462C" w:rsidP="002F462C">
      <w:pPr>
        <w:pStyle w:val="text"/>
        <w:ind w:firstLine="0"/>
      </w:pPr>
      <w:r>
        <w:t>1. Losses =&gt; efficiency =&gt; heat sink size</w:t>
      </w:r>
    </w:p>
    <w:p w:rsidR="002F462C" w:rsidRDefault="002F462C" w:rsidP="002F462C">
      <w:pPr>
        <w:pStyle w:val="text"/>
        <w:ind w:firstLine="0"/>
      </w:pPr>
      <w:r>
        <w:t>2. Ripples =&gt; filter size</w:t>
      </w:r>
    </w:p>
    <w:p w:rsidR="002F462C" w:rsidRDefault="002F462C" w:rsidP="002F462C">
      <w:pPr>
        <w:pStyle w:val="text"/>
        <w:ind w:firstLine="0"/>
      </w:pPr>
      <w:r>
        <w:t>3. EMI/EMC considerations</w:t>
      </w:r>
    </w:p>
    <w:p w:rsidR="002F462C" w:rsidRDefault="002F462C" w:rsidP="002F462C">
      <w:pPr>
        <w:pStyle w:val="text"/>
        <w:ind w:firstLine="0"/>
      </w:pPr>
      <w:r>
        <w:t>4. Speed of control architecture, sensors etc.</w:t>
      </w:r>
    </w:p>
    <w:p w:rsidR="002F462C" w:rsidRDefault="002F462C" w:rsidP="002F462C">
      <w:pPr>
        <w:pStyle w:val="text"/>
        <w:ind w:firstLine="0"/>
      </w:pPr>
      <w:r>
        <w:t>5. Effect on motor insulations</w:t>
      </w:r>
    </w:p>
    <w:p w:rsidR="002F462C" w:rsidRDefault="002F462C" w:rsidP="005008E1">
      <w:pPr>
        <w:pStyle w:val="text"/>
        <w:ind w:firstLine="0"/>
      </w:pPr>
    </w:p>
    <w:p w:rsidR="009E0415" w:rsidRDefault="00635154" w:rsidP="00521EED">
      <w:pPr>
        <w:pStyle w:val="text"/>
        <w:ind w:firstLine="0"/>
      </w:pPr>
      <w:r>
        <w:t>Optimal selection of fsw is critical. Size’</w:t>
      </w:r>
      <w:r w:rsidR="005008E1">
        <w:t>ı</w:t>
      </w:r>
      <w:r>
        <w:t xml:space="preserve"> küçültüyor ancak heat sinki büyütüyor</w:t>
      </w:r>
    </w:p>
    <w:p w:rsidR="00635154" w:rsidRDefault="00635154" w:rsidP="00521EED">
      <w:pPr>
        <w:pStyle w:val="text"/>
        <w:ind w:firstLine="0"/>
      </w:pPr>
    </w:p>
    <w:p w:rsidR="00B549C2" w:rsidRDefault="00B549C2" w:rsidP="00521EED">
      <w:pPr>
        <w:pStyle w:val="text"/>
        <w:ind w:firstLine="0"/>
      </w:pPr>
      <w:r>
        <w:t>Other considerations:</w:t>
      </w:r>
    </w:p>
    <w:p w:rsidR="00B549C2" w:rsidRDefault="00B549C2" w:rsidP="00521EED">
      <w:pPr>
        <w:pStyle w:val="text"/>
        <w:ind w:firstLine="0"/>
      </w:pPr>
      <w:r>
        <w:t>- Fault tolerance: series’de kötü</w:t>
      </w:r>
    </w:p>
    <w:p w:rsidR="00B549C2" w:rsidRDefault="00B549C2" w:rsidP="00521EED">
      <w:pPr>
        <w:pStyle w:val="text"/>
        <w:ind w:firstLine="0"/>
      </w:pPr>
    </w:p>
    <w:p w:rsidR="009576A6" w:rsidRDefault="009576A6" w:rsidP="00521EED">
      <w:pPr>
        <w:pStyle w:val="text"/>
        <w:ind w:firstLine="0"/>
      </w:pPr>
    </w:p>
    <w:p w:rsidR="009576A6" w:rsidRDefault="009576A6" w:rsidP="009576A6">
      <w:pPr>
        <w:pStyle w:val="text"/>
        <w:ind w:firstLine="0"/>
        <w:rPr>
          <w:sz w:val="16"/>
          <w:szCs w:val="16"/>
        </w:rPr>
      </w:pPr>
      <w:r>
        <w:rPr>
          <w:sz w:val="16"/>
          <w:szCs w:val="16"/>
        </w:rPr>
        <w:t>Fig. 2</w:t>
      </w:r>
      <w:r w:rsidRPr="00293CCE">
        <w:rPr>
          <w:sz w:val="16"/>
          <w:szCs w:val="16"/>
        </w:rPr>
        <w:t xml:space="preserve">. </w:t>
      </w:r>
      <w:r>
        <w:rPr>
          <w:sz w:val="16"/>
          <w:szCs w:val="16"/>
        </w:rPr>
        <w:t>Classification of topologoies</w:t>
      </w:r>
    </w:p>
    <w:p w:rsidR="002F462C" w:rsidRDefault="002F462C" w:rsidP="00521EED">
      <w:pPr>
        <w:pStyle w:val="text"/>
        <w:ind w:firstLine="0"/>
      </w:pPr>
    </w:p>
    <w:p w:rsidR="009E0415" w:rsidRDefault="004A163E">
      <w:pPr>
        <w:pStyle w:val="sectionhead1"/>
        <w:tabs>
          <w:tab w:val="clear" w:pos="360"/>
          <w:tab w:val="left" w:pos="720"/>
        </w:tabs>
        <w:ind w:left="720" w:hanging="720"/>
      </w:pPr>
      <w:r>
        <w:br w:type="page"/>
      </w:r>
      <w:r w:rsidR="00521EED">
        <w:lastRenderedPageBreak/>
        <w:t>Sımulatıon Results</w:t>
      </w:r>
    </w:p>
    <w:p w:rsidR="009E0415" w:rsidRDefault="00521EED">
      <w:pPr>
        <w:pStyle w:val="text"/>
      </w:pPr>
      <w:r>
        <w:t>writers is</w:t>
      </w:r>
    </w:p>
    <w:p w:rsidR="00521EED" w:rsidRDefault="00521EED">
      <w:pPr>
        <w:pStyle w:val="text"/>
      </w:pPr>
    </w:p>
    <w:p w:rsidR="00B63E61" w:rsidRDefault="00B63E61" w:rsidP="00B63E61">
      <w:pPr>
        <w:pStyle w:val="sectionhead1"/>
        <w:numPr>
          <w:ilvl w:val="0"/>
          <w:numId w:val="0"/>
        </w:numPr>
        <w:tabs>
          <w:tab w:val="clear" w:pos="360"/>
        </w:tabs>
        <w:jc w:val="left"/>
        <w:rPr>
          <w:noProof/>
          <w:lang w:eastAsia="en-US"/>
        </w:rPr>
      </w:pPr>
    </w:p>
    <w:p w:rsidR="00B63E61" w:rsidRDefault="00B63E61" w:rsidP="00B63E61">
      <w:pPr>
        <w:pStyle w:val="sectionhead1"/>
        <w:numPr>
          <w:ilvl w:val="0"/>
          <w:numId w:val="0"/>
        </w:numPr>
        <w:tabs>
          <w:tab w:val="clear" w:pos="360"/>
        </w:tabs>
        <w:jc w:val="left"/>
        <w:rPr>
          <w:noProof/>
          <w:lang w:eastAsia="en-US"/>
        </w:rPr>
      </w:pPr>
    </w:p>
    <w:p w:rsidR="00521EED" w:rsidRDefault="004A163E" w:rsidP="00B63E61">
      <w:pPr>
        <w:pStyle w:val="sectionhead1"/>
        <w:numPr>
          <w:ilvl w:val="0"/>
          <w:numId w:val="0"/>
        </w:numPr>
        <w:tabs>
          <w:tab w:val="clear" w:pos="360"/>
        </w:tabs>
        <w:jc w:val="left"/>
      </w:pPr>
      <w:r>
        <w:br w:type="page"/>
      </w:r>
      <w:r>
        <w:lastRenderedPageBreak/>
        <w:br w:type="page"/>
      </w:r>
      <w:r w:rsidR="00521EED">
        <w:lastRenderedPageBreak/>
        <w:t>Conclusıons</w:t>
      </w:r>
    </w:p>
    <w:p w:rsidR="00521EED" w:rsidRDefault="00521EED" w:rsidP="00521EED">
      <w:pPr>
        <w:pStyle w:val="text"/>
      </w:pPr>
      <w:r>
        <w:t>writers is</w:t>
      </w:r>
    </w:p>
    <w:p w:rsidR="00521EED" w:rsidRDefault="00521EED">
      <w:pPr>
        <w:pStyle w:val="text"/>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4A163E" w:rsidRDefault="004A163E">
      <w:pPr>
        <w:pStyle w:val="sectionheadnonums"/>
      </w:pPr>
    </w:p>
    <w:p w:rsidR="009E0415" w:rsidRDefault="009E0415">
      <w:pPr>
        <w:pStyle w:val="sectionheadnonums"/>
      </w:pPr>
      <w:r>
        <w:t>Acknowledgment</w:t>
      </w:r>
    </w:p>
    <w:p w:rsidR="009E0415" w:rsidRDefault="009E0415">
      <w:pPr>
        <w:pStyle w:val="text"/>
      </w:pPr>
      <w:r>
        <w:t xml:space="preserve">The preferred </w:t>
      </w:r>
    </w:p>
    <w:p w:rsidR="009E0415" w:rsidRDefault="009E0415">
      <w:pPr>
        <w:pStyle w:val="sectionheadnonums"/>
      </w:pPr>
      <w:r>
        <w:t>References</w:t>
      </w:r>
    </w:p>
    <w:p w:rsidR="009E0415" w:rsidRDefault="009E0415">
      <w:pPr>
        <w:pStyle w:val="references"/>
      </w:pPr>
      <w:bookmarkStart w:id="6" w:name="references"/>
      <w:bookmarkEnd w:id="6"/>
      <w:r>
        <w:t>[1]</w:t>
      </w:r>
      <w:r>
        <w:tab/>
        <w:t xml:space="preserve">G. Eason, B. Noble, and I.N. Sneddon, “On certain integrals of Lipschitz-Hankel type involving products of Bessel functions,” </w:t>
      </w:r>
      <w:r>
        <w:rPr>
          <w:i/>
        </w:rPr>
        <w:t>Phil. Trans. Roy. Soc. London,</w:t>
      </w:r>
      <w:r>
        <w:t xml:space="preserve"> vol. A247, pp. 529-551, April 1955.</w:t>
      </w:r>
    </w:p>
    <w:p w:rsidR="009E0415" w:rsidRDefault="009E0415">
      <w:pPr>
        <w:pStyle w:val="references"/>
      </w:pPr>
      <w:r>
        <w:t>[2]</w:t>
      </w:r>
      <w:r>
        <w:tab/>
        <w:t xml:space="preserve">J. Clerk Maxwell, </w:t>
      </w:r>
      <w:r>
        <w:rPr>
          <w:i/>
        </w:rPr>
        <w:t>A Treatise on Electricity and Magnetism,</w:t>
      </w:r>
      <w:r>
        <w:t xml:space="preserve"> 3</w:t>
      </w:r>
      <w:r>
        <w:rPr>
          <w:vertAlign w:val="superscript"/>
        </w:rPr>
        <w:t>rd</w:t>
      </w:r>
      <w:r>
        <w:t xml:space="preserve"> ed., vol. 2. </w:t>
      </w:r>
      <w:smartTag w:uri="urn:schemas-microsoft-com:office:smarttags" w:element="City">
        <w:smartTag w:uri="urn:schemas-microsoft-com:office:smarttags" w:element="place">
          <w:r>
            <w:t>Oxford</w:t>
          </w:r>
        </w:smartTag>
      </w:smartTag>
      <w:r>
        <w:t>:  Clarendon, 1892, pp.68-73.</w:t>
      </w:r>
    </w:p>
    <w:p w:rsidR="009E0415" w:rsidRDefault="009E0415">
      <w:pPr>
        <w:pStyle w:val="references"/>
      </w:pPr>
      <w:r>
        <w:t>[3]</w:t>
      </w:r>
      <w:r>
        <w:tab/>
        <w:t xml:space="preserve">I.S. Jacobs and C.P. Bean, “Fine particles, thin films and exchange anisotropy,” in </w:t>
      </w:r>
      <w:r>
        <w:rPr>
          <w:i/>
        </w:rPr>
        <w:t>Magnetism,</w:t>
      </w:r>
      <w:r>
        <w:t xml:space="preserve"> vol. III, G.T. Rado and H. Suhl, Eds. </w:t>
      </w:r>
      <w:smartTag w:uri="urn:schemas-microsoft-com:office:smarttags" w:element="State">
        <w:smartTag w:uri="urn:schemas-microsoft-com:office:smarttags" w:element="place">
          <w:r>
            <w:t>New York</w:t>
          </w:r>
        </w:smartTag>
      </w:smartTag>
      <w:r>
        <w:t>: Academic, 1963, pp. 271-350.</w:t>
      </w:r>
    </w:p>
    <w:p w:rsidR="009E0415" w:rsidRDefault="009E0415">
      <w:pPr>
        <w:pStyle w:val="references"/>
      </w:pPr>
      <w:r>
        <w:t>[4]</w:t>
      </w:r>
      <w:r>
        <w:tab/>
        <w:t>K. Elissa, “Title of paper if known,” unpublished.</w:t>
      </w:r>
    </w:p>
    <w:p w:rsidR="009E0415" w:rsidRDefault="009E0415">
      <w:pPr>
        <w:pStyle w:val="references"/>
      </w:pPr>
      <w:r>
        <w:t>[5]</w:t>
      </w:r>
      <w:r>
        <w:tab/>
        <w:t xml:space="preserve">R. Nicole, “Title of paper with only first word capitalized,” </w:t>
      </w:r>
      <w:r>
        <w:rPr>
          <w:i/>
        </w:rPr>
        <w:t>J. Name Stand. Abbrev.,</w:t>
      </w:r>
      <w:r>
        <w:t xml:space="preserve"> in press.</w:t>
      </w:r>
    </w:p>
    <w:p w:rsidR="009E0415" w:rsidRDefault="009E0415">
      <w:pPr>
        <w:pStyle w:val="references"/>
      </w:pPr>
      <w:r>
        <w:t>[6]</w:t>
      </w:r>
      <w:r>
        <w:tab/>
        <w:t xml:space="preserve">Y. Yorozu, M. Hirano, K. Oka, and Y. Tagawa, “Electron spectroscopy studies on magneto-optical media and plastic substrate interface,” </w:t>
      </w:r>
      <w:r>
        <w:rPr>
          <w:i/>
        </w:rPr>
        <w:t xml:space="preserve">IEEE </w:t>
      </w:r>
      <w:r>
        <w:rPr>
          <w:i/>
        </w:rPr>
        <w:lastRenderedPageBreak/>
        <w:t xml:space="preserve">Transl. J. Magn. </w:t>
      </w:r>
      <w:smartTag w:uri="urn:schemas-microsoft-com:office:smarttags" w:element="country-region">
        <w:r>
          <w:rPr>
            <w:i/>
          </w:rPr>
          <w:t>Japan</w:t>
        </w:r>
      </w:smartTag>
      <w:r>
        <w:t>, vol. 2, pp. 740-741, August 1987 [</w:t>
      </w:r>
      <w:r>
        <w:rPr>
          <w:i/>
        </w:rPr>
        <w:t>Digests 9</w:t>
      </w:r>
      <w:r>
        <w:rPr>
          <w:i/>
          <w:vertAlign w:val="superscript"/>
        </w:rPr>
        <w:t>th</w:t>
      </w:r>
      <w:r>
        <w:rPr>
          <w:i/>
        </w:rPr>
        <w:t xml:space="preserve"> Annual Conf. Magnetics </w:t>
      </w:r>
      <w:smartTag w:uri="urn:schemas-microsoft-com:office:smarttags" w:element="country-region">
        <w:smartTag w:uri="urn:schemas-microsoft-com:office:smarttags" w:element="place">
          <w:r>
            <w:rPr>
              <w:i/>
            </w:rPr>
            <w:t>Japan</w:t>
          </w:r>
        </w:smartTag>
      </w:smartTag>
      <w:r>
        <w:rPr>
          <w:i/>
        </w:rPr>
        <w:t>,</w:t>
      </w:r>
      <w:r>
        <w:t xml:space="preserve"> p. 301, 1982].</w:t>
      </w:r>
    </w:p>
    <w:p w:rsidR="009E0415" w:rsidRDefault="009E0415">
      <w:pPr>
        <w:pStyle w:val="references"/>
      </w:pPr>
      <w:r>
        <w:t>[7]</w:t>
      </w:r>
      <w:r>
        <w:tab/>
        <w:t xml:space="preserve">M. Young, </w:t>
      </w:r>
      <w:r>
        <w:rPr>
          <w:i/>
        </w:rPr>
        <w:t>The Technical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sectPr w:rsidR="009E0415">
      <w:footnotePr>
        <w:pos w:val="beneathText"/>
      </w:footnotePr>
      <w:type w:val="continuous"/>
      <w:pgSz w:w="11899" w:h="16837"/>
      <w:pgMar w:top="1080" w:right="850" w:bottom="2261" w:left="850" w:header="720" w:footer="720" w:gutter="0"/>
      <w:cols w:num="2" w:space="24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F60" w:rsidRDefault="004C1F60" w:rsidP="00D72D17">
      <w:r>
        <w:separator/>
      </w:r>
    </w:p>
  </w:endnote>
  <w:endnote w:type="continuationSeparator" w:id="0">
    <w:p w:rsidR="004C1F60" w:rsidRDefault="004C1F60" w:rsidP="00D7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itstream Vera Sans">
    <w:charset w:val="00"/>
    <w:family w:val="swiss"/>
    <w:pitch w:val="variable"/>
    <w:sig w:usb0="800000AF" w:usb1="1000204A"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F60" w:rsidRDefault="004C1F60" w:rsidP="00D72D17">
      <w:r>
        <w:separator/>
      </w:r>
    </w:p>
  </w:footnote>
  <w:footnote w:type="continuationSeparator" w:id="0">
    <w:p w:rsidR="004C1F60" w:rsidRDefault="004C1F60" w:rsidP="00D72D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upperLetter"/>
      <w:lvlText w:val="%1."/>
      <w:lvlJc w:val="left"/>
      <w:pPr>
        <w:tabs>
          <w:tab w:val="num" w:pos="360"/>
        </w:tabs>
        <w:ind w:left="360" w:hanging="360"/>
      </w:pPr>
    </w:lvl>
  </w:abstractNum>
  <w:abstractNum w:abstractNumId="1" w15:restartNumberingAfterBreak="0">
    <w:nsid w:val="00000002"/>
    <w:multiLevelType w:val="singleLevel"/>
    <w:tmpl w:val="00000002"/>
    <w:name w:val="WW8Num1"/>
    <w:lvl w:ilvl="0">
      <w:start w:val="1"/>
      <w:numFmt w:val="upperLetter"/>
      <w:lvlText w:val="%1."/>
      <w:lvlJc w:val="left"/>
      <w:pPr>
        <w:tabs>
          <w:tab w:val="num" w:pos="360"/>
        </w:tabs>
        <w:ind w:left="360" w:hanging="360"/>
      </w:pPr>
    </w:lvl>
  </w:abstractNum>
  <w:abstractNum w:abstractNumId="2" w15:restartNumberingAfterBreak="0">
    <w:nsid w:val="00000003"/>
    <w:multiLevelType w:val="singleLevel"/>
    <w:tmpl w:val="00000003"/>
    <w:name w:val="WW8Num4"/>
    <w:lvl w:ilvl="0">
      <w:start w:val="1"/>
      <w:numFmt w:val="upperRoman"/>
      <w:lvlText w:val="%1."/>
      <w:lvlJc w:val="left"/>
      <w:pPr>
        <w:tabs>
          <w:tab w:val="num" w:pos="720"/>
        </w:tabs>
        <w:ind w:left="720" w:hanging="720"/>
      </w:pPr>
    </w:lvl>
  </w:abstractNum>
  <w:abstractNum w:abstractNumId="3" w15:restartNumberingAfterBreak="0">
    <w:nsid w:val="00000004"/>
    <w:multiLevelType w:val="multilevel"/>
    <w:tmpl w:val="00000004"/>
    <w:lvl w:ilvl="0">
      <w:start w:val="1"/>
      <w:numFmt w:val="upp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7A2067"/>
    <w:multiLevelType w:val="multilevel"/>
    <w:tmpl w:val="00000004"/>
    <w:lvl w:ilvl="0">
      <w:start w:val="1"/>
      <w:numFmt w:val="upp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B8"/>
    <w:rsid w:val="00037E2C"/>
    <w:rsid w:val="0004159C"/>
    <w:rsid w:val="00055406"/>
    <w:rsid w:val="0007613F"/>
    <w:rsid w:val="00082D93"/>
    <w:rsid w:val="000A37F2"/>
    <w:rsid w:val="000E3AF1"/>
    <w:rsid w:val="00164CC2"/>
    <w:rsid w:val="001E1C79"/>
    <w:rsid w:val="001F2B8C"/>
    <w:rsid w:val="00262026"/>
    <w:rsid w:val="00264012"/>
    <w:rsid w:val="00293CCE"/>
    <w:rsid w:val="002F0817"/>
    <w:rsid w:val="002F462C"/>
    <w:rsid w:val="00377E8A"/>
    <w:rsid w:val="00406398"/>
    <w:rsid w:val="00464A83"/>
    <w:rsid w:val="0048411B"/>
    <w:rsid w:val="004A163E"/>
    <w:rsid w:val="004C1F60"/>
    <w:rsid w:val="004D47CA"/>
    <w:rsid w:val="005008E1"/>
    <w:rsid w:val="00505B10"/>
    <w:rsid w:val="00517A47"/>
    <w:rsid w:val="00521EED"/>
    <w:rsid w:val="00535B6E"/>
    <w:rsid w:val="005472A9"/>
    <w:rsid w:val="00584DB5"/>
    <w:rsid w:val="005B6729"/>
    <w:rsid w:val="005D6E90"/>
    <w:rsid w:val="006029E7"/>
    <w:rsid w:val="00604868"/>
    <w:rsid w:val="006273A8"/>
    <w:rsid w:val="00635154"/>
    <w:rsid w:val="00653EB5"/>
    <w:rsid w:val="0071141C"/>
    <w:rsid w:val="00717BB8"/>
    <w:rsid w:val="00897409"/>
    <w:rsid w:val="008E4E77"/>
    <w:rsid w:val="00947D0E"/>
    <w:rsid w:val="009576A6"/>
    <w:rsid w:val="00982908"/>
    <w:rsid w:val="009C7316"/>
    <w:rsid w:val="009D43F3"/>
    <w:rsid w:val="009E0415"/>
    <w:rsid w:val="009E238C"/>
    <w:rsid w:val="00A16FD6"/>
    <w:rsid w:val="00AC4510"/>
    <w:rsid w:val="00B549C2"/>
    <w:rsid w:val="00B63E61"/>
    <w:rsid w:val="00B82B08"/>
    <w:rsid w:val="00C17DEC"/>
    <w:rsid w:val="00CD3AAC"/>
    <w:rsid w:val="00D22622"/>
    <w:rsid w:val="00D3304A"/>
    <w:rsid w:val="00D602AA"/>
    <w:rsid w:val="00D72D17"/>
    <w:rsid w:val="00DA6916"/>
    <w:rsid w:val="00E735B8"/>
    <w:rsid w:val="00EE0B49"/>
    <w:rsid w:val="00F923F7"/>
    <w:rsid w:val="00FA698F"/>
    <w:rsid w:val="00FE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34"/>
    <o:shapelayout v:ext="edit">
      <o:idmap v:ext="edit" data="1"/>
    </o:shapelayout>
  </w:shapeDefaults>
  <w:decimalSymbol w:val="."/>
  <w:listSeparator w:val=","/>
  <w14:docId w14:val="72C3AB5A"/>
  <w15:chartTrackingRefBased/>
  <w15:docId w15:val="{6089001D-0866-4F16-876D-A3E89BE8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rPr>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numPr>
        <w:ilvl w:val="1"/>
        <w:numId w:val="1"/>
      </w:numPr>
      <w:jc w:val="both"/>
      <w:outlineLvl w:val="1"/>
    </w:pPr>
    <w:rPr>
      <w:i/>
    </w:rPr>
  </w:style>
  <w:style w:type="paragraph" w:styleId="Heading3">
    <w:name w:val="heading 3"/>
    <w:basedOn w:val="Normal"/>
    <w:next w:val="Normal"/>
    <w:qFormat/>
    <w:pPr>
      <w:keepNext/>
      <w:numPr>
        <w:ilvl w:val="2"/>
        <w:numId w:val="1"/>
      </w:numPr>
      <w:jc w:val="center"/>
      <w:outlineLvl w:val="2"/>
    </w:pPr>
    <w:rPr>
      <w:i/>
    </w:rPr>
  </w:style>
  <w:style w:type="paragraph" w:styleId="Heading4">
    <w:name w:val="heading 4"/>
    <w:basedOn w:val="Normal"/>
    <w:next w:val="Normal"/>
    <w:qFormat/>
    <w:pPr>
      <w:keepNext/>
      <w:numPr>
        <w:numId w:val="3"/>
      </w:numPr>
      <w:spacing w:after="120" w:line="216" w:lineRule="auto"/>
      <w:ind w:left="0" w:firstLine="0"/>
      <w:jc w:val="both"/>
      <w:outlineLvl w:val="3"/>
    </w:pPr>
    <w:rPr>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6z0">
    <w:name w:val="WW8Num6z0"/>
    <w:rPr>
      <w:rFonts w:ascii="Wingdings" w:hAnsi="Wingdings"/>
    </w:rPr>
  </w:style>
  <w:style w:type="character" w:customStyle="1" w:styleId="WW8Num7z0">
    <w:name w:val="WW8Num7z0"/>
    <w:rPr>
      <w:rFonts w:ascii="Wingdings" w:hAnsi="Wingdings"/>
    </w:rPr>
  </w:style>
  <w:style w:type="character" w:styleId="DefaultParagraphFont0">
    <w:name w:val="Default Paragraph Font"/>
  </w:style>
  <w:style w:type="character" w:styleId="PageNumber">
    <w:name w:val="page number"/>
    <w:basedOn w:val="DefaultParagraphFont0"/>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Bitstream Vera Sans" w:hAnsi="Arial" w:cs="Bitstream Vera Sans"/>
      <w:sz w:val="28"/>
      <w:szCs w:val="28"/>
    </w:rPr>
  </w:style>
  <w:style w:type="paragraph" w:styleId="BodyText">
    <w:name w:val="Body Text"/>
    <w:basedOn w:val="Normal"/>
    <w:rPr>
      <w:b/>
      <w:sz w:val="28"/>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BodyTextIndent">
    <w:name w:val="Body Text Indent"/>
    <w:basedOn w:val="Normal"/>
    <w:pPr>
      <w:ind w:left="360"/>
      <w:jc w:val="both"/>
    </w:pPr>
  </w:style>
  <w:style w:type="paragraph" w:styleId="BodyTextIndent2">
    <w:name w:val="Body Text Indent 2"/>
    <w:basedOn w:val="Normal"/>
    <w:pPr>
      <w:ind w:firstLine="288"/>
      <w:jc w:val="both"/>
    </w:pPr>
    <w:rPr>
      <w:b/>
      <w:sz w:val="18"/>
    </w:rPr>
  </w:style>
  <w:style w:type="paragraph" w:styleId="BodyTextIndent3">
    <w:name w:val="Body Text Indent 3"/>
    <w:basedOn w:val="Normal"/>
    <w:pPr>
      <w:ind w:firstLine="360"/>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Papertitle">
    <w:name w:val="Paper title"/>
    <w:basedOn w:val="BodyText"/>
    <w:pPr>
      <w:jc w:val="center"/>
    </w:pPr>
    <w:rPr>
      <w:b w:val="0"/>
      <w:sz w:val="50"/>
    </w:rPr>
  </w:style>
  <w:style w:type="paragraph" w:customStyle="1" w:styleId="authoraffiliation">
    <w:name w:val="author affiliation"/>
    <w:basedOn w:val="Normal"/>
    <w:pPr>
      <w:jc w:val="center"/>
    </w:pPr>
  </w:style>
  <w:style w:type="paragraph" w:customStyle="1" w:styleId="abstract">
    <w:name w:val="abstract"/>
    <w:basedOn w:val="BodyTextIndent2"/>
    <w:pPr>
      <w:spacing w:after="120" w:line="200" w:lineRule="exact"/>
    </w:pPr>
  </w:style>
  <w:style w:type="paragraph" w:customStyle="1" w:styleId="abstracthead">
    <w:name w:val="abstract head"/>
    <w:basedOn w:val="abstract"/>
    <w:rPr>
      <w:i/>
    </w:rPr>
  </w:style>
  <w:style w:type="paragraph" w:customStyle="1" w:styleId="abstractheader">
    <w:name w:val="abstract header"/>
    <w:basedOn w:val="abstract"/>
    <w:rPr>
      <w:i/>
    </w:rPr>
  </w:style>
  <w:style w:type="paragraph" w:customStyle="1" w:styleId="abstractname">
    <w:name w:val="abstract name"/>
    <w:basedOn w:val="abstract"/>
    <w:rPr>
      <w:i/>
    </w:rPr>
  </w:style>
  <w:style w:type="paragraph" w:customStyle="1" w:styleId="text">
    <w:name w:val="text"/>
    <w:basedOn w:val="Normal"/>
    <w:pPr>
      <w:spacing w:line="240" w:lineRule="exact"/>
      <w:ind w:firstLine="187"/>
      <w:jc w:val="both"/>
    </w:pPr>
  </w:style>
  <w:style w:type="paragraph" w:customStyle="1" w:styleId="sectionhead1">
    <w:name w:val="section head (1)"/>
    <w:basedOn w:val="Normal"/>
    <w:pPr>
      <w:numPr>
        <w:numId w:val="3"/>
      </w:numPr>
      <w:tabs>
        <w:tab w:val="left" w:pos="360"/>
      </w:tabs>
      <w:spacing w:before="120" w:after="120" w:line="216" w:lineRule="auto"/>
      <w:ind w:left="0" w:firstLine="0"/>
      <w:jc w:val="center"/>
    </w:pPr>
    <w:rPr>
      <w:smallCaps/>
    </w:rPr>
  </w:style>
  <w:style w:type="paragraph" w:customStyle="1" w:styleId="Head2">
    <w:name w:val="Head 2"/>
    <w:basedOn w:val="Heading2"/>
    <w:pPr>
      <w:numPr>
        <w:ilvl w:val="0"/>
        <w:numId w:val="4"/>
      </w:numPr>
      <w:spacing w:before="120"/>
      <w:ind w:left="0" w:firstLine="0"/>
    </w:pPr>
    <w:rPr>
      <w:spacing w:val="-8"/>
    </w:rPr>
  </w:style>
  <w:style w:type="paragraph" w:customStyle="1" w:styleId="sectionheadnonums">
    <w:name w:val="section head (no nums)"/>
    <w:basedOn w:val="Normal"/>
    <w:pPr>
      <w:spacing w:before="120" w:after="120"/>
      <w:jc w:val="center"/>
    </w:pPr>
    <w:rPr>
      <w:smallCaps/>
    </w:rPr>
  </w:style>
  <w:style w:type="paragraph" w:customStyle="1" w:styleId="authorname">
    <w:name w:val="author name"/>
    <w:basedOn w:val="Heading1"/>
    <w:rPr>
      <w:sz w:val="22"/>
    </w:rPr>
  </w:style>
  <w:style w:type="paragraph" w:customStyle="1" w:styleId="references">
    <w:name w:val="references"/>
    <w:basedOn w:val="Normal"/>
    <w:pPr>
      <w:spacing w:line="180" w:lineRule="exact"/>
      <w:ind w:left="360" w:hanging="360"/>
      <w:jc w:val="both"/>
    </w:pPr>
    <w:rPr>
      <w:sz w:val="16"/>
    </w:rPr>
  </w:style>
  <w:style w:type="paragraph" w:styleId="FootnoteText">
    <w:name w:val="footnote text"/>
    <w:basedOn w:val="Normal"/>
    <w:link w:val="FootnoteTextChar"/>
    <w:semiHidden/>
    <w:pPr>
      <w:autoSpaceDE w:val="0"/>
      <w:ind w:firstLine="202"/>
      <w:jc w:val="both"/>
    </w:pPr>
    <w:rPr>
      <w:sz w:val="16"/>
    </w:rPr>
  </w:style>
  <w:style w:type="paragraph" w:customStyle="1" w:styleId="Author">
    <w:name w:val="Author"/>
    <w:basedOn w:val="Normal"/>
    <w:pPr>
      <w:jc w:val="center"/>
    </w:pPr>
    <w:rPr>
      <w:sz w:val="24"/>
    </w:rPr>
  </w:style>
  <w:style w:type="paragraph" w:customStyle="1" w:styleId="Affiliation">
    <w:name w:val="Affiliation"/>
    <w:basedOn w:val="Normal"/>
    <w:pPr>
      <w:jc w:val="center"/>
    </w:pPr>
    <w:rPr>
      <w:i/>
      <w:sz w:val="24"/>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FootnoteTextChar">
    <w:name w:val="Footnote Text Char"/>
    <w:link w:val="FootnoteText"/>
    <w:semiHidden/>
    <w:rsid w:val="00521EED"/>
    <w:rPr>
      <w:sz w:val="16"/>
      <w:lang w:val="en-US"/>
    </w:rPr>
  </w:style>
  <w:style w:type="paragraph" w:customStyle="1" w:styleId="BodyTextKeep">
    <w:name w:val="Body Text Keep"/>
    <w:basedOn w:val="Normal"/>
    <w:rsid w:val="00517A47"/>
    <w:pPr>
      <w:keepNext/>
      <w:suppressAutoHyphens w:val="0"/>
      <w:ind w:right="45"/>
      <w:jc w:val="both"/>
    </w:pPr>
    <w:rPr>
      <w:rFonts w:eastAsia="MS Mincho"/>
      <w:sz w:val="18"/>
      <w:szCs w:val="18"/>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9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D1A9E-8984-4A2F-B373-FDF3CCBA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1901</Words>
  <Characters>10838</Characters>
  <Application>Microsoft Office Word</Application>
  <DocSecurity>0</DocSecurity>
  <Lines>90</Lines>
  <Paragraphs>25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Preparation of Papers in Two-Column Format for the Proceedings of the 2004 Sarnoff Symposium</vt:lpstr>
      <vt:lpstr>Preparation of Papers in Two-Column Format for the Proceedings of the 2004 Sarnoff Symposium</vt:lpstr>
    </vt:vector>
  </TitlesOfParts>
  <Company>Microsoft Corporation</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cp:lastModifiedBy>earsis@outlook.com</cp:lastModifiedBy>
  <cp:revision>14</cp:revision>
  <cp:lastPrinted>2018-03-07T12:31:00Z</cp:lastPrinted>
  <dcterms:created xsi:type="dcterms:W3CDTF">2018-03-07T08:22:00Z</dcterms:created>
  <dcterms:modified xsi:type="dcterms:W3CDTF">2018-03-07T12:53:00Z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