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3F2D96">
        <w:rPr>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noProof/>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noProof/>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noProof/>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noProof/>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noProof/>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noProof/>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noProof/>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noProof/>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noProof/>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noProof/>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a</w:t>
      </w:r>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noProof/>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45pt;height:85.05pt" o:ole="">
            <v:imagedata r:id="rId11" o:title=""/>
          </v:shape>
          <o:OLEObject Type="Embed" ProgID="Visio.Drawing.15" ShapeID="_x0000_i1025" DrawAspect="Content" ObjectID="_1577626052"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pt;height:227.1pt" o:ole="">
            <v:imagedata r:id="rId13" o:title=""/>
          </v:shape>
          <o:OLEObject Type="Embed" ProgID="Visio.Drawing.15" ShapeID="_x0000_i1026" DrawAspect="Content" ObjectID="_1577626053"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r w:rsidRPr="00831340">
              <w:rPr>
                <w:i/>
                <w:lang w:val="en-US"/>
              </w:rPr>
              <w:t>η</w:t>
            </w:r>
            <w:r w:rsidRPr="00831340">
              <w:rPr>
                <w:i/>
                <w:vertAlign w:val="subscript"/>
                <w:lang w:val="en-US"/>
              </w:rPr>
              <w:t>m-min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r w:rsidRPr="00831340">
              <w:rPr>
                <w:i/>
                <w:lang w:val="en-US"/>
              </w:rPr>
              <w:t>η</w:t>
            </w:r>
            <w:r w:rsidRPr="00831340">
              <w:rPr>
                <w:i/>
                <w:vertAlign w:val="subscript"/>
                <w:lang w:val="en-US"/>
              </w:rPr>
              <w:t>d-min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A14C36" w:rsidRPr="00831340" w:rsidRDefault="00A14C36" w:rsidP="0014439B">
      <w:pPr>
        <w:jc w:val="center"/>
        <w:rPr>
          <w:lang w:val="en-US"/>
        </w:rPr>
      </w:pPr>
      <w:r>
        <w:object w:dxaOrig="3916" w:dyaOrig="2941">
          <v:shape id="_x0000_i1027" type="#_x0000_t75" style="width:195.45pt;height:146.8pt" o:ole="">
            <v:imagedata r:id="rId15" o:title=""/>
          </v:shape>
          <o:OLEObject Type="Embed" ProgID="Visio.Drawing.15" ShapeID="_x0000_i1027" DrawAspect="Content" ObjectID="_1577626054"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 xml:space="preserve">A set of 650V e-mode GaN FETs suitable for high voltage applications having different current ratings from GaN </w:t>
      </w:r>
      <w:r w:rsidR="00B24786">
        <w:rPr>
          <w:lang w:val="en-US"/>
        </w:rPr>
        <w:t>S</w:t>
      </w:r>
      <w:r w:rsidR="00054334" w:rsidRPr="00831340">
        <w:rPr>
          <w:lang w:val="en-US"/>
        </w:rPr>
        <w:t>ystems are used for the design</w:t>
      </w:r>
      <w:r w:rsidR="00B24786">
        <w:rPr>
          <w:lang w:val="en-US"/>
        </w:rPr>
        <w:t xml:space="preserve"> </w:t>
      </w:r>
      <w:r w:rsidR="00B24786">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B24786">
        <w:rPr>
          <w:lang w:val="en-US"/>
        </w:rPr>
        <w:fldChar w:fldCharType="separate"/>
      </w:r>
      <w:r w:rsidR="00B24786" w:rsidRPr="00B24786">
        <w:rPr>
          <w:noProof/>
          <w:lang w:val="en-US"/>
        </w:rPr>
        <w:t>[10]</w:t>
      </w:r>
      <w:r w:rsidR="00B24786">
        <w:rPr>
          <w:lang w:val="en-US"/>
        </w:rPr>
        <w:fldChar w:fldCharType="end"/>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r w:rsidR="0014439B" w:rsidRPr="00831340">
        <w:rPr>
          <w:i/>
          <w:lang w:val="en-US"/>
        </w:rPr>
        <w:t>η</w:t>
      </w:r>
      <w:r w:rsidR="0014439B" w:rsidRPr="00831340">
        <w:rPr>
          <w:i/>
          <w:vertAlign w:val="subscript"/>
          <w:lang w:val="en-US"/>
        </w:rPr>
        <w:t>m-min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for 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r w:rsidR="006E0AF0" w:rsidRPr="00831340">
        <w:rPr>
          <w:i/>
          <w:lang w:val="en-US"/>
        </w:rPr>
        <w:t>E</w:t>
      </w:r>
      <w:r w:rsidR="006E0AF0" w:rsidRPr="00831340">
        <w:rPr>
          <w:i/>
          <w:vertAlign w:val="subscript"/>
          <w:lang w:val="en-US"/>
        </w:rPr>
        <w:t>off</w:t>
      </w:r>
      <w:r w:rsidR="006E0AF0" w:rsidRPr="00831340">
        <w:rPr>
          <w:lang w:val="en-US"/>
        </w:rPr>
        <w:t xml:space="preserve"> </w:t>
      </w:r>
      <w:r w:rsidR="006E0AF0" w:rsidRPr="00831340">
        <w:rPr>
          <w:lang w:val="en-US"/>
        </w:rPr>
        <w:lastRenderedPageBreak/>
        <w:t xml:space="preserve">and </w:t>
      </w:r>
      <w:r w:rsidR="006E0AF0" w:rsidRPr="00831340">
        <w:rPr>
          <w:i/>
          <w:lang w:val="en-US"/>
        </w:rPr>
        <w:t>E</w:t>
      </w:r>
      <w:r w:rsidR="006E0AF0" w:rsidRPr="00831340">
        <w:rPr>
          <w:i/>
          <w:vertAlign w:val="subscript"/>
          <w:lang w:val="en-US"/>
        </w:rPr>
        <w:t>oss</w:t>
      </w:r>
      <w:r w:rsidR="006E0AF0" w:rsidRPr="00831340">
        <w:rPr>
          <w:lang w:val="en-US"/>
        </w:rPr>
        <w:t xml:space="preserve"> are the on state, off state and output capacitance switching energies, respectively, </w:t>
      </w:r>
      <w:r w:rsidR="006E0AF0" w:rsidRPr="00831340">
        <w:rPr>
          <w:i/>
          <w:lang w:val="en-US"/>
        </w:rPr>
        <w:t>R</w:t>
      </w:r>
      <w:r w:rsidR="006E0AF0" w:rsidRPr="00831340">
        <w:rPr>
          <w:i/>
          <w:vertAlign w:val="subscript"/>
          <w:lang w:val="en-US"/>
        </w:rPr>
        <w:t>ds-on</w:t>
      </w:r>
      <w:r w:rsidR="006E0AF0" w:rsidRPr="00831340">
        <w:rPr>
          <w:lang w:val="en-US"/>
        </w:rPr>
        <w:t xml:space="preserve"> is the on state resistance, </w:t>
      </w:r>
      <w:r w:rsidR="006E0AF0" w:rsidRPr="00831340">
        <w:rPr>
          <w:i/>
          <w:lang w:val="en-US"/>
        </w:rPr>
        <w:t>I</w:t>
      </w:r>
      <w:r w:rsidR="006E0AF0" w:rsidRPr="00831340">
        <w:rPr>
          <w:i/>
          <w:vertAlign w:val="subscript"/>
          <w:lang w:val="en-US"/>
        </w:rPr>
        <w:t>p</w:t>
      </w:r>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3F2D96"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3F2D96"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3F2D96"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r w:rsidR="00E6020C" w:rsidRPr="00831340">
        <w:rPr>
          <w:i/>
          <w:lang w:val="en-US"/>
        </w:rPr>
        <w:t>C</w:t>
      </w:r>
      <w:r w:rsidR="00E6020C" w:rsidRPr="00831340">
        <w:rPr>
          <w:i/>
          <w:vertAlign w:val="subscript"/>
          <w:lang w:val="en-US"/>
        </w:rPr>
        <w:t>dc</w:t>
      </w:r>
      <w:r w:rsidR="00E6020C" w:rsidRPr="00831340">
        <w:rPr>
          <w:lang w:val="en-US"/>
        </w:rPr>
        <w:t>)</w:t>
      </w:r>
      <w:r w:rsidR="00582308" w:rsidRPr="00831340">
        <w:rPr>
          <w:lang w:val="en-US"/>
        </w:rPr>
        <w:t xml:space="preserve"> and RMS current rating</w:t>
      </w:r>
      <w:r w:rsidR="00E6020C" w:rsidRPr="00831340">
        <w:rPr>
          <w:lang w:val="en-US"/>
        </w:rPr>
        <w:t xml:space="preserve"> (</w:t>
      </w:r>
      <w:r w:rsidR="00E6020C" w:rsidRPr="00831340">
        <w:rPr>
          <w:i/>
          <w:lang w:val="en-US"/>
        </w:rPr>
        <w:t>I</w:t>
      </w:r>
      <w:r w:rsidR="00E6020C" w:rsidRPr="00831340">
        <w:rPr>
          <w:i/>
          <w:vertAlign w:val="subscript"/>
          <w:lang w:val="en-US"/>
        </w:rPr>
        <w:t>c-rms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r w:rsidR="00E6020C" w:rsidRPr="00831340">
        <w:rPr>
          <w:i/>
          <w:lang w:val="en-US"/>
        </w:rPr>
        <w:t>I</w:t>
      </w:r>
      <w:r w:rsidR="00E6020C" w:rsidRPr="00831340">
        <w:rPr>
          <w:i/>
          <w:vertAlign w:val="subscript"/>
          <w:lang w:val="en-US"/>
        </w:rPr>
        <w:t>rms</w:t>
      </w:r>
      <w:r w:rsidR="00E6020C" w:rsidRPr="00831340">
        <w:rPr>
          <w:lang w:val="en-US"/>
        </w:rPr>
        <w:t xml:space="preserve"> is the rms line current</w:t>
      </w:r>
      <w:r w:rsidR="0003173B" w:rsidRPr="00831340">
        <w:rPr>
          <w:lang w:val="en-US"/>
        </w:rPr>
        <w:t xml:space="preserve"> </w:t>
      </w:r>
      <w:r w:rsidR="00B24786">
        <w:rPr>
          <w:lang w:val="en-US"/>
        </w:rPr>
        <w:fldChar w:fldCharType="begin" w:fldLock="1"/>
      </w:r>
      <w:r w:rsidR="00B24786">
        <w:rPr>
          <w:lang w:val="en-US"/>
        </w:rPr>
        <w:instrText>ADDIN CSL_CITATION { "citationItems" : [ { "id" : "ITEM-1", "itemData" : { "DOI" : "10.1109/TPEL.2017.2705805", "ISBN" : "0885-8993 VO  - PP", "ISSN" : "0885-8993", "abstract" : "The emergence of wide-bandgap devices, e.g. silicon carbide (SiC), has the potential to enable very high-density power converter design with high-switching frequency operation capability. A comprehensive design tool with a holistic design approach is critical to maximise the overall system power density, e.g by identifying the optimal switching frequency. This paper presents a system level design tool that optimises the power density (volume or mass) of a 3-phase, 2-level DC-AC converter. The design tool optimises the selection of the devices, heatsink and passive components (including the design of the line, EMI and DC-link filters) to maximise the power density. The structure of the optimisation algorithm has been organised to reduce the number of potential design combinations by over 99%, and thus produces fast simulation times. The design tool predicts that when SiC devices are used instead of Si ones, the power density is increased by 159.4%. A 5 kW, 600 V DC-link, 3-phase, 2- level DC-AC converter was experimentally evaluated in order to confirm the accuracy of the design tool.", "author" : [ { "dropping-particle" : "", "family" : "Laird", "given" : "Ian", "non-dropping-particle" : "", "parse-names" : false, "suffix" : "" }, { "dropping-particle" : "", "family" : "Yuan", "given" : "Xibo", "non-dropping-particle" : "", "parse-names" : false, "suffix" : "" }, { "dropping-particle" : "", "family" : "Scoltock", "given" : "James", "non-dropping-particle" : "", "parse-names" : false, "suffix" : "" }, { "dropping-particle" : "", "family" : "Forsyth", "given" : "Andrew", "non-dropping-particle" : "", "parse-names" : false, "suffix" : "" } ], "container-title" : "IEEE Transactions on Power Electronics", "id" : "ITEM-1", "issue" : "c", "issued" : { "date-parts" : [ [ "2017" ] ] }, "page" : "1-1", "title" : "A Design Optimisation Tool for Maximising the Power Density of 3-Phase DC-AC Converters Using Silicon Carbide (SiC) Devices", "type" : "article-journal", "volume" : "8993" }, "uris" : [ "http://www.mendeley.com/documents/?uuid=6c9d415f-ba78-46a0-9ca7-892c4d0e5081" ] } ], "mendeley" : { "formattedCitation" : "[11]", "plainTextFormattedCitation" : "[11]", "previouslyFormattedCitation" : "[11]" }, "properties" : {  }, "schema" : "https://github.com/citation-style-language/schema/raw/master/csl-citation.json" }</w:instrText>
      </w:r>
      <w:r w:rsidR="00B24786">
        <w:rPr>
          <w:lang w:val="en-US"/>
        </w:rPr>
        <w:fldChar w:fldCharType="separate"/>
      </w:r>
      <w:r w:rsidR="00B24786" w:rsidRPr="00B24786">
        <w:rPr>
          <w:noProof/>
          <w:lang w:val="en-US"/>
        </w:rPr>
        <w:t>[11]</w:t>
      </w:r>
      <w:r w:rsidR="00B24786">
        <w:rPr>
          <w:lang w:val="en-US"/>
        </w:rPr>
        <w:fldChar w:fldCharType="end"/>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3F2D96"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3F2D96"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"[12]", "plainTextFormattedCitation" : "[12]", "previouslyFormattedCitation" : "[12]" }, "properties" : {  }, "schema" : "https://github.com/citation-style-language/schema/raw/master/csl-citation.json" }</w:instrText>
      </w:r>
      <w:r w:rsidR="00B24786">
        <w:rPr>
          <w:lang w:val="en-US"/>
        </w:rPr>
        <w:fldChar w:fldCharType="separate"/>
      </w:r>
      <w:r w:rsidR="00B24786" w:rsidRPr="00B24786">
        <w:rPr>
          <w:noProof/>
          <w:lang w:val="en-US"/>
        </w:rPr>
        <w:t>[12]</w:t>
      </w:r>
      <w:r w:rsidR="00B24786">
        <w:rPr>
          <w:lang w:val="en-US"/>
        </w:rPr>
        <w:fldChar w:fldCharType="end"/>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w:t>
      </w:r>
      <w:r w:rsidR="00B24786">
        <w:rPr>
          <w:lang w:val="en-US"/>
        </w:rPr>
        <w:t xml:space="preserve"> </w:t>
      </w:r>
      <w:r w:rsidR="00B24786">
        <w:rPr>
          <w:lang w:val="en-US"/>
        </w:rPr>
        <w:fldChar w:fldCharType="begin" w:fldLock="1"/>
      </w:r>
      <w:r w:rsidR="00B247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"[12]", "plainTextFormattedCitation" : "[12]", "previouslyFormattedCitation" : "[12]" }, "properties" : {  }, "schema" : "https://github.com/citation-style-language/schema/raw/master/csl-citation.json" }</w:instrText>
      </w:r>
      <w:r w:rsidR="00B24786">
        <w:rPr>
          <w:lang w:val="en-US"/>
        </w:rPr>
        <w:fldChar w:fldCharType="separate"/>
      </w:r>
      <w:r w:rsidR="00B24786" w:rsidRPr="00B24786">
        <w:rPr>
          <w:noProof/>
          <w:lang w:val="en-US"/>
        </w:rPr>
        <w:t>[12]</w:t>
      </w:r>
      <w:r w:rsidR="00B24786">
        <w:rPr>
          <w:lang w:val="en-US"/>
        </w:rPr>
        <w:fldChar w:fldCharType="end"/>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r w:rsidR="007C0B27" w:rsidRPr="00831340">
        <w:rPr>
          <w:i/>
          <w:lang w:val="en-US"/>
        </w:rPr>
        <w:t>E</w:t>
      </w:r>
      <w:r w:rsidR="007C0B27" w:rsidRPr="00831340">
        <w:rPr>
          <w:i/>
          <w:vertAlign w:val="subscript"/>
          <w:lang w:val="en-US"/>
        </w:rPr>
        <w:t>phm</w:t>
      </w:r>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3F2D96"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lang w:val="en-US"/>
        </w:rPr>
        <w:lastRenderedPageBreak/>
        <w:t>(</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r w:rsidR="00675C73" w:rsidRPr="00831340">
        <w:rPr>
          <w:i/>
          <w:lang w:val="en-US"/>
        </w:rPr>
        <w:t>w</w:t>
      </w:r>
      <w:r w:rsidR="00675C73" w:rsidRPr="00831340">
        <w:rPr>
          <w:i/>
          <w:vertAlign w:val="subscript"/>
          <w:lang w:val="en-US"/>
        </w:rPr>
        <w:t>s</w:t>
      </w:r>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w:t>
      </w:r>
      <w:r w:rsidR="00B24786">
        <w:rPr>
          <w:lang w:val="en-US"/>
        </w:rPr>
        <w:t xml:space="preserve"> </w:t>
      </w:r>
      <w:r w:rsidR="00B24786">
        <w:rPr>
          <w:lang w:val="en-US"/>
        </w:rPr>
        <w:fldChar w:fldCharType="begin" w:fldLock="1"/>
      </w:r>
      <w:r w:rsidR="00B247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B24786">
        <w:rPr>
          <w:lang w:val="en-US"/>
        </w:rPr>
        <w:fldChar w:fldCharType="separate"/>
      </w:r>
      <w:r w:rsidR="00B24786" w:rsidRPr="00B24786">
        <w:rPr>
          <w:noProof/>
          <w:lang w:val="en-US"/>
        </w:rPr>
        <w:t>[9]</w:t>
      </w:r>
      <w:r w:rsidR="00B24786">
        <w:rPr>
          <w:lang w:val="en-US"/>
        </w:rPr>
        <w:fldChar w:fldCharType="end"/>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r w:rsidRPr="00831340">
        <w:rPr>
          <w:i/>
          <w:lang w:val="en-US"/>
        </w:rPr>
        <w:t>l</w:t>
      </w:r>
      <w:r w:rsidRPr="00831340">
        <w:rPr>
          <w:i/>
          <w:vertAlign w:val="subscript"/>
          <w:lang w:val="en-US"/>
        </w:rPr>
        <w:t>g</w:t>
      </w:r>
      <w:r w:rsidRPr="00831340">
        <w:rPr>
          <w:lang w:val="en-US"/>
        </w:rPr>
        <w:t>) is found using the target peak air gap flux density (</w:t>
      </w:r>
      <w:r w:rsidRPr="00831340">
        <w:rPr>
          <w:i/>
          <w:lang w:val="en-US"/>
        </w:rPr>
        <w:t>B</w:t>
      </w:r>
      <w:r w:rsidRPr="00831340">
        <w:rPr>
          <w:i/>
          <w:vertAlign w:val="subscript"/>
          <w:lang w:val="en-US"/>
        </w:rPr>
        <w:t>gp</w:t>
      </w:r>
      <w:r w:rsidRPr="00831340">
        <w:rPr>
          <w:lang w:val="en-US"/>
        </w:rPr>
        <w:t>) and the properties of the selected magnet (</w:t>
      </w:r>
      <w:r w:rsidRPr="00831340">
        <w:rPr>
          <w:i/>
          <w:lang w:val="en-US"/>
        </w:rPr>
        <w:t>NeFe</w:t>
      </w:r>
      <w:r w:rsidR="00C9740E">
        <w:rPr>
          <w:i/>
          <w:lang w:val="en-US"/>
        </w:rPr>
        <w:t>B</w:t>
      </w:r>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r w:rsidR="00DC2872" w:rsidRPr="00831340">
        <w:rPr>
          <w:i/>
          <w:lang w:val="en-US"/>
        </w:rPr>
        <w:t>b</w:t>
      </w:r>
      <w:r w:rsidR="00DC2872" w:rsidRPr="00831340">
        <w:rPr>
          <w:i/>
          <w:vertAlign w:val="subscript"/>
          <w:lang w:val="en-US"/>
        </w:rPr>
        <w:t>t</w:t>
      </w:r>
      <w:r w:rsidR="00DC2872" w:rsidRPr="00831340">
        <w:rPr>
          <w:lang w:val="en-US"/>
        </w:rPr>
        <w:t>) and back core height (</w:t>
      </w:r>
      <w:r w:rsidR="00DC2872" w:rsidRPr="00831340">
        <w:rPr>
          <w:i/>
          <w:lang w:val="en-US"/>
        </w:rPr>
        <w:t>h</w:t>
      </w:r>
      <w:r w:rsidR="00DC2872" w:rsidRPr="00831340">
        <w:rPr>
          <w:i/>
          <w:vertAlign w:val="subscript"/>
          <w:lang w:val="en-US"/>
        </w:rPr>
        <w:t>bc</w:t>
      </w:r>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r w:rsidR="00DC2872" w:rsidRPr="00831340">
        <w:rPr>
          <w:i/>
          <w:lang w:val="en-US"/>
        </w:rPr>
        <w:t>e</w:t>
      </w:r>
      <w:r w:rsidR="00DC2872" w:rsidRPr="00831340">
        <w:rPr>
          <w:i/>
          <w:vertAlign w:val="subscript"/>
          <w:lang w:val="en-US"/>
        </w:rPr>
        <w:t>m</w:t>
      </w:r>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4.85pt;height:81.15pt" o:ole="">
            <v:imagedata r:id="rId18" o:title=""/>
          </v:shape>
          <o:OLEObject Type="Embed" ProgID="Visio.Drawing.15" ShapeID="_x0000_i1028" DrawAspect="Content" ObjectID="_1577626055" r:id="rId19"/>
        </w:object>
      </w:r>
      <w:r w:rsidR="0099751C" w:rsidRPr="00831340">
        <w:rPr>
          <w:lang w:val="en-US"/>
        </w:rPr>
        <w:t xml:space="preserve">    </w:t>
      </w:r>
      <w:r w:rsidRPr="00831340">
        <w:rPr>
          <w:lang w:val="en-US"/>
        </w:rPr>
        <w:object w:dxaOrig="5835" w:dyaOrig="5535">
          <v:shape id="_x0000_i1029" type="#_x0000_t75" style="width:87pt;height:82.3pt" o:ole="">
            <v:imagedata r:id="rId20" o:title=""/>
          </v:shape>
          <o:OLEObject Type="Embed" ProgID="Visio.Drawing.15" ShapeID="_x0000_i1029" DrawAspect="Content" ObjectID="_1577626056"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3F2D96"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3F2D96"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3F2D96"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r w:rsidRPr="00831340">
        <w:rPr>
          <w:i/>
          <w:lang w:val="en-US"/>
        </w:rPr>
        <w:t>E</w:t>
      </w:r>
      <w:r w:rsidRPr="00831340">
        <w:rPr>
          <w:i/>
          <w:vertAlign w:val="subscript"/>
          <w:lang w:val="en-US"/>
        </w:rPr>
        <w:t>phm</w:t>
      </w:r>
      <w:r w:rsidRPr="00831340">
        <w:rPr>
          <w:lang w:val="en-US"/>
        </w:rPr>
        <w:t xml:space="preserve"> and flux per pole (</w:t>
      </w:r>
      <w:r w:rsidRPr="00831340">
        <w:rPr>
          <w:rFonts w:ascii="Calibri" w:hAnsi="Calibri" w:cs="Calibri"/>
          <w:i/>
          <w:lang w:val="en-US"/>
        </w:rPr>
        <w:t>Φ</w:t>
      </w:r>
      <w:r w:rsidRPr="00831340">
        <w:rPr>
          <w:i/>
          <w:vertAlign w:val="subscript"/>
          <w:lang w:val="en-US"/>
        </w:rPr>
        <w:t>pp</w:t>
      </w:r>
      <w:r w:rsidRPr="00831340">
        <w:rPr>
          <w:lang w:val="en-US"/>
        </w:rPr>
        <w:t xml:space="preserve">). </w:t>
      </w:r>
      <w:r w:rsidRPr="00831340">
        <w:rPr>
          <w:rFonts w:ascii="Calibri" w:hAnsi="Calibri" w:cs="Calibri"/>
          <w:i/>
          <w:lang w:val="en-US"/>
        </w:rPr>
        <w:t>Φ</w:t>
      </w:r>
      <w:r w:rsidRPr="00831340">
        <w:rPr>
          <w:i/>
          <w:vertAlign w:val="subscript"/>
          <w:lang w:val="en-US"/>
        </w:rPr>
        <w:t>pp</w:t>
      </w:r>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r w:rsidRPr="00831340">
        <w:rPr>
          <w:i/>
          <w:lang w:val="en-US"/>
        </w:rPr>
        <w:t>f</w:t>
      </w:r>
      <w:r w:rsidRPr="00831340">
        <w:rPr>
          <w:i/>
          <w:vertAlign w:val="subscript"/>
          <w:lang w:val="en-US"/>
        </w:rPr>
        <w:t>r</w:t>
      </w:r>
      <w:r w:rsidRPr="00831340">
        <w:rPr>
          <w:lang w:val="en-US"/>
        </w:rPr>
        <w:t xml:space="preserve"> is the mechanical frequency. The number of turns per coil side (</w:t>
      </w:r>
      <w:r w:rsidRPr="00831340">
        <w:rPr>
          <w:i/>
          <w:lang w:val="en-US"/>
        </w:rPr>
        <w:t>N</w:t>
      </w:r>
      <w:r w:rsidRPr="00831340">
        <w:rPr>
          <w:i/>
          <w:vertAlign w:val="subscript"/>
          <w:lang w:val="en-US"/>
        </w:rPr>
        <w:t>cs</w:t>
      </w:r>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3F2D96"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3F2D96"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3F2D96"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3F2D96"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3F2D96"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r w:rsidR="00BE58F0" w:rsidRPr="00831340">
        <w:rPr>
          <w:i/>
          <w:lang w:val="en-US"/>
        </w:rPr>
        <w:t>A</w:t>
      </w:r>
      <w:r w:rsidR="00BE58F0" w:rsidRPr="00831340">
        <w:rPr>
          <w:i/>
          <w:vertAlign w:val="subscript"/>
          <w:lang w:val="en-US"/>
        </w:rPr>
        <w:t>wdg</w:t>
      </w:r>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r w:rsidR="00BE58F0" w:rsidRPr="00831340">
        <w:rPr>
          <w:i/>
          <w:lang w:val="en-US"/>
        </w:rPr>
        <w:t>ρ</w:t>
      </w:r>
      <w:r w:rsidR="00BE58F0" w:rsidRPr="00831340">
        <w:rPr>
          <w:i/>
          <w:vertAlign w:val="subscript"/>
          <w:lang w:val="en-US"/>
        </w:rPr>
        <w:t>cu</w:t>
      </w:r>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3F2D96"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Default="001E2017" w:rsidP="00675ED2">
      <w:pPr>
        <w:jc w:val="both"/>
        <w:rPr>
          <w:lang w:val="en-US"/>
        </w:rPr>
      </w:pPr>
      <w:r w:rsidRPr="00831340">
        <w:rPr>
          <w:lang w:val="en-US"/>
        </w:rPr>
        <w:t xml:space="preserve">The thermal model </w:t>
      </w:r>
      <w:r w:rsidR="006001A5">
        <w:rPr>
          <w:lang w:val="en-US"/>
        </w:rPr>
        <w:t xml:space="preserve">including GaN devices and the </w:t>
      </w:r>
      <w:r w:rsidRPr="00831340">
        <w:rPr>
          <w:lang w:val="en-US"/>
        </w:rPr>
        <w:t>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w:t>
      </w:r>
      <w:r w:rsidR="006001A5">
        <w:rPr>
          <w:lang w:val="en-US"/>
        </w:rPr>
        <w:t>preferred</w:t>
      </w:r>
      <w:r w:rsidR="009414BD" w:rsidRPr="00831340">
        <w:rPr>
          <w:lang w:val="en-US"/>
        </w:rPr>
        <w:t xml:space="preserve"> in the design due to the reliability issues. </w:t>
      </w:r>
      <w:r w:rsidR="009414BD" w:rsidRPr="00831340">
        <w:rPr>
          <w:i/>
          <w:lang w:val="en-US"/>
        </w:rPr>
        <w:t>R</w:t>
      </w:r>
      <w:r w:rsidR="009414BD" w:rsidRPr="00831340">
        <w:rPr>
          <w:i/>
          <w:vertAlign w:val="subscript"/>
          <w:lang w:val="en-US"/>
        </w:rPr>
        <w:t>th-sa</w:t>
      </w:r>
      <w:r w:rsidR="009414BD" w:rsidRPr="00831340">
        <w:rPr>
          <w:lang w:val="en-US"/>
        </w:rPr>
        <w:t xml:space="preserve"> is </w:t>
      </w:r>
      <w:r w:rsidR="006001A5">
        <w:rPr>
          <w:lang w:val="en-US"/>
        </w:rPr>
        <w:t>calculated as</w:t>
      </w:r>
      <w:r w:rsidR="009414BD" w:rsidRPr="00831340">
        <w:rPr>
          <w:lang w:val="en-US"/>
        </w:rPr>
        <w:t xml:space="preserve"> (</w:t>
      </w:r>
      <w:r w:rsidR="009414BD" w:rsidRPr="00831340">
        <w:rPr>
          <w:highlight w:val="yellow"/>
          <w:lang w:val="en-US"/>
        </w:rPr>
        <w:t>17</w:t>
      </w:r>
      <w:r w:rsidR="009414BD" w:rsidRPr="00831340">
        <w:rPr>
          <w:lang w:val="en-US"/>
        </w:rPr>
        <w:t>) to ensure that the junctio</w:t>
      </w:r>
      <w:r w:rsidR="006001A5">
        <w:rPr>
          <w:lang w:val="en-US"/>
        </w:rPr>
        <w:t>n temperature of any device do not exceed their</w:t>
      </w:r>
      <w:r w:rsidR="009414BD" w:rsidRPr="00831340">
        <w:rPr>
          <w:lang w:val="en-US"/>
        </w:rPr>
        <w:t xml:space="preserve"> maximum value</w:t>
      </w:r>
      <w:r w:rsidR="006001A5">
        <w:rPr>
          <w:lang w:val="en-US"/>
        </w:rPr>
        <w:t>s</w:t>
      </w:r>
      <w:r w:rsidR="009414BD" w:rsidRPr="00831340">
        <w:rPr>
          <w:lang w:val="en-US"/>
        </w:rPr>
        <w:t xml:space="preserve"> (</w:t>
      </w:r>
      <w:r w:rsidR="009414BD" w:rsidRPr="00831340">
        <w:rPr>
          <w:i/>
          <w:lang w:val="en-US"/>
        </w:rPr>
        <w:t>T</w:t>
      </w:r>
      <w:r w:rsidR="009414BD" w:rsidRPr="00831340">
        <w:rPr>
          <w:i/>
          <w:vertAlign w:val="subscript"/>
          <w:lang w:val="en-US"/>
        </w:rPr>
        <w:t>jmax</w:t>
      </w:r>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w:t>
      </w:r>
      <w:r w:rsidR="00116282">
        <w:rPr>
          <w:lang w:val="en-US"/>
        </w:rPr>
        <w:t xml:space="preserve"> </w:t>
      </w:r>
      <w:r w:rsidR="00116282">
        <w:rPr>
          <w:lang w:val="en-US"/>
        </w:rPr>
        <w:fldChar w:fldCharType="begin" w:fldLock="1"/>
      </w:r>
      <w:r w:rsidR="00B24786">
        <w:rPr>
          <w:lang w:val="en-US"/>
        </w:rPr>
        <w:instrText>ADDIN CSL_CITATION { "citationItems" : [ { "id" : "ITEM-1", "itemData" : { "DOI" : "10.1038/483531a", "ISBN" : "0760710058", "ISSN" : "1505-1773", "PMID" : "19886255", "abstract" : "This note has outlined PCB thermal design and layout considerations for using GaNPX devices in real applications.", "author" : [ { "dropping-particle" : "", "family" : "Systems", "given" : "GaN", "non-dropping-particle" : "", "parse-names" : false, "suffix" : "" } ], "id" : "ITEM-1", "issued" : { "date-parts" : [ [ "2015" ] ] }, "page" : "1-15", "title" : "PCB Thermal Design Guide for GaN Enhancement Mode Power Transistors", "type" : "article-journal" }, "uris" : [ "http://www.mendeley.com/documents/?uuid=9a97672b-8753-46ee-85d1-c580948cd94e" ] } ], "mendeley" : { "formattedCitation" : "[10]", "plainTextFormattedCitation" : "[10]", "previouslyFormattedCitation" : "[10]" }, "properties" : {  }, "schema" : "https://github.com/citation-style-language/schema/raw/master/csl-citation.json" }</w:instrText>
      </w:r>
      <w:r w:rsidR="00116282">
        <w:rPr>
          <w:lang w:val="en-US"/>
        </w:rPr>
        <w:fldChar w:fldCharType="separate"/>
      </w:r>
      <w:r w:rsidR="00B24786" w:rsidRPr="00B24786">
        <w:rPr>
          <w:noProof/>
          <w:lang w:val="en-US"/>
        </w:rPr>
        <w:t>[10]</w:t>
      </w:r>
      <w:r w:rsidR="00116282">
        <w:rPr>
          <w:lang w:val="en-US"/>
        </w:rPr>
        <w:fldChar w:fldCharType="end"/>
      </w:r>
      <w:r w:rsidR="009414BD" w:rsidRPr="00831340">
        <w:rPr>
          <w:lang w:val="en-US"/>
        </w:rPr>
        <w:t>.</w:t>
      </w:r>
      <w:r w:rsidR="00CF0220" w:rsidRPr="00831340">
        <w:rPr>
          <w:lang w:val="en-US"/>
        </w:rPr>
        <w:t xml:space="preserve"> Analytical models are used </w:t>
      </w:r>
      <w:r w:rsidR="006001A5">
        <w:rPr>
          <w:lang w:val="en-US"/>
        </w:rPr>
        <w:t>to determine</w:t>
      </w:r>
      <w:r w:rsidR="00CF0220" w:rsidRPr="00831340">
        <w:rPr>
          <w:lang w:val="en-US"/>
        </w:rPr>
        <w:t xml:space="preserve"> heat sink</w:t>
      </w:r>
      <w:r w:rsidR="006001A5">
        <w:rPr>
          <w:lang w:val="en-US"/>
        </w:rPr>
        <w:t xml:space="preserve"> dimensions and fin geometry</w:t>
      </w:r>
      <w:r w:rsidR="00CF0220" w:rsidRPr="00831340">
        <w:rPr>
          <w:lang w:val="en-US"/>
        </w:rPr>
        <w:t xml:space="preserve">.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r w:rsidR="00675ED2" w:rsidRPr="00831340">
        <w:rPr>
          <w:i/>
          <w:lang w:val="en-US"/>
        </w:rPr>
        <w:t>A</w:t>
      </w:r>
      <w:r w:rsidR="00675ED2" w:rsidRPr="00831340">
        <w:rPr>
          <w:i/>
          <w:vertAlign w:val="subscript"/>
          <w:lang w:val="en-US"/>
        </w:rPr>
        <w:t>base</w:t>
      </w:r>
      <w:r w:rsidR="00675ED2" w:rsidRPr="00831340">
        <w:rPr>
          <w:lang w:val="en-US"/>
        </w:rPr>
        <w:t xml:space="preserve"> is the base plate area, </w:t>
      </w:r>
      <w:r w:rsidR="00675ED2" w:rsidRPr="00831340">
        <w:rPr>
          <w:i/>
          <w:lang w:val="en-US"/>
        </w:rPr>
        <w:t>A</w:t>
      </w:r>
      <w:r w:rsidR="00675ED2" w:rsidRPr="00831340">
        <w:rPr>
          <w:i/>
          <w:vertAlign w:val="subscript"/>
          <w:lang w:val="en-US"/>
        </w:rPr>
        <w:t>fin</w:t>
      </w:r>
      <w:r w:rsidR="00675ED2" w:rsidRPr="00831340">
        <w:rPr>
          <w:lang w:val="en-US"/>
        </w:rPr>
        <w:t xml:space="preserve"> is the total fin surface area, </w:t>
      </w:r>
      <w:r w:rsidR="00675ED2" w:rsidRPr="00831340">
        <w:rPr>
          <w:i/>
          <w:lang w:val="en-US"/>
        </w:rPr>
        <w:t>η</w:t>
      </w:r>
      <w:r w:rsidR="00675ED2" w:rsidRPr="00831340">
        <w:rPr>
          <w:i/>
          <w:vertAlign w:val="subscript"/>
          <w:lang w:val="en-US"/>
        </w:rPr>
        <w:t>fin</w:t>
      </w:r>
      <w:r w:rsidR="00675ED2" w:rsidRPr="00831340">
        <w:rPr>
          <w:lang w:val="en-US"/>
        </w:rPr>
        <w:t xml:space="preserve"> is the fin efficiency</w:t>
      </w:r>
      <w:r w:rsidR="00371810" w:rsidRPr="00831340">
        <w:rPr>
          <w:lang w:val="en-US"/>
        </w:rPr>
        <w:t xml:space="preserve"> and </w:t>
      </w:r>
      <w:r w:rsidR="00371810" w:rsidRPr="00831340">
        <w:rPr>
          <w:i/>
          <w:lang w:val="en-US"/>
        </w:rPr>
        <w:t>N</w:t>
      </w:r>
      <w:r w:rsidR="00371810" w:rsidRPr="00831340">
        <w:rPr>
          <w:i/>
          <w:vertAlign w:val="subscript"/>
          <w:lang w:val="en-US"/>
        </w:rPr>
        <w:t>fin</w:t>
      </w:r>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is found using an analytical model derived in</w:t>
      </w:r>
      <w:r w:rsidR="00A27412">
        <w:rPr>
          <w:lang w:val="en-US"/>
        </w:rPr>
        <w:t xml:space="preserve"> </w:t>
      </w:r>
      <w:r w:rsidR="00A27412">
        <w:rPr>
          <w:lang w:val="en-US"/>
        </w:rPr>
        <w:t xml:space="preserve"> </w:t>
      </w:r>
      <w:r w:rsidR="00A27412">
        <w:rPr>
          <w:lang w:val="en-US"/>
        </w:rPr>
        <w:fldChar w:fldCharType="begin" w:fldLock="1"/>
      </w:r>
      <w:r w:rsidR="00A27412">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"[13]", "plainTextFormattedCitation" : "[13]", "previouslyFormattedCitation" : "[13]" }, "properties" : {  }, "schema" : "https://github.com/citation-style-language/schema/raw/master/csl-citation.json" }</w:instrText>
      </w:r>
      <w:r w:rsidR="00A27412">
        <w:rPr>
          <w:lang w:val="en-US"/>
        </w:rPr>
        <w:fldChar w:fldCharType="separate"/>
      </w:r>
      <w:r w:rsidR="00A27412" w:rsidRPr="00A27412">
        <w:rPr>
          <w:noProof/>
          <w:lang w:val="en-US"/>
        </w:rPr>
        <w:t>[13]</w:t>
      </w:r>
      <w:r w:rsidR="00A27412">
        <w:rPr>
          <w:lang w:val="en-US"/>
        </w:rPr>
        <w:fldChar w:fldCharType="end"/>
      </w:r>
      <w:r w:rsidR="00675ED2" w:rsidRPr="00831340">
        <w:rPr>
          <w:lang w:val="en-US"/>
        </w:rPr>
        <w:t>.</w:t>
      </w:r>
    </w:p>
    <w:p w:rsidR="00C80761" w:rsidRPr="00831340" w:rsidRDefault="00C80761" w:rsidP="00675ED2">
      <w:pPr>
        <w:jc w:val="both"/>
        <w:rPr>
          <w:lang w:val="en-US"/>
        </w:rPr>
      </w:pPr>
    </w:p>
    <w:p w:rsidR="009860A3" w:rsidRPr="00831340" w:rsidRDefault="001E2017" w:rsidP="001E2017">
      <w:pPr>
        <w:jc w:val="center"/>
        <w:rPr>
          <w:lang w:val="en-US"/>
        </w:rPr>
      </w:pPr>
      <w:r w:rsidRPr="00831340">
        <w:rPr>
          <w:lang w:val="en-US"/>
        </w:rPr>
        <w:t xml:space="preserve"> </w:t>
      </w:r>
      <w:r w:rsidR="00A8310D" w:rsidRPr="00831340">
        <w:rPr>
          <w:lang w:val="en-US"/>
        </w:rPr>
        <w:t xml:space="preserve">  </w:t>
      </w:r>
      <w:r w:rsidR="003F2D96">
        <w:rPr>
          <w:lang w:val="en-US"/>
        </w:rPr>
        <w:pict>
          <v:shape id="_x0000_i1030" type="#_x0000_t75" style="width:128.45pt;height:67pt">
            <v:imagedata r:id="rId22" o:title="thermal_circut_gansystems2"/>
          </v:shape>
        </w:pict>
      </w:r>
      <w:r w:rsidR="00CF0220" w:rsidRPr="00831340">
        <w:rPr>
          <w:lang w:val="en-US"/>
        </w:rPr>
        <w:object w:dxaOrig="3631" w:dyaOrig="1501">
          <v:shape id="_x0000_i1031" type="#_x0000_t75" style="width:109.55pt;height:44.75pt" o:ole="">
            <v:imagedata r:id="rId23" o:title=""/>
          </v:shape>
          <o:OLEObject Type="Embed" ProgID="Visio.Drawing.15" ShapeID="_x0000_i1031" DrawAspect="Content" ObjectID="_1577626057"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r w:rsidR="00CF0220" w:rsidRPr="00831340">
        <w:rPr>
          <w:sz w:val="16"/>
          <w:szCs w:val="16"/>
          <w:lang w:val="en-US"/>
        </w:rPr>
        <w:t xml:space="preserve">   </w:t>
      </w:r>
      <w:r w:rsidRPr="00831340">
        <w:rPr>
          <w:sz w:val="16"/>
          <w:szCs w:val="16"/>
          <w:lang w:val="en-US"/>
        </w:rPr>
        <w:t>(</w:t>
      </w:r>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A27412">
        <w:rPr>
          <w:lang w:val="en-US"/>
        </w:rPr>
        <w:t xml:space="preserve"> </w:t>
      </w:r>
      <w:r w:rsidR="00A27412">
        <w:rPr>
          <w:lang w:val="en-US"/>
        </w:rPr>
        <w:fldChar w:fldCharType="begin" w:fldLock="1"/>
      </w:r>
      <w:r w:rsidR="00A27412">
        <w:rPr>
          <w:lang w:val="en-US"/>
        </w:rPr>
        <w:instrText>ADDIN CSL_CITATION { "citationItems" : [ { "id" : "ITEM-1", "itemData" : { "abstract" : "This note has outlined PCB thermal design and layout considerations for using GaNPX devices in real applications.", "author" : [ { "dropping-particle" : "", "family" : "Systems", "given" : "GaN", "non-dropping-particle" : "", "parse-names" : false, "suffix" : "" } ], "id" : "ITEM-1", "issued" : { "date-parts" : [ [ "2014" ] ] }, "page" : "1-14", "title" : "Thermal Analysis and PCB Design Guidelines for GaN Enhancement Mode Power Switching Transistors", "type" : "article-journal" }, "uris" : [ "http://www.mendeley.com/documents/?uuid=6bbef268-23b9-4d25-b87e-0c04b0e34ec5" ] } ], "mendeley" : { "formattedCitation" : "[14]", "plainTextFormattedCitation" : "[14]", "previouslyFormattedCitation" : "[14]" }, "properties" : {  }, "schema" : "https://github.com/citation-style-language/schema/raw/master/csl-citation.json" }</w:instrText>
      </w:r>
      <w:r w:rsidR="00A27412">
        <w:rPr>
          <w:lang w:val="en-US"/>
        </w:rPr>
        <w:fldChar w:fldCharType="separate"/>
      </w:r>
      <w:r w:rsidR="00A27412" w:rsidRPr="00A27412">
        <w:rPr>
          <w:noProof/>
          <w:lang w:val="en-US"/>
        </w:rPr>
        <w:t>[14]</w:t>
      </w:r>
      <w:r w:rsidR="00A27412">
        <w:rPr>
          <w:lang w:val="en-US"/>
        </w:rPr>
        <w:fldChar w:fldCharType="end"/>
      </w:r>
      <w:r w:rsidR="00116282">
        <w:rPr>
          <w:lang w:val="en-US"/>
        </w:rPr>
        <w:t>,</w:t>
      </w:r>
      <w:r w:rsidR="001E2017" w:rsidRPr="00831340">
        <w:rPr>
          <w:lang w:val="en-US"/>
        </w:rPr>
        <w:t xml:space="preserve"> (b) Lumped parameter thermal equivalent circuit</w:t>
      </w: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r w:rsidR="00B24786">
        <w:rPr>
          <w:lang w:val="en-US"/>
        </w:rPr>
        <w:t xml:space="preserve"> </w:t>
      </w:r>
      <w:r w:rsidR="00BB1795">
        <w:rPr>
          <w:lang w:val="en-US"/>
        </w:rPr>
        <w:fldChar w:fldCharType="begin" w:fldLock="1"/>
      </w:r>
      <w:r w:rsidR="00A27412">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"[13]", "plainTextFormattedCitation" : "[13]", "previouslyFormattedCitation" : "[13]" }, "properties" : {  }, "schema" : "https://github.com/citation-style-language/schema/raw/master/csl-citation.json" }</w:instrText>
      </w:r>
      <w:r w:rsidR="00BB1795">
        <w:rPr>
          <w:lang w:val="en-US"/>
        </w:rPr>
        <w:fldChar w:fldCharType="separate"/>
      </w:r>
      <w:r w:rsidR="00A27412" w:rsidRPr="00A27412">
        <w:rPr>
          <w:noProof/>
          <w:lang w:val="en-US"/>
        </w:rPr>
        <w:t>[13]</w:t>
      </w:r>
      <w:r w:rsidR="00BB1795">
        <w:rPr>
          <w:lang w:val="en-US"/>
        </w:rPr>
        <w:fldChar w:fldCharType="end"/>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3F2D96"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3F2D96"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lastRenderedPageBreak/>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006001A5">
        <w:rPr>
          <w:lang w:val="en-US"/>
        </w:rPr>
        <w:t>,</w:t>
      </w:r>
      <w:r w:rsidRPr="00831340">
        <w:rPr>
          <w:lang w:val="en-US"/>
        </w:rPr>
        <w:t xml:space="preserve"> as expressed in (</w:t>
      </w:r>
      <w:r w:rsidRPr="00831340">
        <w:rPr>
          <w:highlight w:val="yellow"/>
          <w:lang w:val="en-US"/>
        </w:rPr>
        <w:t>19</w:t>
      </w:r>
      <w:r w:rsidRPr="00831340">
        <w:rPr>
          <w:lang w:val="en-US"/>
        </w:rPr>
        <w:t xml:space="preserve">). </w:t>
      </w:r>
      <w:r w:rsidR="006001A5">
        <w:rPr>
          <w:lang w:val="en-US"/>
        </w:rPr>
        <w:t>E</w:t>
      </w:r>
      <w:r w:rsidRPr="00831340">
        <w:rPr>
          <w:lang w:val="en-US"/>
        </w:rPr>
        <w:t>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xml:space="preserve">) gives the resultant dimensions. </w:t>
      </w:r>
      <w:r w:rsidR="006001A5">
        <w:rPr>
          <w:lang w:val="en-US"/>
        </w:rPr>
        <w:t>A</w:t>
      </w:r>
      <w:r w:rsidRPr="00831340">
        <w:rPr>
          <w:lang w:val="en-US"/>
        </w:rPr>
        <w:t xml:space="preserve">fter the </w:t>
      </w:r>
      <w:r w:rsidR="006001A5">
        <w:rPr>
          <w:lang w:val="en-US"/>
        </w:rPr>
        <w:t>c</w:t>
      </w:r>
      <w:r w:rsidRPr="00831340">
        <w:rPr>
          <w:lang w:val="en-US"/>
        </w:rPr>
        <w:t>apacitors</w:t>
      </w:r>
      <w:r w:rsidR="006001A5">
        <w:rPr>
          <w:lang w:val="en-US"/>
        </w:rPr>
        <w:t xml:space="preserve"> are determined</w:t>
      </w:r>
      <w:r w:rsidRPr="00831340">
        <w:rPr>
          <w:lang w:val="en-US"/>
        </w:rPr>
        <w:t>, heat sink and other motor parameters, the objective function, the volumetric power density (</w:t>
      </w:r>
      <w:r w:rsidRPr="00831340">
        <w:rPr>
          <w:i/>
          <w:lang w:val="en-US"/>
        </w:rPr>
        <w:t>PD</w:t>
      </w:r>
      <w:r w:rsidRPr="00831340">
        <w:rPr>
          <w:i/>
          <w:vertAlign w:val="subscript"/>
          <w:lang w:val="en-US"/>
        </w:rPr>
        <w:t>v</w:t>
      </w:r>
      <w:r w:rsidRPr="00831340">
        <w:rPr>
          <w:lang w:val="en-US"/>
        </w:rPr>
        <w:t xml:space="preserve">) of the system is </w:t>
      </w:r>
      <w:r w:rsidR="006001A5">
        <w:rPr>
          <w:lang w:val="en-US"/>
        </w:rPr>
        <w:t>calculated</w:t>
      </w:r>
      <w:r w:rsidRPr="00831340">
        <w:rPr>
          <w:lang w:val="en-US"/>
        </w:rPr>
        <w:t xml:space="preserve"> using the height of each </w:t>
      </w:r>
      <w:r w:rsidR="006001A5">
        <w:rPr>
          <w:lang w:val="en-US"/>
        </w:rPr>
        <w:t>component</w:t>
      </w:r>
      <w:r w:rsidRPr="00831340">
        <w:rPr>
          <w:lang w:val="en-US"/>
        </w:rPr>
        <w:t xml:space="preserve">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3F2D96"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Variation of motor drive efficiency</w:t>
      </w:r>
      <w:r w:rsidR="00204160">
        <w:rPr>
          <w:lang w:val="en-US"/>
        </w:rPr>
        <w:t>, total required DC link capacitance, power density, and heat sink, drive and total volume</w:t>
      </w:r>
      <w:r>
        <w:rPr>
          <w:lang w:val="en-US"/>
        </w:rPr>
        <w:t xml:space="preserve"> with switching frequency </w:t>
      </w:r>
      <w:r w:rsidR="00204160">
        <w:rPr>
          <w:lang w:val="en-US"/>
        </w:rPr>
        <w:t>are</w:t>
      </w:r>
      <w:r>
        <w:rPr>
          <w:lang w:val="en-US"/>
        </w:rPr>
        <w:t xml:space="preserve"> shown in Fig. 8 for different number of</w:t>
      </w:r>
      <w:r w:rsidR="00204160">
        <w:rPr>
          <w:lang w:val="en-US"/>
        </w:rPr>
        <w:t xml:space="preserve"> parallel connected</w:t>
      </w:r>
      <w:r>
        <w:rPr>
          <w:lang w:val="en-US"/>
        </w:rPr>
        <w:t xml:space="preserve">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Switching frequency has no direct effect on Icrms</w:t>
      </w:r>
    </w:p>
    <w:p w:rsidR="00EF70A5" w:rsidRDefault="00EF70A5" w:rsidP="0095230C">
      <w:pPr>
        <w:jc w:val="both"/>
        <w:rPr>
          <w:lang w:val="en-US"/>
        </w:rPr>
      </w:pPr>
    </w:p>
    <w:p w:rsidR="00EF70A5" w:rsidRDefault="00EF70A5" w:rsidP="0095230C">
      <w:pPr>
        <w:jc w:val="both"/>
        <w:rPr>
          <w:lang w:val="en-US"/>
        </w:rPr>
      </w:pPr>
    </w:p>
    <w:p w:rsidR="00AE245D" w:rsidRDefault="00655D36" w:rsidP="0018793D">
      <w:pPr>
        <w:jc w:val="center"/>
        <w:rPr>
          <w:lang w:val="en-US"/>
        </w:rPr>
      </w:pPr>
      <w:r w:rsidRPr="00655D36">
        <w:rPr>
          <w:noProof/>
          <w:lang w:val="en-US"/>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Pr>
          <w:noProof/>
          <w:lang w:val="en-US"/>
        </w:rPr>
        <w:t xml:space="preserve">  </w:t>
      </w:r>
      <w:r w:rsidRPr="00655D36">
        <w:rPr>
          <w:noProof/>
          <w:lang w:val="en-US"/>
        </w:rPr>
        <w:drawing>
          <wp:inline distT="0" distB="0" distL="0" distR="0">
            <wp:extent cx="1557265" cy="1287785"/>
            <wp:effectExtent l="0" t="0" r="508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111" r="8313"/>
                    <a:stretch/>
                  </pic:blipFill>
                  <pic:spPr bwMode="auto">
                    <a:xfrm>
                      <a:off x="0" y="0"/>
                      <a:ext cx="1565409" cy="1294520"/>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204160" w:rsidRDefault="00EF70A5" w:rsidP="0018793D">
      <w:pPr>
        <w:jc w:val="center"/>
        <w:rPr>
          <w:sz w:val="16"/>
          <w:szCs w:val="16"/>
          <w:lang w:val="en-US"/>
        </w:rPr>
      </w:pPr>
      <w:r w:rsidRPr="00204160">
        <w:rPr>
          <w:sz w:val="16"/>
          <w:szCs w:val="16"/>
          <w:lang w:val="en-US"/>
        </w:rPr>
        <w:t>(a)</w:t>
      </w:r>
      <w:r w:rsidRPr="00204160">
        <w:rPr>
          <w:sz w:val="16"/>
          <w:szCs w:val="16"/>
          <w:lang w:val="en-US"/>
        </w:rPr>
        <w:tab/>
      </w:r>
      <w:r w:rsidRPr="00204160">
        <w:rPr>
          <w:sz w:val="16"/>
          <w:szCs w:val="16"/>
          <w:lang w:val="en-US"/>
        </w:rPr>
        <w:tab/>
      </w:r>
      <w:r w:rsidRPr="00204160">
        <w:rPr>
          <w:sz w:val="16"/>
          <w:szCs w:val="16"/>
          <w:lang w:val="en-US"/>
        </w:rPr>
        <w:tab/>
        <w:t>(b)</w:t>
      </w:r>
    </w:p>
    <w:p w:rsidR="0095230C" w:rsidRDefault="00655D36" w:rsidP="0018793D">
      <w:pPr>
        <w:jc w:val="center"/>
        <w:rPr>
          <w:noProof/>
          <w:lang w:val="tr-TR" w:eastAsia="tr-TR"/>
        </w:rPr>
      </w:pPr>
      <w:r w:rsidRPr="00655D36">
        <w:rPr>
          <w:noProof/>
          <w:lang w:val="en-US"/>
        </w:rPr>
        <w:drawing>
          <wp:inline distT="0" distB="0" distL="0" distR="0">
            <wp:extent cx="1539089" cy="1283997"/>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428" r="8788"/>
                    <a:stretch/>
                  </pic:blipFill>
                  <pic:spPr bwMode="auto">
                    <a:xfrm>
                      <a:off x="0" y="0"/>
                      <a:ext cx="1556913" cy="1298866"/>
                    </a:xfrm>
                    <a:prstGeom prst="rect">
                      <a:avLst/>
                    </a:prstGeom>
                    <a:noFill/>
                    <a:ln>
                      <a:noFill/>
                    </a:ln>
                    <a:extLst>
                      <a:ext uri="{53640926-AAD7-44D8-BBD7-CCE9431645EC}">
                        <a14:shadowObscured xmlns:a14="http://schemas.microsoft.com/office/drawing/2010/main"/>
                      </a:ext>
                    </a:extLst>
                  </pic:spPr>
                </pic:pic>
              </a:graphicData>
            </a:graphic>
          </wp:inline>
        </w:drawing>
      </w:r>
      <w:r w:rsidR="00204160">
        <w:rPr>
          <w:noProof/>
          <w:lang w:val="tr-TR" w:eastAsia="tr-TR"/>
        </w:rPr>
        <w:t xml:space="preserve">  </w:t>
      </w:r>
      <w:r w:rsidR="00204160" w:rsidRPr="00204160">
        <w:rPr>
          <w:noProof/>
          <w:lang w:val="en-US"/>
        </w:rPr>
        <w:drawing>
          <wp:inline distT="0" distB="0" distL="0" distR="0" wp14:anchorId="2C91396E" wp14:editId="5A54FB4A">
            <wp:extent cx="1544046" cy="12846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564" r="8334"/>
                    <a:stretch/>
                  </pic:blipFill>
                  <pic:spPr bwMode="auto">
                    <a:xfrm>
                      <a:off x="0" y="0"/>
                      <a:ext cx="1555571" cy="1294233"/>
                    </a:xfrm>
                    <a:prstGeom prst="rect">
                      <a:avLst/>
                    </a:prstGeom>
                    <a:noFill/>
                    <a:ln>
                      <a:noFill/>
                    </a:ln>
                    <a:extLst>
                      <a:ext uri="{53640926-AAD7-44D8-BBD7-CCE9431645EC}">
                        <a14:shadowObscured xmlns:a14="http://schemas.microsoft.com/office/drawing/2010/main"/>
                      </a:ext>
                    </a:extLst>
                  </pic:spPr>
                </pic:pic>
              </a:graphicData>
            </a:graphic>
          </wp:inline>
        </w:drawing>
      </w:r>
    </w:p>
    <w:p w:rsidR="00204160" w:rsidRPr="00204160" w:rsidRDefault="00204160" w:rsidP="00204160">
      <w:pPr>
        <w:jc w:val="center"/>
        <w:rPr>
          <w:sz w:val="16"/>
          <w:szCs w:val="16"/>
          <w:lang w:val="en-US"/>
        </w:rPr>
      </w:pPr>
      <w:r w:rsidRPr="00204160">
        <w:rPr>
          <w:sz w:val="16"/>
          <w:szCs w:val="16"/>
          <w:lang w:val="en-US"/>
        </w:rPr>
        <w:t>(</w:t>
      </w:r>
      <w:r>
        <w:rPr>
          <w:sz w:val="16"/>
          <w:szCs w:val="16"/>
          <w:lang w:val="en-US"/>
        </w:rPr>
        <w:t>c</w:t>
      </w:r>
      <w:r w:rsidRPr="00204160">
        <w:rPr>
          <w:sz w:val="16"/>
          <w:szCs w:val="16"/>
          <w:lang w:val="en-US"/>
        </w:rPr>
        <w:t>)</w:t>
      </w:r>
      <w:r w:rsidRPr="00204160">
        <w:rPr>
          <w:sz w:val="16"/>
          <w:szCs w:val="16"/>
          <w:lang w:val="en-US"/>
        </w:rPr>
        <w:tab/>
      </w:r>
      <w:r w:rsidRPr="00204160">
        <w:rPr>
          <w:sz w:val="16"/>
          <w:szCs w:val="16"/>
          <w:lang w:val="en-US"/>
        </w:rPr>
        <w:tab/>
      </w:r>
      <w:r w:rsidRPr="00204160">
        <w:rPr>
          <w:sz w:val="16"/>
          <w:szCs w:val="16"/>
          <w:lang w:val="en-US"/>
        </w:rPr>
        <w:tab/>
        <w:t>(</w:t>
      </w:r>
      <w:r>
        <w:rPr>
          <w:sz w:val="16"/>
          <w:szCs w:val="16"/>
          <w:lang w:val="en-US"/>
        </w:rPr>
        <w:t>d</w:t>
      </w:r>
      <w:r w:rsidRPr="00204160">
        <w:rPr>
          <w:sz w:val="16"/>
          <w:szCs w:val="16"/>
          <w:lang w:val="en-US"/>
        </w:rPr>
        <w:t>)</w:t>
      </w:r>
    </w:p>
    <w:p w:rsidR="00204160" w:rsidRDefault="00204160" w:rsidP="0018793D">
      <w:pPr>
        <w:jc w:val="center"/>
        <w:rPr>
          <w:noProof/>
          <w:lang w:val="tr-TR" w:eastAsia="tr-TR"/>
        </w:rPr>
      </w:pPr>
    </w:p>
    <w:p w:rsidR="004311D4" w:rsidRDefault="004311D4" w:rsidP="004311D4">
      <w:pPr>
        <w:jc w:val="center"/>
        <w:rPr>
          <w:lang w:val="en-US"/>
        </w:rPr>
      </w:pPr>
      <w:r>
        <w:rPr>
          <w:lang w:val="en-US"/>
        </w:rPr>
        <w:lastRenderedPageBreak/>
        <w:t>Figure 8. (a</w:t>
      </w:r>
      <w:r w:rsidRPr="00EF70A5">
        <w:rPr>
          <w:lang w:val="en-US"/>
        </w:rPr>
        <w:t>) Drive efficiency, (b) Required capacitance</w:t>
      </w:r>
      <w:r w:rsidR="00EF70A5">
        <w:rPr>
          <w:lang w:val="en-US"/>
        </w:rPr>
        <w:t>, (c) Heat sink and capacitor volume, (d) Power density</w:t>
      </w:r>
      <w:r>
        <w:rPr>
          <w:lang w:val="en-US"/>
        </w:rPr>
        <w:t xml:space="preserve"> variation with switching frequency</w:t>
      </w:r>
    </w:p>
    <w:p w:rsidR="00390BE4" w:rsidRDefault="00390BE4" w:rsidP="004311D4">
      <w:pPr>
        <w:jc w:val="center"/>
        <w:rPr>
          <w:lang w:val="en-US"/>
        </w:rPr>
      </w:pPr>
      <w:r w:rsidRPr="00390BE4">
        <w:rPr>
          <w:noProof/>
          <w:lang w:val="en-US"/>
        </w:rPr>
        <w:drawing>
          <wp:inline distT="0" distB="0" distL="0" distR="0">
            <wp:extent cx="1544824" cy="132386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4283" r="8314"/>
                    <a:stretch/>
                  </pic:blipFill>
                  <pic:spPr bwMode="auto">
                    <a:xfrm>
                      <a:off x="0" y="0"/>
                      <a:ext cx="1554382" cy="133205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390BE4">
        <w:rPr>
          <w:noProof/>
          <w:lang w:val="en-US"/>
        </w:rPr>
        <w:drawing>
          <wp:inline distT="0" distB="0" distL="0" distR="0">
            <wp:extent cx="1547447" cy="13382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125" r="9266"/>
                    <a:stretch/>
                  </pic:blipFill>
                  <pic:spPr bwMode="auto">
                    <a:xfrm>
                      <a:off x="0" y="0"/>
                      <a:ext cx="1560114" cy="1349220"/>
                    </a:xfrm>
                    <a:prstGeom prst="rect">
                      <a:avLst/>
                    </a:prstGeom>
                    <a:noFill/>
                    <a:ln>
                      <a:noFill/>
                    </a:ln>
                    <a:extLst>
                      <a:ext uri="{53640926-AAD7-44D8-BBD7-CCE9431645EC}">
                        <a14:shadowObscured xmlns:a14="http://schemas.microsoft.com/office/drawing/2010/main"/>
                      </a:ext>
                    </a:extLst>
                  </pic:spPr>
                </pic:pic>
              </a:graphicData>
            </a:graphic>
          </wp:inline>
        </w:drawing>
      </w:r>
    </w:p>
    <w:p w:rsidR="00390BE4" w:rsidRDefault="00390BE4" w:rsidP="004311D4">
      <w:pPr>
        <w:jc w:val="center"/>
        <w:rPr>
          <w:lang w:val="en-US"/>
        </w:rPr>
      </w:pPr>
      <w:r w:rsidRPr="00390BE4">
        <w:rPr>
          <w:noProof/>
          <w:lang w:val="en-US"/>
        </w:rPr>
        <w:drawing>
          <wp:inline distT="0" distB="0" distL="0" distR="0">
            <wp:extent cx="1534534" cy="1273445"/>
            <wp:effectExtent l="0" t="0" r="889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27" r="8314"/>
                    <a:stretch/>
                  </pic:blipFill>
                  <pic:spPr bwMode="auto">
                    <a:xfrm>
                      <a:off x="0" y="0"/>
                      <a:ext cx="1543985" cy="1281288"/>
                    </a:xfrm>
                    <a:prstGeom prst="rect">
                      <a:avLst/>
                    </a:prstGeom>
                    <a:noFill/>
                    <a:ln>
                      <a:noFill/>
                    </a:ln>
                    <a:extLst>
                      <a:ext uri="{53640926-AAD7-44D8-BBD7-CCE9431645EC}">
                        <a14:shadowObscured xmlns:a14="http://schemas.microsoft.com/office/drawing/2010/main"/>
                      </a:ext>
                    </a:extLst>
                  </pic:spPr>
                </pic:pic>
              </a:graphicData>
            </a:graphic>
          </wp:inline>
        </w:drawing>
      </w:r>
      <w:r w:rsidRPr="00390BE4">
        <w:rPr>
          <w:noProof/>
          <w:lang w:val="en-US"/>
        </w:rPr>
        <w:drawing>
          <wp:inline distT="0" distB="0" distL="0" distR="0">
            <wp:extent cx="1607736" cy="133889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745" r="8314"/>
                    <a:stretch/>
                  </pic:blipFill>
                  <pic:spPr bwMode="auto">
                    <a:xfrm>
                      <a:off x="0" y="0"/>
                      <a:ext cx="1617449" cy="1346987"/>
                    </a:xfrm>
                    <a:prstGeom prst="rect">
                      <a:avLst/>
                    </a:prstGeom>
                    <a:noFill/>
                    <a:ln>
                      <a:noFill/>
                    </a:ln>
                    <a:extLst>
                      <a:ext uri="{53640926-AAD7-44D8-BBD7-CCE9431645EC}">
                        <a14:shadowObscured xmlns:a14="http://schemas.microsoft.com/office/drawing/2010/main"/>
                      </a:ext>
                    </a:extLst>
                  </pic:spPr>
                </pic:pic>
              </a:graphicData>
            </a:graphic>
          </wp:inline>
        </w:drawing>
      </w:r>
    </w:p>
    <w:p w:rsidR="00390BE4" w:rsidRDefault="00390BE4" w:rsidP="004311D4">
      <w:pPr>
        <w:jc w:val="center"/>
        <w:rPr>
          <w:lang w:val="en-US"/>
        </w:rPr>
      </w:pPr>
    </w:p>
    <w:p w:rsidR="00390BE4" w:rsidRDefault="00390BE4" w:rsidP="004311D4">
      <w:pPr>
        <w:jc w:val="center"/>
        <w:rPr>
          <w:lang w:val="en-US"/>
        </w:rPr>
      </w:pPr>
      <w:r w:rsidRPr="00390BE4">
        <w:rPr>
          <w:noProof/>
          <w:lang w:val="en-US"/>
        </w:rPr>
        <w:drawing>
          <wp:inline distT="0" distB="0" distL="0" distR="0">
            <wp:extent cx="1502476" cy="1306550"/>
            <wp:effectExtent l="0" t="0" r="254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077" r="8789"/>
                    <a:stretch/>
                  </pic:blipFill>
                  <pic:spPr bwMode="auto">
                    <a:xfrm>
                      <a:off x="0" y="0"/>
                      <a:ext cx="1510128" cy="1313204"/>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t>Effect of ma on Icrms</w:t>
      </w:r>
    </w:p>
    <w:p w:rsidR="00817516" w:rsidRDefault="00817516" w:rsidP="00817516">
      <w:pPr>
        <w:jc w:val="both"/>
        <w:rPr>
          <w:lang w:val="en-US"/>
        </w:rPr>
      </w:pPr>
      <w:r>
        <w:rPr>
          <w:lang w:val="en-US"/>
        </w:rPr>
        <w:t xml:space="preserve">Effect of ma </w:t>
      </w:r>
      <w:r w:rsidR="004311D4">
        <w:rPr>
          <w:lang w:val="en-US"/>
        </w:rPr>
        <w:t>motor efficiency</w:t>
      </w:r>
    </w:p>
    <w:p w:rsidR="0052057D" w:rsidRDefault="0052057D" w:rsidP="0052057D">
      <w:pPr>
        <w:rPr>
          <w:lang w:val="en-US"/>
        </w:rPr>
      </w:pPr>
    </w:p>
    <w:p w:rsidR="0095230C" w:rsidRDefault="000607FC" w:rsidP="0052057D">
      <w:pPr>
        <w:rPr>
          <w:lang w:val="en-US"/>
        </w:rPr>
      </w:pPr>
      <w:r w:rsidRPr="000607FC">
        <w:rPr>
          <w:noProof/>
          <w:lang w:val="en-US"/>
        </w:rPr>
        <w:drawing>
          <wp:inline distT="0" distB="0" distL="0" distR="0">
            <wp:extent cx="1542422" cy="1260920"/>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8333"/>
                    <a:stretch/>
                  </pic:blipFill>
                  <pic:spPr bwMode="auto">
                    <a:xfrm>
                      <a:off x="0" y="0"/>
                      <a:ext cx="1562309" cy="1277178"/>
                    </a:xfrm>
                    <a:prstGeom prst="rect">
                      <a:avLst/>
                    </a:prstGeom>
                    <a:noFill/>
                    <a:ln>
                      <a:noFill/>
                    </a:ln>
                    <a:extLst>
                      <a:ext uri="{53640926-AAD7-44D8-BBD7-CCE9431645EC}">
                        <a14:shadowObscured xmlns:a14="http://schemas.microsoft.com/office/drawing/2010/main"/>
                      </a:ext>
                    </a:extLst>
                  </pic:spPr>
                </pic:pic>
              </a:graphicData>
            </a:graphic>
          </wp:inline>
        </w:drawing>
      </w:r>
      <w:r w:rsidR="0052057D">
        <w:rPr>
          <w:lang w:val="en-US"/>
        </w:rPr>
        <w:t xml:space="preserve"> </w:t>
      </w:r>
      <w:r w:rsidR="0052057D" w:rsidRPr="0052057D">
        <w:rPr>
          <w:noProof/>
          <w:lang w:val="en-US"/>
        </w:rPr>
        <w:drawing>
          <wp:inline distT="0" distB="0" distL="0" distR="0">
            <wp:extent cx="1542415" cy="12417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6920"/>
                    <a:stretch/>
                  </pic:blipFill>
                  <pic:spPr bwMode="auto">
                    <a:xfrm>
                      <a:off x="0" y="0"/>
                      <a:ext cx="1551675" cy="1249222"/>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Default="00EF70A5" w:rsidP="0095230C">
      <w:pPr>
        <w:jc w:val="center"/>
        <w:rPr>
          <w:lang w:val="en-US"/>
        </w:rPr>
      </w:pPr>
      <w:r>
        <w:rPr>
          <w:lang w:val="en-US"/>
        </w:rPr>
        <w:t>(a)</w:t>
      </w:r>
      <w:r>
        <w:rPr>
          <w:lang w:val="en-US"/>
        </w:rPr>
        <w:tab/>
      </w:r>
      <w:r>
        <w:rPr>
          <w:lang w:val="en-US"/>
        </w:rPr>
        <w:tab/>
      </w:r>
      <w:r>
        <w:rPr>
          <w:lang w:val="en-US"/>
        </w:rPr>
        <w:tab/>
        <w:t>(b)</w:t>
      </w:r>
    </w:p>
    <w:p w:rsidR="00B41A3C" w:rsidRDefault="00B41A3C" w:rsidP="00655031">
      <w:pPr>
        <w:jc w:val="both"/>
        <w:rPr>
          <w:lang w:val="en-US"/>
        </w:rPr>
      </w:pPr>
      <w:r w:rsidRPr="00B41A3C">
        <w:rPr>
          <w:noProof/>
          <w:lang w:val="en-US"/>
        </w:rPr>
        <w:drawing>
          <wp:inline distT="0" distB="0" distL="0" distR="0">
            <wp:extent cx="1542415" cy="1298241"/>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063" r="8949"/>
                    <a:stretch/>
                  </pic:blipFill>
                  <pic:spPr bwMode="auto">
                    <a:xfrm>
                      <a:off x="0" y="0"/>
                      <a:ext cx="1550679" cy="1305197"/>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B41A3C">
        <w:rPr>
          <w:noProof/>
          <w:lang w:val="en-US"/>
        </w:rPr>
        <w:drawing>
          <wp:inline distT="0" distB="0" distL="0" distR="0">
            <wp:extent cx="1572652" cy="1291459"/>
            <wp:effectExtent l="0" t="0" r="889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8789"/>
                    <a:stretch/>
                  </pic:blipFill>
                  <pic:spPr bwMode="auto">
                    <a:xfrm>
                      <a:off x="0" y="0"/>
                      <a:ext cx="1585882" cy="1302323"/>
                    </a:xfrm>
                    <a:prstGeom prst="rect">
                      <a:avLst/>
                    </a:prstGeom>
                    <a:noFill/>
                    <a:ln>
                      <a:noFill/>
                    </a:ln>
                    <a:extLst>
                      <a:ext uri="{53640926-AAD7-44D8-BBD7-CCE9431645EC}">
                        <a14:shadowObscured xmlns:a14="http://schemas.microsoft.com/office/drawing/2010/main"/>
                      </a:ext>
                    </a:extLst>
                  </pic:spPr>
                </pic:pic>
              </a:graphicData>
            </a:graphic>
          </wp:inline>
        </w:drawing>
      </w:r>
    </w:p>
    <w:p w:rsidR="00B41A3C" w:rsidRDefault="00B41A3C" w:rsidP="00655031">
      <w:pPr>
        <w:jc w:val="both"/>
        <w:rPr>
          <w:lang w:val="en-US"/>
        </w:rPr>
      </w:pPr>
      <w:r w:rsidRPr="00B41A3C">
        <w:rPr>
          <w:noProof/>
          <w:lang w:val="en-US"/>
        </w:rPr>
        <w:lastRenderedPageBreak/>
        <w:drawing>
          <wp:inline distT="0" distB="0" distL="0" distR="0">
            <wp:extent cx="1553937" cy="1300982"/>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270" r="9266"/>
                    <a:stretch/>
                  </pic:blipFill>
                  <pic:spPr bwMode="auto">
                    <a:xfrm>
                      <a:off x="0" y="0"/>
                      <a:ext cx="1569420" cy="1313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Default="00EF70A5" w:rsidP="00EF70A5">
      <w:pPr>
        <w:jc w:val="center"/>
        <w:rPr>
          <w:lang w:val="en-US"/>
        </w:rPr>
      </w:pPr>
      <w:r>
        <w:rPr>
          <w:lang w:val="en-US"/>
        </w:rPr>
        <w:t>(c)</w:t>
      </w:r>
      <w:r>
        <w:rPr>
          <w:lang w:val="en-US"/>
        </w:rPr>
        <w:tab/>
      </w:r>
      <w:r>
        <w:rPr>
          <w:lang w:val="en-US"/>
        </w:rPr>
        <w:tab/>
      </w:r>
      <w:r>
        <w:rPr>
          <w:lang w:val="en-US"/>
        </w:rPr>
        <w:tab/>
        <w:t>(d)</w:t>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Pr="00831340" w:rsidRDefault="00AB5079" w:rsidP="00831340">
      <w:pPr>
        <w:pStyle w:val="SubSection"/>
        <w:outlineLvl w:val="0"/>
        <w:rPr>
          <w:lang w:val="en-US"/>
        </w:rPr>
      </w:pPr>
      <w:r>
        <w:rPr>
          <w:lang w:val="en-US"/>
        </w:rPr>
        <w:t>3.3 The effect of series connection</w:t>
      </w:r>
    </w:p>
    <w:p w:rsidR="00831340" w:rsidRDefault="004311D4">
      <w:pPr>
        <w:jc w:val="both"/>
        <w:rPr>
          <w:lang w:val="en-US"/>
        </w:rPr>
      </w:pPr>
      <w:r>
        <w:rPr>
          <w:lang w:val="en-US"/>
        </w:rPr>
        <w:t>Module sayısı, seri bağlama etkileri</w:t>
      </w:r>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Icrms</w:t>
      </w:r>
    </w:p>
    <w:p w:rsidR="00AB5079" w:rsidRPr="00831340" w:rsidRDefault="00AB5079">
      <w:pPr>
        <w:jc w:val="both"/>
        <w:rPr>
          <w:lang w:val="en-US"/>
        </w:rPr>
      </w:pPr>
    </w:p>
    <w:p w:rsidR="00AB5079" w:rsidRDefault="00AB5079" w:rsidP="00527B57">
      <w:pPr>
        <w:jc w:val="center"/>
        <w:rPr>
          <w:lang w:val="en-US"/>
        </w:rPr>
      </w:pPr>
    </w:p>
    <w:p w:rsidR="003A567E" w:rsidRDefault="003A567E" w:rsidP="00527B57">
      <w:pPr>
        <w:jc w:val="center"/>
        <w:rPr>
          <w:lang w:val="en-US"/>
        </w:rPr>
      </w:pPr>
      <w:r w:rsidRPr="003A567E">
        <w:rPr>
          <w:noProof/>
          <w:lang w:val="en-US"/>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3A567E">
        <w:rPr>
          <w:noProof/>
          <w:lang w:val="en-US"/>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3A567E" w:rsidRDefault="003A567E" w:rsidP="00527B57">
      <w:pPr>
        <w:jc w:val="center"/>
        <w:rPr>
          <w:lang w:val="en-US"/>
        </w:rPr>
      </w:pPr>
      <w:r w:rsidRPr="003A567E">
        <w:rPr>
          <w:noProof/>
          <w:lang w:val="en-US"/>
        </w:rPr>
        <w:drawing>
          <wp:inline distT="0" distB="0" distL="0" distR="0">
            <wp:extent cx="1571336" cy="1289706"/>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8641"/>
                    <a:stretch/>
                  </pic:blipFill>
                  <pic:spPr bwMode="auto">
                    <a:xfrm>
                      <a:off x="0" y="0"/>
                      <a:ext cx="1580429" cy="1297169"/>
                    </a:xfrm>
                    <a:prstGeom prst="rect">
                      <a:avLst/>
                    </a:prstGeom>
                    <a:noFill/>
                    <a:ln>
                      <a:noFill/>
                    </a:ln>
                    <a:extLst>
                      <a:ext uri="{53640926-AAD7-44D8-BBD7-CCE9431645EC}">
                        <a14:shadowObscured xmlns:a14="http://schemas.microsoft.com/office/drawing/2010/main"/>
                      </a:ext>
                    </a:extLst>
                  </pic:spPr>
                </pic:pic>
              </a:graphicData>
            </a:graphic>
          </wp:inline>
        </w:drawing>
      </w:r>
    </w:p>
    <w:p w:rsidR="000448F0" w:rsidRDefault="000448F0" w:rsidP="00527B57">
      <w:pPr>
        <w:jc w:val="center"/>
        <w:rPr>
          <w:lang w:val="en-US"/>
        </w:rPr>
      </w:pPr>
      <w:r>
        <w:rPr>
          <w:lang w:val="en-US"/>
        </w:rPr>
        <w:t>(a)</w:t>
      </w:r>
      <w:r>
        <w:rPr>
          <w:lang w:val="en-US"/>
        </w:rPr>
        <w:tab/>
      </w:r>
      <w:r>
        <w:rPr>
          <w:lang w:val="en-US"/>
        </w:rPr>
        <w:tab/>
      </w:r>
      <w:r>
        <w:rPr>
          <w:lang w:val="en-US"/>
        </w:rPr>
        <w:tab/>
      </w:r>
      <w:r w:rsidRPr="000448F0">
        <w:rPr>
          <w:highlight w:val="yellow"/>
          <w:lang w:val="en-US"/>
        </w:rPr>
        <w:t>(b)</w:t>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0448F0">
        <w:rPr>
          <w:lang w:val="en-US"/>
        </w:rPr>
        <w:t xml:space="preserve">(a) </w:t>
      </w:r>
      <w:r w:rsidR="00527B57">
        <w:rPr>
          <w:lang w:val="en-US"/>
        </w:rPr>
        <w:t>Capacitance requirement</w:t>
      </w:r>
      <w:r w:rsidR="000448F0">
        <w:rPr>
          <w:lang w:val="en-US"/>
        </w:rPr>
        <w:t>, (b) Power density</w:t>
      </w:r>
      <w:r w:rsidR="00527B57">
        <w:rPr>
          <w:lang w:val="en-US"/>
        </w:rPr>
        <w:t xml:space="preserve"> variation </w:t>
      </w:r>
      <w:r w:rsidR="000448F0">
        <w:rPr>
          <w:lang w:val="en-US"/>
        </w:rPr>
        <w:t>with n</w:t>
      </w:r>
      <w:r w:rsidR="000448F0" w:rsidRPr="000448F0">
        <w:rPr>
          <w:vertAlign w:val="subscript"/>
          <w:lang w:val="en-US"/>
        </w:rPr>
        <w:t>s</w:t>
      </w:r>
      <w:r w:rsidR="000448F0">
        <w:rPr>
          <w:lang w:val="en-US"/>
        </w:rPr>
        <w:t xml:space="preserve"> and n</w:t>
      </w:r>
      <w:r w:rsidR="000448F0" w:rsidRPr="000448F0">
        <w:rPr>
          <w:vertAlign w:val="subscript"/>
          <w:lang w:val="en-US"/>
        </w:rPr>
        <w:t>p</w:t>
      </w:r>
    </w:p>
    <w:p w:rsidR="00E52C9A" w:rsidRDefault="00E52C9A">
      <w:pPr>
        <w:jc w:val="both"/>
        <w:rPr>
          <w:lang w:val="en-US"/>
        </w:rPr>
      </w:pPr>
    </w:p>
    <w:p w:rsidR="004311D4" w:rsidRPr="00831340" w:rsidRDefault="004311D4" w:rsidP="004311D4">
      <w:pPr>
        <w:pStyle w:val="SubSection"/>
        <w:outlineLvl w:val="0"/>
        <w:rPr>
          <w:lang w:val="en-US"/>
        </w:rPr>
      </w:pPr>
      <w:r>
        <w:rPr>
          <w:lang w:val="en-US"/>
        </w:rPr>
        <w:t>3.4 The effect of aspect ratio and number of slots</w:t>
      </w:r>
    </w:p>
    <w:p w:rsidR="00A565B9" w:rsidRDefault="00A565B9">
      <w:pPr>
        <w:jc w:val="both"/>
        <w:rPr>
          <w:lang w:val="en-US"/>
        </w:rPr>
      </w:pP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EF70A5" w:rsidRDefault="00EF70A5" w:rsidP="00EF70A5">
      <w:pPr>
        <w:jc w:val="both"/>
        <w:rPr>
          <w:lang w:val="en-US"/>
        </w:rPr>
      </w:pPr>
      <w:r>
        <w:rPr>
          <w:lang w:val="en-US"/>
        </w:rPr>
        <w:t>Yorumlar</w:t>
      </w:r>
    </w:p>
    <w:p w:rsidR="00226BC6" w:rsidRDefault="00226BC6">
      <w:pPr>
        <w:jc w:val="both"/>
        <w:rPr>
          <w:lang w:val="en-US"/>
        </w:rPr>
      </w:pPr>
    </w:p>
    <w:p w:rsidR="0066646B" w:rsidRDefault="0066646B">
      <w:pPr>
        <w:jc w:val="both"/>
        <w:rPr>
          <w:lang w:val="en-US"/>
        </w:rPr>
      </w:pPr>
    </w:p>
    <w:p w:rsidR="00A440CF" w:rsidRDefault="00A440CF">
      <w:pPr>
        <w:jc w:val="both"/>
        <w:rPr>
          <w:lang w:val="en-US"/>
        </w:rPr>
      </w:pPr>
      <w:r w:rsidRPr="00A440CF">
        <w:rPr>
          <w:noProof/>
          <w:lang w:val="en-US"/>
        </w:rPr>
        <w:lastRenderedPageBreak/>
        <w:drawing>
          <wp:inline distT="0" distB="0" distL="0" distR="0">
            <wp:extent cx="1562100" cy="1273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8048"/>
                    <a:stretch/>
                  </pic:blipFill>
                  <pic:spPr bwMode="auto">
                    <a:xfrm>
                      <a:off x="0" y="0"/>
                      <a:ext cx="1568093" cy="1278697"/>
                    </a:xfrm>
                    <a:prstGeom prst="rect">
                      <a:avLst/>
                    </a:prstGeom>
                    <a:noFill/>
                    <a:ln>
                      <a:noFill/>
                    </a:ln>
                    <a:extLst>
                      <a:ext uri="{53640926-AAD7-44D8-BBD7-CCE9431645EC}">
                        <a14:shadowObscured xmlns:a14="http://schemas.microsoft.com/office/drawing/2010/main"/>
                      </a:ext>
                    </a:extLst>
                  </pic:spPr>
                </pic:pic>
              </a:graphicData>
            </a:graphic>
          </wp:inline>
        </w:drawing>
      </w:r>
      <w:r w:rsidR="0066646B">
        <w:rPr>
          <w:lang w:val="en-US"/>
        </w:rPr>
        <w:t xml:space="preserve"> </w:t>
      </w:r>
      <w:r w:rsidR="00226BC6" w:rsidRPr="0066646B">
        <w:rPr>
          <w:noProof/>
          <w:lang w:val="en-US"/>
        </w:rPr>
        <w:drawing>
          <wp:inline distT="0" distB="0" distL="0" distR="0" wp14:anchorId="548D3C8F" wp14:editId="4959168F">
            <wp:extent cx="1579342" cy="1322218"/>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2287" r="8117"/>
                    <a:stretch/>
                  </pic:blipFill>
                  <pic:spPr bwMode="auto">
                    <a:xfrm>
                      <a:off x="0" y="0"/>
                      <a:ext cx="1597118" cy="1337100"/>
                    </a:xfrm>
                    <a:prstGeom prst="rect">
                      <a:avLst/>
                    </a:prstGeom>
                    <a:noFill/>
                    <a:ln>
                      <a:noFill/>
                    </a:ln>
                    <a:extLst>
                      <a:ext uri="{53640926-AAD7-44D8-BBD7-CCE9431645EC}">
                        <a14:shadowObscured xmlns:a14="http://schemas.microsoft.com/office/drawing/2010/main"/>
                      </a:ext>
                    </a:extLst>
                  </pic:spPr>
                </pic:pic>
              </a:graphicData>
            </a:graphic>
          </wp:inline>
        </w:drawing>
      </w:r>
      <w:r w:rsidR="0066646B" w:rsidRPr="0066646B">
        <w:rPr>
          <w:noProof/>
          <w:lang w:val="en-US"/>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Pr>
          <w:lang w:val="en-US"/>
        </w:rPr>
        <w:t xml:space="preserve"> </w:t>
      </w:r>
      <w:r w:rsidR="00226BC6" w:rsidRPr="0066646B">
        <w:rPr>
          <w:noProof/>
          <w:lang w:val="en-US"/>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66646B" w:rsidRDefault="0066646B">
      <w:pPr>
        <w:jc w:val="both"/>
        <w:rPr>
          <w:lang w:val="en-US"/>
        </w:rPr>
      </w:pPr>
      <w:r>
        <w:rPr>
          <w:lang w:val="en-US"/>
        </w:rPr>
        <w:t xml:space="preserve"> </w:t>
      </w:r>
    </w:p>
    <w:p w:rsidR="006E09D7" w:rsidRDefault="006E09D7" w:rsidP="006E09D7">
      <w:pPr>
        <w:jc w:val="center"/>
        <w:rPr>
          <w:lang w:val="en-US"/>
        </w:rPr>
      </w:pPr>
      <w:r>
        <w:rPr>
          <w:lang w:val="en-US"/>
        </w:rPr>
        <w:t>(c)</w:t>
      </w:r>
      <w:r>
        <w:rPr>
          <w:lang w:val="en-US"/>
        </w:rPr>
        <w:tab/>
      </w:r>
      <w:r>
        <w:rPr>
          <w:lang w:val="en-US"/>
        </w:rPr>
        <w:tab/>
      </w:r>
      <w:r>
        <w:rPr>
          <w:lang w:val="en-US"/>
        </w:rPr>
        <w:tab/>
      </w:r>
      <w:r>
        <w:rPr>
          <w:lang w:val="en-US"/>
        </w:rPr>
        <w:tab/>
        <w:t xml:space="preserve"> (d)</w:t>
      </w:r>
    </w:p>
    <w:p w:rsidR="004311D4" w:rsidRDefault="004311D4" w:rsidP="004311D4">
      <w:pPr>
        <w:jc w:val="center"/>
        <w:rPr>
          <w:lang w:val="en-US"/>
        </w:rPr>
      </w:pPr>
      <w:r w:rsidRPr="006E09D7">
        <w:rPr>
          <w:lang w:val="en-US"/>
        </w:rPr>
        <w:t xml:space="preserve">Figure 10. </w:t>
      </w:r>
      <w:r w:rsidR="006E09D7" w:rsidRPr="006E09D7">
        <w:rPr>
          <w:lang w:val="en-US"/>
        </w:rPr>
        <w:t xml:space="preserve">(a) Motor efficiency, (b) Power density, (c) </w:t>
      </w:r>
      <w:r w:rsidR="006E09D7">
        <w:rPr>
          <w:lang w:val="en-US"/>
        </w:rPr>
        <w:t>Copper</w:t>
      </w:r>
      <w:r w:rsidR="006E09D7" w:rsidRPr="006E09D7">
        <w:rPr>
          <w:lang w:val="en-US"/>
        </w:rPr>
        <w:t xml:space="preserve"> mass, (d) </w:t>
      </w:r>
      <w:r w:rsidR="006E09D7">
        <w:rPr>
          <w:lang w:val="en-US"/>
        </w:rPr>
        <w:t xml:space="preserve">Iron mass </w:t>
      </w:r>
      <w:r w:rsidRPr="006E09D7">
        <w:rPr>
          <w:lang w:val="en-US"/>
        </w:rPr>
        <w:t xml:space="preserve">variation </w:t>
      </w:r>
      <w:r w:rsidR="006E09D7" w:rsidRPr="006E09D7">
        <w:rPr>
          <w:lang w:val="en-US"/>
        </w:rPr>
        <w:t xml:space="preserve">with aspect ratio and </w:t>
      </w:r>
      <w:r w:rsidR="006E09D7">
        <w:rPr>
          <w:lang w:val="en-US"/>
        </w:rPr>
        <w:t>Q</w:t>
      </w:r>
      <w:r w:rsidR="006E09D7" w:rsidRPr="006E09D7">
        <w:rPr>
          <w:vertAlign w:val="subscript"/>
          <w:lang w:val="en-US"/>
        </w:rPr>
        <w:t>s</w:t>
      </w:r>
    </w:p>
    <w:p w:rsidR="004311D4" w:rsidRDefault="004311D4">
      <w:pPr>
        <w:jc w:val="both"/>
        <w:rPr>
          <w:lang w:val="en-US"/>
        </w:rPr>
      </w:pPr>
    </w:p>
    <w:p w:rsidR="00226BC6" w:rsidRDefault="00226BC6">
      <w:pPr>
        <w:jc w:val="both"/>
        <w:rPr>
          <w:lang w:val="en-US"/>
        </w:rPr>
      </w:pPr>
    </w:p>
    <w:p w:rsidR="00226BC6" w:rsidRDefault="00226BC6">
      <w:pPr>
        <w:jc w:val="both"/>
        <w:rPr>
          <w:lang w:val="en-US"/>
        </w:rPr>
      </w:pPr>
    </w:p>
    <w:p w:rsidR="00226BC6" w:rsidRDefault="00226BC6">
      <w:pPr>
        <w:jc w:val="both"/>
        <w:rPr>
          <w:lang w:val="en-US"/>
        </w:rPr>
      </w:pPr>
    </w:p>
    <w:p w:rsidR="004311D4" w:rsidRDefault="004311D4">
      <w:pPr>
        <w:jc w:val="both"/>
        <w:rPr>
          <w:lang w:val="en-US"/>
        </w:rPr>
      </w:pPr>
    </w:p>
    <w:p w:rsidR="00D8231C" w:rsidRDefault="00226BC6">
      <w:pPr>
        <w:jc w:val="both"/>
        <w:rPr>
          <w:lang w:val="en-US"/>
        </w:rPr>
      </w:pPr>
      <w:r w:rsidRPr="00226BC6">
        <w:rPr>
          <w:noProof/>
          <w:lang w:val="en-US"/>
        </w:rPr>
        <w:drawing>
          <wp:inline distT="0" distB="0" distL="0" distR="0">
            <wp:extent cx="1567593" cy="13208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2572" r="8403"/>
                    <a:stretch/>
                  </pic:blipFill>
                  <pic:spPr bwMode="auto">
                    <a:xfrm>
                      <a:off x="0" y="0"/>
                      <a:ext cx="1578699" cy="133016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bookmarkStart w:id="0" w:name="_GoBack"/>
      <w:r w:rsidRPr="00226BC6">
        <w:rPr>
          <w:noProof/>
          <w:lang w:val="en-US"/>
        </w:rPr>
        <w:drawing>
          <wp:inline distT="0" distB="0" distL="0" distR="0">
            <wp:extent cx="1552361" cy="1293438"/>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429" r="7546"/>
                    <a:stretch/>
                  </pic:blipFill>
                  <pic:spPr bwMode="auto">
                    <a:xfrm>
                      <a:off x="0" y="0"/>
                      <a:ext cx="1571025" cy="1308989"/>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226BC6" w:rsidRDefault="00226BC6">
      <w:pPr>
        <w:jc w:val="both"/>
        <w:rPr>
          <w:lang w:val="en-US"/>
        </w:rPr>
      </w:pPr>
      <w:r w:rsidRPr="00226BC6">
        <w:rPr>
          <w:noProof/>
          <w:lang w:val="en-US"/>
        </w:rPr>
        <w:drawing>
          <wp:inline distT="0" distB="0" distL="0" distR="0">
            <wp:extent cx="1552575" cy="126746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8117"/>
                    <a:stretch/>
                  </pic:blipFill>
                  <pic:spPr bwMode="auto">
                    <a:xfrm>
                      <a:off x="0" y="0"/>
                      <a:ext cx="1559817" cy="1273373"/>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r w:rsidRPr="00226BC6">
        <w:rPr>
          <w:noProof/>
          <w:lang w:val="en-US"/>
        </w:rPr>
        <w:drawing>
          <wp:inline distT="0" distB="0" distL="0" distR="0">
            <wp:extent cx="1552669" cy="12978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2144" r="8117"/>
                    <a:stretch/>
                  </pic:blipFill>
                  <pic:spPr bwMode="auto">
                    <a:xfrm>
                      <a:off x="0" y="0"/>
                      <a:ext cx="1579299" cy="1320077"/>
                    </a:xfrm>
                    <a:prstGeom prst="rect">
                      <a:avLst/>
                    </a:prstGeom>
                    <a:noFill/>
                    <a:ln>
                      <a:noFill/>
                    </a:ln>
                    <a:extLst>
                      <a:ext uri="{53640926-AAD7-44D8-BBD7-CCE9431645EC}">
                        <a14:shadowObscured xmlns:a14="http://schemas.microsoft.com/office/drawing/2010/main"/>
                      </a:ext>
                    </a:extLst>
                  </pic:spPr>
                </pic:pic>
              </a:graphicData>
            </a:graphic>
          </wp:inline>
        </w:drawing>
      </w:r>
    </w:p>
    <w:p w:rsidR="004311D4" w:rsidRDefault="004311D4">
      <w:pPr>
        <w:jc w:val="both"/>
        <w:rPr>
          <w:lang w:val="en-US"/>
        </w:rPr>
      </w:pPr>
    </w:p>
    <w:p w:rsidR="00226BC6" w:rsidRDefault="00226BC6">
      <w:pPr>
        <w:jc w:val="both"/>
        <w:rPr>
          <w:lang w:val="en-US"/>
        </w:rPr>
      </w:pPr>
    </w:p>
    <w:p w:rsidR="00226BC6" w:rsidRDefault="00226BC6">
      <w:pPr>
        <w:jc w:val="both"/>
        <w:rPr>
          <w:lang w:val="en-US"/>
        </w:rPr>
      </w:pPr>
    </w:p>
    <w:p w:rsidR="00226BC6" w:rsidRDefault="00226BC6">
      <w:pPr>
        <w:jc w:val="both"/>
        <w:rPr>
          <w:lang w:val="en-US"/>
        </w:rPr>
      </w:pPr>
    </w:p>
    <w:p w:rsidR="004311D4" w:rsidRDefault="0066646B">
      <w:pPr>
        <w:jc w:val="both"/>
        <w:rPr>
          <w:lang w:val="en-US"/>
        </w:rPr>
      </w:pPr>
      <w:r w:rsidRPr="0066646B">
        <w:rPr>
          <w:noProof/>
          <w:lang w:val="en-US"/>
        </w:rPr>
        <w:drawing>
          <wp:inline distT="0" distB="0" distL="0" distR="0">
            <wp:extent cx="1552669" cy="1295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144" r="7975"/>
                    <a:stretch/>
                  </pic:blipFill>
                  <pic:spPr bwMode="auto">
                    <a:xfrm>
                      <a:off x="0" y="0"/>
                      <a:ext cx="1566956" cy="1307678"/>
                    </a:xfrm>
                    <a:prstGeom prst="rect">
                      <a:avLst/>
                    </a:prstGeom>
                    <a:noFill/>
                    <a:ln>
                      <a:noFill/>
                    </a:ln>
                    <a:extLst>
                      <a:ext uri="{53640926-AAD7-44D8-BBD7-CCE9431645EC}">
                        <a14:shadowObscured xmlns:a14="http://schemas.microsoft.com/office/drawing/2010/main"/>
                      </a:ext>
                    </a:extLst>
                  </pic:spPr>
                </pic:pic>
              </a:graphicData>
            </a:graphic>
          </wp:inline>
        </w:drawing>
      </w:r>
      <w:r w:rsidR="00226BC6">
        <w:rPr>
          <w:lang w:val="en-US"/>
        </w:rPr>
        <w:t xml:space="preserve"> </w:t>
      </w:r>
      <w:r w:rsidR="00226BC6" w:rsidRPr="00226BC6">
        <w:rPr>
          <w:noProof/>
          <w:lang w:val="en-US"/>
        </w:rPr>
        <w:drawing>
          <wp:inline distT="0" distB="0" distL="0" distR="0">
            <wp:extent cx="1529715" cy="1270536"/>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1429" r="8260"/>
                    <a:stretch/>
                  </pic:blipFill>
                  <pic:spPr bwMode="auto">
                    <a:xfrm>
                      <a:off x="0" y="0"/>
                      <a:ext cx="1552192" cy="1289205"/>
                    </a:xfrm>
                    <a:prstGeom prst="rect">
                      <a:avLst/>
                    </a:prstGeom>
                    <a:noFill/>
                    <a:ln>
                      <a:noFill/>
                    </a:ln>
                    <a:extLst>
                      <a:ext uri="{53640926-AAD7-44D8-BBD7-CCE9431645EC}">
                        <a14:shadowObscured xmlns:a14="http://schemas.microsoft.com/office/drawing/2010/main"/>
                      </a:ext>
                    </a:extLst>
                  </pic:spPr>
                </pic:pic>
              </a:graphicData>
            </a:graphic>
          </wp:inline>
        </w:drawing>
      </w:r>
    </w:p>
    <w:p w:rsidR="004311D4" w:rsidRDefault="004311D4">
      <w:pPr>
        <w:jc w:val="both"/>
        <w:rPr>
          <w:lang w:val="en-US"/>
        </w:rPr>
      </w:pPr>
    </w:p>
    <w:p w:rsidR="00B6039A" w:rsidRPr="00831340" w:rsidRDefault="00B6039A">
      <w:pPr>
        <w:jc w:val="both"/>
        <w:rPr>
          <w:lang w:val="en-US"/>
        </w:rPr>
      </w:pPr>
      <w:r>
        <w:rPr>
          <w:lang w:val="en-US"/>
        </w:rPr>
        <w:lastRenderedPageBreak/>
        <w:t>Discrete nature of real components</w:t>
      </w:r>
    </w:p>
    <w:p w:rsidR="00FE78D5" w:rsidRPr="00831340" w:rsidRDefault="00AD528A">
      <w:pPr>
        <w:jc w:val="both"/>
        <w:rPr>
          <w:lang w:val="en-US"/>
        </w:rPr>
      </w:pPr>
      <w:r w:rsidRPr="00831340">
        <w:rPr>
          <w:lang w:val="en-US"/>
        </w:rPr>
        <w:t>Çelişkiler</w:t>
      </w:r>
    </w:p>
    <w:p w:rsidR="00AD528A" w:rsidRPr="00831340" w:rsidRDefault="00AD528A">
      <w:pPr>
        <w:jc w:val="both"/>
        <w:rPr>
          <w:lang w:val="en-US"/>
        </w:rPr>
      </w:pPr>
      <w:r w:rsidRPr="00831340">
        <w:rPr>
          <w:lang w:val="en-US"/>
        </w:rPr>
        <w:t>Evrensel ilişkiler</w:t>
      </w:r>
    </w:p>
    <w:p w:rsidR="00AD528A" w:rsidRPr="00831340" w:rsidRDefault="00AD528A">
      <w:pPr>
        <w:jc w:val="both"/>
        <w:rPr>
          <w:lang w:val="en-US"/>
        </w:rPr>
      </w:pPr>
      <w:r w:rsidRPr="00831340">
        <w:rPr>
          <w:lang w:val="en-US"/>
        </w:rPr>
        <w:t>Limitler (fsw şunun üstünde mantıklı değil, max 5 modül feasible gibi)</w:t>
      </w:r>
    </w:p>
    <w:p w:rsidR="00AD528A" w:rsidRPr="00831340" w:rsidRDefault="00AD528A">
      <w:pPr>
        <w:jc w:val="both"/>
        <w:rPr>
          <w:lang w:val="en-US"/>
        </w:rPr>
      </w:pPr>
      <w:r w:rsidRPr="00831340">
        <w:rPr>
          <w:lang w:val="en-US"/>
        </w:rPr>
        <w:t>IMMD’ye özel ilişkiler</w:t>
      </w:r>
    </w:p>
    <w:p w:rsidR="00FE78D5" w:rsidRPr="00831340" w:rsidRDefault="00FE78D5">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53" w:history="1"/>
    </w:p>
    <w:p w:rsidR="000448F0" w:rsidRDefault="000448F0">
      <w:pPr>
        <w:jc w:val="both"/>
        <w:rPr>
          <w:lang w:val="en-US"/>
        </w:rPr>
      </w:pPr>
      <w:r>
        <w:rPr>
          <w:lang w:val="en-US"/>
        </w:rPr>
        <w:t xml:space="preserve">The resulting system parameters which have been determined by the design optimization procedure presented in Sec. 3 are listed in Table 3. In this section, the system design will be evaluated </w:t>
      </w:r>
      <w:r w:rsidR="00AA184F">
        <w:rPr>
          <w:lang w:val="en-US"/>
        </w:rPr>
        <w:t>using MATLAB/Simulink for the drive electronics side and ANSYS/Maxwell for the motor side. The model will also be verified using these simulation platforms.</w:t>
      </w:r>
      <w:r w:rsidR="00497357">
        <w:rPr>
          <w:lang w:val="en-US"/>
        </w:rPr>
        <w:t xml:space="preserve"> T</w:t>
      </w:r>
      <w:r w:rsidR="00AA184F">
        <w:rPr>
          <w:lang w:val="en-US"/>
        </w:rPr>
        <w:t xml:space="preserve">he performance of the designed system </w:t>
      </w:r>
      <w:r w:rsidR="00497357">
        <w:rPr>
          <w:lang w:val="en-US"/>
        </w:rPr>
        <w:t>and parameters of the selected device and capacitors are</w:t>
      </w:r>
      <w:r w:rsidR="00AA184F">
        <w:rPr>
          <w:lang w:val="en-US"/>
        </w:rPr>
        <w:t xml:space="preserve"> </w:t>
      </w:r>
      <w:r w:rsidR="00497357">
        <w:rPr>
          <w:lang w:val="en-US"/>
        </w:rPr>
        <w:t xml:space="preserve">shown </w:t>
      </w:r>
      <w:r w:rsidR="00AA184F">
        <w:rPr>
          <w:lang w:val="en-US"/>
        </w:rPr>
        <w:t>in Table 4</w:t>
      </w:r>
      <w:r w:rsidR="00497357">
        <w:rPr>
          <w:lang w:val="en-US"/>
        </w:rPr>
        <w:t xml:space="preserve"> and 5</w:t>
      </w:r>
      <w:r w:rsidR="00AA184F">
        <w:rPr>
          <w:lang w:val="en-US"/>
        </w:rPr>
        <w:t>.</w:t>
      </w:r>
    </w:p>
    <w:p w:rsidR="00497357" w:rsidRDefault="00497357">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831340" w:rsidTr="004F6C59">
        <w:trPr>
          <w:jc w:val="center"/>
        </w:trPr>
        <w:tc>
          <w:tcPr>
            <w:tcW w:w="3224" w:type="dxa"/>
            <w:tcBorders>
              <w:top w:val="single" w:sz="4" w:space="0" w:color="auto"/>
              <w:bottom w:val="single" w:sz="4" w:space="0" w:color="auto"/>
            </w:tcBorders>
          </w:tcPr>
          <w:p w:rsidR="000448F0" w:rsidRPr="00831340" w:rsidRDefault="00AA184F" w:rsidP="004F6C59">
            <w:pPr>
              <w:pStyle w:val="List"/>
              <w:ind w:left="0" w:firstLine="0"/>
              <w:jc w:val="left"/>
              <w:rPr>
                <w:b/>
                <w:lang w:val="en-US"/>
              </w:rPr>
            </w:pPr>
            <w:r>
              <w:rPr>
                <w:b/>
                <w:lang w:val="en-US"/>
              </w:rPr>
              <w:t>Designed</w:t>
            </w:r>
            <w:r w:rsidR="000448F0" w:rsidRPr="00831340">
              <w:rPr>
                <w:b/>
                <w:lang w:val="en-US"/>
              </w:rPr>
              <w:t xml:space="preserve"> parameters</w:t>
            </w:r>
          </w:p>
        </w:tc>
        <w:tc>
          <w:tcPr>
            <w:tcW w:w="1691" w:type="dxa"/>
            <w:tcBorders>
              <w:top w:val="single" w:sz="4" w:space="0" w:color="auto"/>
              <w:bottom w:val="single" w:sz="4" w:space="0" w:color="auto"/>
            </w:tcBorders>
          </w:tcPr>
          <w:p w:rsidR="000448F0" w:rsidRPr="00831340" w:rsidRDefault="00AA184F" w:rsidP="004F6C59">
            <w:pPr>
              <w:pStyle w:val="List"/>
              <w:ind w:left="0" w:firstLine="0"/>
              <w:jc w:val="left"/>
              <w:rPr>
                <w:b/>
                <w:lang w:val="en-US"/>
              </w:rPr>
            </w:pPr>
            <w:r>
              <w:rPr>
                <w:b/>
                <w:lang w:val="en-US"/>
              </w:rPr>
              <w:t>Value</w:t>
            </w:r>
          </w:p>
        </w:tc>
      </w:tr>
      <w:tr w:rsidR="000448F0" w:rsidRPr="00831340" w:rsidTr="004F6C59">
        <w:trPr>
          <w:jc w:val="center"/>
        </w:trPr>
        <w:tc>
          <w:tcPr>
            <w:tcW w:w="3224" w:type="dxa"/>
            <w:tcBorders>
              <w:top w:val="single" w:sz="4" w:space="0" w:color="auto"/>
            </w:tcBorders>
          </w:tcPr>
          <w:p w:rsidR="000448F0" w:rsidRPr="00831340" w:rsidRDefault="000448F0" w:rsidP="004F6C59">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0448F0" w:rsidRPr="00831340" w:rsidRDefault="00AA184F" w:rsidP="004F6C59">
            <w:pPr>
              <w:pStyle w:val="List"/>
              <w:ind w:left="0" w:firstLine="0"/>
              <w:jc w:val="left"/>
              <w:rPr>
                <w:i/>
                <w:lang w:val="en-US"/>
              </w:rPr>
            </w:pPr>
            <w:r>
              <w:rPr>
                <w:i/>
                <w:lang w:val="en-US"/>
              </w:rPr>
              <w:t>4</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0448F0" w:rsidRPr="00831340" w:rsidRDefault="00AA184F" w:rsidP="004F6C59">
            <w:pPr>
              <w:pStyle w:val="List"/>
              <w:ind w:left="0" w:firstLine="0"/>
              <w:jc w:val="left"/>
              <w:rPr>
                <w:i/>
                <w:lang w:val="en-US"/>
              </w:rPr>
            </w:pPr>
            <w:r>
              <w:rPr>
                <w:i/>
                <w:lang w:val="en-US"/>
              </w:rPr>
              <w:t>2</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0448F0" w:rsidRPr="00831340" w:rsidRDefault="00AA184F" w:rsidP="004F6C59">
            <w:pPr>
              <w:pStyle w:val="List"/>
              <w:ind w:left="0" w:firstLine="0"/>
              <w:jc w:val="left"/>
              <w:rPr>
                <w:i/>
                <w:lang w:val="en-US"/>
              </w:rPr>
            </w:pPr>
            <w:r>
              <w:rPr>
                <w:i/>
                <w:lang w:val="en-US"/>
              </w:rPr>
              <w:t>40 kHz</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0448F0" w:rsidRPr="00831340" w:rsidRDefault="00AA184F" w:rsidP="004F6C59">
            <w:pPr>
              <w:pStyle w:val="List"/>
              <w:ind w:left="0" w:firstLine="0"/>
              <w:jc w:val="left"/>
              <w:rPr>
                <w:i/>
                <w:lang w:val="en-US"/>
              </w:rPr>
            </w:pPr>
            <w:r>
              <w:rPr>
                <w:i/>
                <w:lang w:val="en-US"/>
              </w:rPr>
              <w:t>0.9</w:t>
            </w:r>
          </w:p>
        </w:tc>
      </w:tr>
      <w:tr w:rsidR="000448F0" w:rsidRPr="00831340" w:rsidTr="004F6C59">
        <w:trPr>
          <w:jc w:val="center"/>
        </w:trPr>
        <w:tc>
          <w:tcPr>
            <w:tcW w:w="3224" w:type="dxa"/>
          </w:tcPr>
          <w:p w:rsidR="000448F0" w:rsidRPr="00831340" w:rsidRDefault="000448F0" w:rsidP="004F6C59">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0448F0" w:rsidRPr="00831340" w:rsidRDefault="00AA184F" w:rsidP="004F6C59">
            <w:pPr>
              <w:pStyle w:val="List"/>
              <w:ind w:left="0" w:firstLine="0"/>
              <w:jc w:val="left"/>
              <w:rPr>
                <w:i/>
                <w:lang w:val="en-US"/>
              </w:rPr>
            </w:pPr>
            <w:r>
              <w:rPr>
                <w:i/>
                <w:lang w:val="en-US"/>
              </w:rPr>
              <w:t>0.5</w:t>
            </w:r>
          </w:p>
        </w:tc>
      </w:tr>
      <w:tr w:rsidR="000448F0" w:rsidRPr="00831340" w:rsidTr="004F6C59">
        <w:trPr>
          <w:jc w:val="center"/>
        </w:trPr>
        <w:tc>
          <w:tcPr>
            <w:tcW w:w="3224" w:type="dxa"/>
            <w:tcBorders>
              <w:bottom w:val="single" w:sz="4" w:space="0" w:color="auto"/>
            </w:tcBorders>
          </w:tcPr>
          <w:p w:rsidR="000448F0" w:rsidRPr="00831340" w:rsidRDefault="000448F0" w:rsidP="004F6C59">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448F0" w:rsidRPr="00831340" w:rsidRDefault="00AA184F" w:rsidP="004F6C59">
            <w:pPr>
              <w:pStyle w:val="List"/>
              <w:ind w:left="0" w:firstLine="0"/>
              <w:jc w:val="left"/>
              <w:rPr>
                <w:i/>
                <w:lang w:val="en-US"/>
              </w:rPr>
            </w:pPr>
            <w:r>
              <w:rPr>
                <w:i/>
                <w:lang w:val="en-US"/>
              </w:rPr>
              <w:t>2</w:t>
            </w:r>
          </w:p>
        </w:tc>
      </w:tr>
    </w:tbl>
    <w:p w:rsidR="000448F0" w:rsidRPr="00831340" w:rsidRDefault="000448F0" w:rsidP="000448F0">
      <w:pPr>
        <w:jc w:val="both"/>
        <w:rPr>
          <w:lang w:val="en-US"/>
        </w:rPr>
      </w:pPr>
    </w:p>
    <w:p w:rsidR="000448F0" w:rsidRPr="00831340" w:rsidRDefault="00AA184F" w:rsidP="000448F0">
      <w:pPr>
        <w:jc w:val="both"/>
        <w:rPr>
          <w:lang w:val="en-US"/>
        </w:rPr>
      </w:pPr>
      <w:r>
        <w:rPr>
          <w:lang w:val="en-US"/>
        </w:rPr>
        <w:t>Table 3</w:t>
      </w:r>
      <w:r w:rsidR="000448F0" w:rsidRPr="00831340">
        <w:rPr>
          <w:lang w:val="en-US"/>
        </w:rPr>
        <w:t xml:space="preserve">. </w:t>
      </w:r>
      <w:r>
        <w:rPr>
          <w:lang w:val="en-US"/>
        </w:rPr>
        <w:t>Resulting system parameters</w:t>
      </w:r>
    </w:p>
    <w:p w:rsidR="000448F0" w:rsidRDefault="000448F0">
      <w:pPr>
        <w:jc w:val="both"/>
        <w:rPr>
          <w:lang w:val="en-US"/>
        </w:rPr>
      </w:pPr>
    </w:p>
    <w:p w:rsidR="000448F0" w:rsidRDefault="000448F0">
      <w:pPr>
        <w:jc w:val="both"/>
        <w:rPr>
          <w:lang w:val="en-US"/>
        </w:rPr>
      </w:pPr>
    </w:p>
    <w:p w:rsidR="004311D4" w:rsidRDefault="004311D4">
      <w:pPr>
        <w:jc w:val="both"/>
        <w:rPr>
          <w:lang w:val="en-US"/>
        </w:rPr>
      </w:pPr>
      <w:r>
        <w:rPr>
          <w:lang w:val="en-US"/>
        </w:rPr>
        <w:t>Simulink ve Maxwell sonuçları</w:t>
      </w:r>
    </w:p>
    <w:p w:rsidR="00BC3F30" w:rsidRPr="00831340" w:rsidRDefault="00D60A91">
      <w:pPr>
        <w:jc w:val="both"/>
        <w:rPr>
          <w:lang w:val="en-US"/>
        </w:rPr>
      </w:pPr>
      <w:r>
        <w:rPr>
          <w:lang w:val="en-US"/>
        </w:rPr>
        <w:t>M</w:t>
      </w:r>
      <w:r w:rsidR="004311D4">
        <w:rPr>
          <w:lang w:val="en-US"/>
        </w:rPr>
        <w:t>odellerin verification’ı</w:t>
      </w:r>
    </w:p>
    <w:p w:rsidR="00FE78D5" w:rsidRPr="00831340" w:rsidRDefault="00FE78D5">
      <w:pPr>
        <w:jc w:val="both"/>
        <w:rPr>
          <w:lang w:val="en-US"/>
        </w:rPr>
      </w:pPr>
    </w:p>
    <w:p w:rsidR="00FE78D5" w:rsidRPr="00831340" w:rsidRDefault="00FE78D5">
      <w:pPr>
        <w:jc w:val="both"/>
        <w:rPr>
          <w:lang w:val="en-US"/>
        </w:rPr>
      </w:pPr>
    </w:p>
    <w:p w:rsidR="00FE78D5" w:rsidRPr="00831340" w:rsidRDefault="007962B1">
      <w:pPr>
        <w:jc w:val="both"/>
        <w:rPr>
          <w:lang w:val="en-US"/>
        </w:rPr>
      </w:pPr>
      <w:r w:rsidRPr="00831340">
        <w:rPr>
          <w:lang w:val="en-US"/>
        </w:rPr>
        <w:t>Analytical vs FEA % error ??? for verification</w:t>
      </w:r>
    </w:p>
    <w:p w:rsidR="007962B1" w:rsidRDefault="007962B1">
      <w:pPr>
        <w:jc w:val="both"/>
        <w:rPr>
          <w:lang w:val="en-US"/>
        </w:rPr>
      </w:pPr>
    </w:p>
    <w:p w:rsidR="004311D4" w:rsidRDefault="004311D4">
      <w:pPr>
        <w:jc w:val="both"/>
        <w:rPr>
          <w:lang w:val="en-US"/>
        </w:rPr>
      </w:pPr>
    </w:p>
    <w:p w:rsidR="0014439B" w:rsidRPr="00831340" w:rsidRDefault="0014439B">
      <w:pPr>
        <w:jc w:val="both"/>
        <w:rPr>
          <w:lang w:val="en-US"/>
        </w:rPr>
      </w:pPr>
      <w:r w:rsidRPr="00831340">
        <w:rPr>
          <w:lang w:val="en-US"/>
        </w:rPr>
        <w:t>efficiency vs output power</w:t>
      </w:r>
      <w:r w:rsidR="004311D4">
        <w:rPr>
          <w:lang w:val="en-US"/>
        </w:rPr>
        <w:t>????</w:t>
      </w:r>
    </w:p>
    <w:p w:rsidR="0014439B" w:rsidRPr="00831340" w:rsidRDefault="0014439B">
      <w:pPr>
        <w:jc w:val="both"/>
        <w:rPr>
          <w:lang w:val="en-US"/>
        </w:rPr>
      </w:pPr>
    </w:p>
    <w:p w:rsidR="00FE78D5" w:rsidRDefault="00FE78D5">
      <w:pPr>
        <w:jc w:val="both"/>
        <w:rPr>
          <w:lang w:val="en-US"/>
        </w:rPr>
      </w:pPr>
    </w:p>
    <w:p w:rsidR="00C45D0D" w:rsidRDefault="00C45D0D">
      <w:pPr>
        <w:jc w:val="both"/>
        <w:rPr>
          <w:lang w:val="en-US"/>
        </w:rPr>
      </w:pPr>
    </w:p>
    <w:p w:rsidR="00C45D0D" w:rsidRDefault="00C45D0D">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AA184F" w:rsidRPr="00831340" w:rsidTr="004F6C59">
        <w:trPr>
          <w:jc w:val="center"/>
        </w:trPr>
        <w:tc>
          <w:tcPr>
            <w:tcW w:w="3224" w:type="dxa"/>
            <w:tcBorders>
              <w:top w:val="single" w:sz="4" w:space="0" w:color="auto"/>
              <w:bottom w:val="single" w:sz="4" w:space="0" w:color="auto"/>
            </w:tcBorders>
          </w:tcPr>
          <w:p w:rsidR="00AA184F" w:rsidRPr="00831340" w:rsidRDefault="00AA184F" w:rsidP="004F6C59">
            <w:pPr>
              <w:pStyle w:val="List"/>
              <w:ind w:left="0" w:firstLine="0"/>
              <w:jc w:val="left"/>
              <w:rPr>
                <w:b/>
                <w:lang w:val="en-US"/>
              </w:rPr>
            </w:pPr>
            <w:r>
              <w:rPr>
                <w:b/>
                <w:lang w:val="en-US"/>
              </w:rPr>
              <w:t>Designed</w:t>
            </w:r>
            <w:r w:rsidRPr="00831340">
              <w:rPr>
                <w:b/>
                <w:lang w:val="en-US"/>
              </w:rPr>
              <w:t xml:space="preserve"> parameters</w:t>
            </w:r>
          </w:p>
        </w:tc>
        <w:tc>
          <w:tcPr>
            <w:tcW w:w="1691" w:type="dxa"/>
            <w:tcBorders>
              <w:top w:val="single" w:sz="4" w:space="0" w:color="auto"/>
              <w:bottom w:val="single" w:sz="4" w:space="0" w:color="auto"/>
            </w:tcBorders>
          </w:tcPr>
          <w:p w:rsidR="00AA184F" w:rsidRPr="00831340" w:rsidRDefault="00AA184F" w:rsidP="004F6C59">
            <w:pPr>
              <w:pStyle w:val="List"/>
              <w:ind w:left="0" w:firstLine="0"/>
              <w:jc w:val="left"/>
              <w:rPr>
                <w:b/>
                <w:lang w:val="en-US"/>
              </w:rPr>
            </w:pPr>
            <w:r>
              <w:rPr>
                <w:b/>
                <w:lang w:val="en-US"/>
              </w:rPr>
              <w:t>Value</w:t>
            </w:r>
          </w:p>
        </w:tc>
      </w:tr>
      <w:tr w:rsidR="00AA184F" w:rsidRPr="00831340" w:rsidTr="004F6C59">
        <w:trPr>
          <w:jc w:val="center"/>
        </w:trPr>
        <w:tc>
          <w:tcPr>
            <w:tcW w:w="3224" w:type="dxa"/>
            <w:tcBorders>
              <w:top w:val="single" w:sz="4" w:space="0" w:color="auto"/>
            </w:tcBorders>
          </w:tcPr>
          <w:p w:rsidR="00AA184F" w:rsidRPr="00831340" w:rsidRDefault="00AA184F" w:rsidP="00AA184F">
            <w:pPr>
              <w:pStyle w:val="List"/>
              <w:ind w:left="0" w:firstLine="0"/>
              <w:jc w:val="left"/>
              <w:rPr>
                <w:lang w:val="en-US"/>
              </w:rPr>
            </w:pPr>
            <w:r>
              <w:rPr>
                <w:lang w:val="en-US"/>
              </w:rPr>
              <w:t>Drive efficiency</w:t>
            </w:r>
            <w:r w:rsidRPr="00831340">
              <w:rPr>
                <w:lang w:val="en-US"/>
              </w:rPr>
              <w:t xml:space="preserve">, </w:t>
            </w:r>
            <w:r w:rsidRPr="00AA184F">
              <w:rPr>
                <w:i/>
                <w:lang w:val="en-US"/>
              </w:rPr>
              <w:t>η</w:t>
            </w:r>
            <w:r w:rsidRPr="00AA184F">
              <w:rPr>
                <w:i/>
                <w:vertAlign w:val="subscript"/>
                <w:lang w:val="en-US"/>
              </w:rPr>
              <w:t>d</w:t>
            </w:r>
            <w:r>
              <w:rPr>
                <w:i/>
                <w:vertAlign w:val="subscript"/>
                <w:lang w:val="en-US"/>
              </w:rPr>
              <w:t>r</w:t>
            </w:r>
          </w:p>
        </w:tc>
        <w:tc>
          <w:tcPr>
            <w:tcW w:w="1691" w:type="dxa"/>
            <w:tcBorders>
              <w:top w:val="single" w:sz="4" w:space="0" w:color="auto"/>
            </w:tcBorders>
          </w:tcPr>
          <w:p w:rsidR="00AA184F" w:rsidRPr="00831340" w:rsidRDefault="00AA184F" w:rsidP="004F6C59">
            <w:pPr>
              <w:pStyle w:val="List"/>
              <w:ind w:left="0" w:firstLine="0"/>
              <w:jc w:val="left"/>
              <w:rPr>
                <w:i/>
                <w:lang w:val="en-US"/>
              </w:rPr>
            </w:pPr>
          </w:p>
        </w:tc>
      </w:tr>
      <w:tr w:rsidR="00AA184F" w:rsidRPr="00831340" w:rsidTr="00497357">
        <w:trPr>
          <w:jc w:val="center"/>
        </w:trPr>
        <w:tc>
          <w:tcPr>
            <w:tcW w:w="3224" w:type="dxa"/>
          </w:tcPr>
          <w:p w:rsidR="00AA184F" w:rsidRPr="00831340" w:rsidRDefault="00AA184F" w:rsidP="004F6C59">
            <w:pPr>
              <w:pStyle w:val="List"/>
              <w:ind w:left="0" w:firstLine="0"/>
              <w:jc w:val="left"/>
              <w:rPr>
                <w:lang w:val="en-US"/>
              </w:rPr>
            </w:pPr>
            <w:r>
              <w:rPr>
                <w:lang w:val="en-US"/>
              </w:rPr>
              <w:t>Motor</w:t>
            </w:r>
            <w:r>
              <w:rPr>
                <w:lang w:val="en-US"/>
              </w:rPr>
              <w:t xml:space="preserve"> efficiency</w:t>
            </w:r>
            <w:r w:rsidRPr="00831340">
              <w:rPr>
                <w:lang w:val="en-US"/>
              </w:rPr>
              <w:t xml:space="preserve">, </w:t>
            </w:r>
            <w:r w:rsidRPr="00AA184F">
              <w:rPr>
                <w:i/>
                <w:lang w:val="en-US"/>
              </w:rPr>
              <w:t>η</w:t>
            </w:r>
            <w:r>
              <w:rPr>
                <w:i/>
                <w:vertAlign w:val="subscript"/>
                <w:lang w:val="en-US"/>
              </w:rPr>
              <w:t>m</w:t>
            </w:r>
          </w:p>
        </w:tc>
        <w:tc>
          <w:tcPr>
            <w:tcW w:w="1691" w:type="dxa"/>
          </w:tcPr>
          <w:p w:rsidR="00AA184F" w:rsidRPr="00831340" w:rsidRDefault="00AA184F" w:rsidP="004F6C59">
            <w:pPr>
              <w:pStyle w:val="List"/>
              <w:ind w:left="0" w:firstLine="0"/>
              <w:jc w:val="left"/>
              <w:rPr>
                <w:i/>
                <w:lang w:val="en-US"/>
              </w:rPr>
            </w:pPr>
          </w:p>
        </w:tc>
      </w:tr>
      <w:tr w:rsidR="00AA184F" w:rsidRPr="00831340" w:rsidTr="000007D6">
        <w:trPr>
          <w:jc w:val="center"/>
        </w:trPr>
        <w:tc>
          <w:tcPr>
            <w:tcW w:w="3224" w:type="dxa"/>
          </w:tcPr>
          <w:p w:rsidR="00AA184F" w:rsidRPr="00831340" w:rsidRDefault="00AA184F" w:rsidP="00AA184F">
            <w:pPr>
              <w:pStyle w:val="List"/>
              <w:ind w:left="0" w:firstLine="0"/>
              <w:jc w:val="left"/>
              <w:rPr>
                <w:lang w:val="en-US"/>
              </w:rPr>
            </w:pPr>
            <w:r>
              <w:rPr>
                <w:lang w:val="en-US"/>
              </w:rPr>
              <w:t>Power density</w:t>
            </w:r>
            <w:r w:rsidRPr="00831340">
              <w:rPr>
                <w:lang w:val="en-US"/>
              </w:rPr>
              <w:t xml:space="preserve">, </w:t>
            </w:r>
            <w:r>
              <w:rPr>
                <w:i/>
                <w:lang w:val="en-US"/>
              </w:rPr>
              <w:t>PD</w:t>
            </w:r>
            <w:r>
              <w:rPr>
                <w:i/>
                <w:vertAlign w:val="subscript"/>
                <w:lang w:val="en-US"/>
              </w:rPr>
              <w:t>v</w:t>
            </w:r>
          </w:p>
        </w:tc>
        <w:tc>
          <w:tcPr>
            <w:tcW w:w="1691" w:type="dxa"/>
          </w:tcPr>
          <w:p w:rsidR="00AA184F" w:rsidRPr="00831340" w:rsidRDefault="00AA184F" w:rsidP="004F6C59">
            <w:pPr>
              <w:pStyle w:val="List"/>
              <w:ind w:left="0" w:firstLine="0"/>
              <w:jc w:val="left"/>
              <w:rPr>
                <w:i/>
                <w:lang w:val="en-US"/>
              </w:rPr>
            </w:pPr>
          </w:p>
        </w:tc>
      </w:tr>
      <w:tr w:rsidR="000007D6" w:rsidRPr="00831340" w:rsidTr="000007D6">
        <w:trPr>
          <w:jc w:val="center"/>
        </w:trPr>
        <w:tc>
          <w:tcPr>
            <w:tcW w:w="3224" w:type="dxa"/>
          </w:tcPr>
          <w:p w:rsidR="000007D6" w:rsidRDefault="000007D6" w:rsidP="00AA184F">
            <w:pPr>
              <w:pStyle w:val="List"/>
              <w:ind w:left="0" w:firstLine="0"/>
              <w:jc w:val="left"/>
              <w:rPr>
                <w:lang w:val="en-US"/>
              </w:rPr>
            </w:pPr>
            <w:r>
              <w:rPr>
                <w:lang w:val="en-US"/>
              </w:rPr>
              <w:t>Iron mass</w:t>
            </w:r>
          </w:p>
        </w:tc>
        <w:tc>
          <w:tcPr>
            <w:tcW w:w="1691" w:type="dxa"/>
          </w:tcPr>
          <w:p w:rsidR="000007D6" w:rsidRPr="00831340" w:rsidRDefault="000007D6" w:rsidP="004F6C59">
            <w:pPr>
              <w:pStyle w:val="List"/>
              <w:ind w:left="0" w:firstLine="0"/>
              <w:jc w:val="left"/>
              <w:rPr>
                <w:i/>
                <w:lang w:val="en-US"/>
              </w:rPr>
            </w:pPr>
          </w:p>
        </w:tc>
      </w:tr>
      <w:tr w:rsidR="000007D6" w:rsidRPr="00831340" w:rsidTr="000007D6">
        <w:trPr>
          <w:jc w:val="center"/>
        </w:trPr>
        <w:tc>
          <w:tcPr>
            <w:tcW w:w="3224" w:type="dxa"/>
          </w:tcPr>
          <w:p w:rsidR="000007D6" w:rsidRDefault="000007D6" w:rsidP="00AA184F">
            <w:pPr>
              <w:pStyle w:val="List"/>
              <w:ind w:left="0" w:firstLine="0"/>
              <w:jc w:val="left"/>
              <w:rPr>
                <w:lang w:val="en-US"/>
              </w:rPr>
            </w:pPr>
            <w:r>
              <w:rPr>
                <w:lang w:val="en-US"/>
              </w:rPr>
              <w:t>Copper mass</w:t>
            </w:r>
          </w:p>
        </w:tc>
        <w:tc>
          <w:tcPr>
            <w:tcW w:w="1691" w:type="dxa"/>
          </w:tcPr>
          <w:p w:rsidR="000007D6" w:rsidRPr="00831340" w:rsidRDefault="000007D6" w:rsidP="004F6C59">
            <w:pPr>
              <w:pStyle w:val="List"/>
              <w:ind w:left="0" w:firstLine="0"/>
              <w:jc w:val="left"/>
              <w:rPr>
                <w:i/>
                <w:lang w:val="en-US"/>
              </w:rPr>
            </w:pPr>
          </w:p>
        </w:tc>
      </w:tr>
      <w:tr w:rsidR="000007D6" w:rsidRPr="00831340" w:rsidTr="00497357">
        <w:trPr>
          <w:jc w:val="center"/>
        </w:trPr>
        <w:tc>
          <w:tcPr>
            <w:tcW w:w="3224" w:type="dxa"/>
            <w:tcBorders>
              <w:bottom w:val="single" w:sz="4" w:space="0" w:color="auto"/>
            </w:tcBorders>
          </w:tcPr>
          <w:p w:rsidR="000007D6" w:rsidRDefault="000007D6" w:rsidP="00AA184F">
            <w:pPr>
              <w:pStyle w:val="List"/>
              <w:ind w:left="0" w:firstLine="0"/>
              <w:jc w:val="left"/>
              <w:rPr>
                <w:lang w:val="en-US"/>
              </w:rPr>
            </w:pPr>
          </w:p>
        </w:tc>
        <w:tc>
          <w:tcPr>
            <w:tcW w:w="1691" w:type="dxa"/>
            <w:tcBorders>
              <w:bottom w:val="single" w:sz="4" w:space="0" w:color="auto"/>
            </w:tcBorders>
          </w:tcPr>
          <w:p w:rsidR="000007D6" w:rsidRPr="00831340" w:rsidRDefault="000007D6" w:rsidP="004F6C59">
            <w:pPr>
              <w:pStyle w:val="List"/>
              <w:ind w:left="0" w:firstLine="0"/>
              <w:jc w:val="left"/>
              <w:rPr>
                <w:i/>
                <w:lang w:val="en-US"/>
              </w:rPr>
            </w:pPr>
          </w:p>
        </w:tc>
      </w:tr>
    </w:tbl>
    <w:p w:rsidR="00497357" w:rsidRDefault="00497357" w:rsidP="00AA184F">
      <w:pPr>
        <w:jc w:val="both"/>
        <w:rPr>
          <w:lang w:val="en-US"/>
        </w:rPr>
      </w:pPr>
    </w:p>
    <w:p w:rsidR="00AA184F" w:rsidRPr="00831340" w:rsidRDefault="00AA184F" w:rsidP="00AA184F">
      <w:pPr>
        <w:jc w:val="both"/>
        <w:rPr>
          <w:lang w:val="en-US"/>
        </w:rPr>
      </w:pPr>
      <w:r>
        <w:rPr>
          <w:lang w:val="en-US"/>
        </w:rPr>
        <w:t xml:space="preserve">Table </w:t>
      </w:r>
      <w:r>
        <w:rPr>
          <w:lang w:val="en-US"/>
        </w:rPr>
        <w:t>4</w:t>
      </w:r>
      <w:r w:rsidRPr="00831340">
        <w:rPr>
          <w:lang w:val="en-US"/>
        </w:rPr>
        <w:t xml:space="preserve">. </w:t>
      </w:r>
      <w:r>
        <w:rPr>
          <w:lang w:val="en-US"/>
        </w:rPr>
        <w:t>Performance of the designed system</w:t>
      </w:r>
    </w:p>
    <w:p w:rsidR="00C45D0D" w:rsidRDefault="00C45D0D">
      <w:pPr>
        <w:jc w:val="both"/>
        <w:rPr>
          <w:lang w:val="en-US"/>
        </w:rPr>
      </w:pPr>
    </w:p>
    <w:p w:rsidR="00C45D0D" w:rsidRDefault="00C45D0D">
      <w:pPr>
        <w:jc w:val="both"/>
        <w:rPr>
          <w:lang w:val="en-US"/>
        </w:rPr>
      </w:pPr>
    </w:p>
    <w:p w:rsidR="00497357" w:rsidRDefault="00497357" w:rsidP="00497357">
      <w:pPr>
        <w:jc w:val="both"/>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24"/>
        <w:gridCol w:w="1691"/>
      </w:tblGrid>
      <w:tr w:rsidR="00497357" w:rsidRPr="00831340" w:rsidTr="00497357">
        <w:trPr>
          <w:jc w:val="center"/>
        </w:trPr>
        <w:tc>
          <w:tcPr>
            <w:tcW w:w="3224" w:type="dxa"/>
          </w:tcPr>
          <w:p w:rsidR="00497357" w:rsidRPr="00831340" w:rsidRDefault="00497357" w:rsidP="004F6C59">
            <w:pPr>
              <w:pStyle w:val="List"/>
              <w:ind w:left="0" w:firstLine="0"/>
              <w:jc w:val="left"/>
              <w:rPr>
                <w:b/>
                <w:lang w:val="en-US"/>
              </w:rPr>
            </w:pPr>
            <w:r>
              <w:rPr>
                <w:b/>
                <w:lang w:val="en-US"/>
              </w:rPr>
              <w:t>Parameter</w:t>
            </w:r>
          </w:p>
        </w:tc>
        <w:tc>
          <w:tcPr>
            <w:tcW w:w="1691" w:type="dxa"/>
          </w:tcPr>
          <w:p w:rsidR="00497357" w:rsidRPr="00831340" w:rsidRDefault="00497357" w:rsidP="004F6C59">
            <w:pPr>
              <w:pStyle w:val="List"/>
              <w:ind w:left="0" w:firstLine="0"/>
              <w:jc w:val="left"/>
              <w:rPr>
                <w:b/>
                <w:lang w:val="en-US"/>
              </w:rPr>
            </w:pPr>
            <w:r>
              <w:rPr>
                <w:b/>
                <w:lang w:val="en-US"/>
              </w:rPr>
              <w:t>Value</w:t>
            </w:r>
          </w:p>
        </w:tc>
      </w:tr>
      <w:tr w:rsidR="00497357" w:rsidRPr="00831340" w:rsidTr="00497357">
        <w:trPr>
          <w:jc w:val="center"/>
        </w:trPr>
        <w:tc>
          <w:tcPr>
            <w:tcW w:w="3224" w:type="dxa"/>
          </w:tcPr>
          <w:p w:rsidR="00497357" w:rsidRPr="00831340" w:rsidRDefault="00497357" w:rsidP="004F6C59">
            <w:pPr>
              <w:pStyle w:val="List"/>
              <w:ind w:left="0" w:firstLine="0"/>
              <w:jc w:val="left"/>
              <w:rPr>
                <w:lang w:val="en-US"/>
              </w:rPr>
            </w:pPr>
          </w:p>
        </w:tc>
        <w:tc>
          <w:tcPr>
            <w:tcW w:w="1691" w:type="dxa"/>
          </w:tcPr>
          <w:p w:rsidR="00497357" w:rsidRPr="00831340" w:rsidRDefault="00497357" w:rsidP="004F6C59">
            <w:pPr>
              <w:pStyle w:val="List"/>
              <w:ind w:left="0" w:firstLine="0"/>
              <w:jc w:val="left"/>
              <w:rPr>
                <w:i/>
                <w:lang w:val="en-US"/>
              </w:rPr>
            </w:pPr>
          </w:p>
        </w:tc>
      </w:tr>
      <w:tr w:rsidR="00497357" w:rsidRPr="00831340" w:rsidTr="00497357">
        <w:trPr>
          <w:jc w:val="center"/>
        </w:trPr>
        <w:tc>
          <w:tcPr>
            <w:tcW w:w="3224" w:type="dxa"/>
          </w:tcPr>
          <w:p w:rsidR="00497357" w:rsidRPr="00831340" w:rsidRDefault="00497357" w:rsidP="004F6C59">
            <w:pPr>
              <w:pStyle w:val="List"/>
              <w:ind w:left="0" w:firstLine="0"/>
              <w:jc w:val="left"/>
              <w:rPr>
                <w:lang w:val="en-US"/>
              </w:rPr>
            </w:pPr>
          </w:p>
        </w:tc>
        <w:tc>
          <w:tcPr>
            <w:tcW w:w="1691" w:type="dxa"/>
          </w:tcPr>
          <w:p w:rsidR="00497357" w:rsidRPr="00831340" w:rsidRDefault="00497357" w:rsidP="004F6C59">
            <w:pPr>
              <w:pStyle w:val="List"/>
              <w:ind w:left="0" w:firstLine="0"/>
              <w:jc w:val="left"/>
              <w:rPr>
                <w:i/>
                <w:lang w:val="en-US"/>
              </w:rPr>
            </w:pPr>
          </w:p>
        </w:tc>
      </w:tr>
      <w:tr w:rsidR="00497357" w:rsidRPr="00831340" w:rsidTr="00497357">
        <w:trPr>
          <w:jc w:val="center"/>
        </w:trPr>
        <w:tc>
          <w:tcPr>
            <w:tcW w:w="3224" w:type="dxa"/>
          </w:tcPr>
          <w:p w:rsidR="00497357" w:rsidRPr="00831340" w:rsidRDefault="00497357" w:rsidP="004F6C59">
            <w:pPr>
              <w:pStyle w:val="List"/>
              <w:ind w:left="0" w:firstLine="0"/>
              <w:jc w:val="left"/>
              <w:rPr>
                <w:lang w:val="en-US"/>
              </w:rPr>
            </w:pPr>
          </w:p>
        </w:tc>
        <w:tc>
          <w:tcPr>
            <w:tcW w:w="1691" w:type="dxa"/>
          </w:tcPr>
          <w:p w:rsidR="00497357" w:rsidRPr="00831340" w:rsidRDefault="00497357" w:rsidP="004F6C59">
            <w:pPr>
              <w:pStyle w:val="List"/>
              <w:ind w:left="0" w:firstLine="0"/>
              <w:jc w:val="left"/>
              <w:rPr>
                <w:i/>
                <w:lang w:val="en-US"/>
              </w:rPr>
            </w:pPr>
          </w:p>
        </w:tc>
      </w:tr>
    </w:tbl>
    <w:p w:rsidR="00497357" w:rsidRDefault="00497357" w:rsidP="00497357">
      <w:pPr>
        <w:jc w:val="both"/>
        <w:rPr>
          <w:lang w:val="en-US"/>
        </w:rPr>
      </w:pPr>
    </w:p>
    <w:p w:rsidR="00497357" w:rsidRPr="00831340" w:rsidRDefault="00497357" w:rsidP="00497357">
      <w:pPr>
        <w:jc w:val="both"/>
        <w:rPr>
          <w:lang w:val="en-US"/>
        </w:rPr>
      </w:pPr>
      <w:r>
        <w:rPr>
          <w:lang w:val="en-US"/>
        </w:rPr>
        <w:lastRenderedPageBreak/>
        <w:t xml:space="preserve">Table </w:t>
      </w:r>
      <w:r>
        <w:rPr>
          <w:lang w:val="en-US"/>
        </w:rPr>
        <w:t>5</w:t>
      </w:r>
      <w:r w:rsidRPr="00831340">
        <w:rPr>
          <w:lang w:val="en-US"/>
        </w:rPr>
        <w:t xml:space="preserve">. </w:t>
      </w:r>
      <w:r>
        <w:rPr>
          <w:lang w:val="en-US"/>
        </w:rPr>
        <w:t>Performance of the designed system</w:t>
      </w: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Default="00C45D0D">
      <w:pPr>
        <w:jc w:val="both"/>
        <w:rPr>
          <w:lang w:val="en-US"/>
        </w:rPr>
      </w:pPr>
    </w:p>
    <w:p w:rsidR="00C45D0D" w:rsidRPr="00831340" w:rsidRDefault="00C45D0D">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54"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kW/lt</w:t>
      </w:r>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4311D4" w:rsidRDefault="004311D4" w:rsidP="004311D4">
      <w:pPr>
        <w:jc w:val="both"/>
        <w:rPr>
          <w:lang w:val="en-US"/>
        </w:rPr>
      </w:pPr>
      <w:r>
        <w:rPr>
          <w:lang w:val="en-US"/>
        </w:rPr>
        <w:t>İki noktaya vurgu yapalım:</w:t>
      </w:r>
    </w:p>
    <w:p w:rsidR="004311D4" w:rsidRDefault="004311D4" w:rsidP="004311D4">
      <w:pPr>
        <w:jc w:val="both"/>
        <w:rPr>
          <w:lang w:val="en-US"/>
        </w:rPr>
      </w:pPr>
      <w:r>
        <w:rPr>
          <w:lang w:val="en-US"/>
        </w:rPr>
        <w:t>1. Multi-physics</w:t>
      </w:r>
    </w:p>
    <w:p w:rsidR="004311D4" w:rsidRDefault="004311D4" w:rsidP="004311D4">
      <w:pPr>
        <w:jc w:val="both"/>
        <w:rPr>
          <w:lang w:val="en-US"/>
        </w:rPr>
      </w:pPr>
      <w:r>
        <w:rPr>
          <w:lang w:val="en-US"/>
        </w:rPr>
        <w:t>2. Real components</w:t>
      </w:r>
    </w:p>
    <w:p w:rsidR="004311D4" w:rsidRDefault="004311D4" w:rsidP="004311D4">
      <w:pPr>
        <w:jc w:val="both"/>
        <w:rPr>
          <w:lang w:val="en-US"/>
        </w:rPr>
      </w:pPr>
    </w:p>
    <w:p w:rsidR="00DD13A6" w:rsidRPr="00831340" w:rsidRDefault="00DD13A6">
      <w:pPr>
        <w:jc w:val="both"/>
        <w:rPr>
          <w:lang w:val="en-US"/>
        </w:rPr>
      </w:pPr>
    </w:p>
    <w:p w:rsidR="00FE78D5" w:rsidRDefault="00FE78D5">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Default="005518D1">
      <w:pPr>
        <w:jc w:val="both"/>
        <w:rPr>
          <w:lang w:val="en-US"/>
        </w:rPr>
      </w:pPr>
    </w:p>
    <w:p w:rsidR="005518D1" w:rsidRPr="00831340" w:rsidRDefault="005518D1">
      <w:pPr>
        <w:jc w:val="both"/>
        <w:rPr>
          <w:lang w:val="en-US"/>
        </w:rPr>
      </w:pPr>
    </w:p>
    <w:p w:rsidR="008E7057" w:rsidRPr="00831340" w:rsidRDefault="008E7057">
      <w:pPr>
        <w:pStyle w:val="Section"/>
        <w:outlineLvl w:val="0"/>
        <w:rPr>
          <w:lang w:val="en-US"/>
        </w:rPr>
      </w:pPr>
      <w:r w:rsidRPr="00831340">
        <w:rPr>
          <w:lang w:val="en-US"/>
        </w:rPr>
        <w:t>Acknowledgements</w:t>
      </w:r>
    </w:p>
    <w:p w:rsidR="00AF4D1B" w:rsidRDefault="00AF4D1B">
      <w:pPr>
        <w:jc w:val="both"/>
        <w:rPr>
          <w:lang w:val="en-US"/>
        </w:rPr>
      </w:pPr>
      <w:r w:rsidRPr="00AF4D1B">
        <w:rPr>
          <w:lang w:val="en-US"/>
        </w:rPr>
        <w:t>This  work  was  supported  by  the  Scientific  and  Technological  Research  Council  of  Turkey  (TÜBİTAK), Grant No: 117E252  and Middle East Technical University Research Funds, Grant No: BAP-03-01-2017-004</w:t>
      </w:r>
    </w:p>
    <w:p w:rsidR="000633E1" w:rsidRPr="00831340" w:rsidRDefault="008E7057" w:rsidP="000633E1">
      <w:pPr>
        <w:pStyle w:val="Section"/>
        <w:outlineLvl w:val="0"/>
        <w:rPr>
          <w:lang w:val="en-US"/>
        </w:rPr>
      </w:pPr>
      <w:r w:rsidRPr="00831340">
        <w:rPr>
          <w:lang w:val="en-US"/>
        </w:rPr>
        <w:t>References</w:t>
      </w:r>
    </w:p>
    <w:p w:rsidR="00A27412" w:rsidRPr="00A27412" w:rsidRDefault="000633E1" w:rsidP="00A27412">
      <w:pPr>
        <w:widowControl w:val="0"/>
        <w:autoSpaceDE w:val="0"/>
        <w:autoSpaceDN w:val="0"/>
        <w:adjustRightInd w:val="0"/>
        <w:ind w:left="640" w:hanging="640"/>
        <w:rPr>
          <w:noProof/>
          <w:sz w:val="16"/>
          <w:szCs w:val="24"/>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A27412" w:rsidRPr="00A27412">
        <w:rPr>
          <w:noProof/>
          <w:sz w:val="16"/>
          <w:szCs w:val="24"/>
        </w:rPr>
        <w:t>[1]</w:t>
      </w:r>
      <w:r w:rsidR="00A27412" w:rsidRPr="00A27412">
        <w:rPr>
          <w:noProof/>
          <w:sz w:val="16"/>
          <w:szCs w:val="24"/>
        </w:rPr>
        <w:tab/>
        <w:t xml:space="preserve">G. Lo Calzo, G. Vakil, B. Mecrow, S. Lambert, T. Cox, C. Gerada, M. Johnson, and R. Abebe, “Integrated motor drives: state of the art and future trends,” </w:t>
      </w:r>
      <w:r w:rsidR="00A27412" w:rsidRPr="00A27412">
        <w:rPr>
          <w:i/>
          <w:iCs/>
          <w:noProof/>
          <w:sz w:val="16"/>
          <w:szCs w:val="24"/>
        </w:rPr>
        <w:t>IET Electr. Power Appl.</w:t>
      </w:r>
      <w:r w:rsidR="00A27412" w:rsidRPr="00A27412">
        <w:rPr>
          <w:noProof/>
          <w:sz w:val="16"/>
          <w:szCs w:val="24"/>
        </w:rPr>
        <w:t>, vol. 10, no. 8, pp. 757–771, Sep. 2016.</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[2]</w:t>
      </w:r>
      <w:r w:rsidRPr="00A27412">
        <w:rPr>
          <w:noProof/>
          <w:sz w:val="16"/>
          <w:szCs w:val="24"/>
        </w:rPr>
        <w:tab/>
        <w:t xml:space="preserve">M. D. Hennen, M. Niessen, C. Heyers, H. J. Brauer, and R. W. De Doncker, “Development and control of an integrated and distributed inverter for a fault tolerant five-phase switched reluctance traction drive,” </w:t>
      </w:r>
      <w:r w:rsidRPr="00A27412">
        <w:rPr>
          <w:i/>
          <w:iCs/>
          <w:noProof/>
          <w:sz w:val="16"/>
          <w:szCs w:val="24"/>
        </w:rPr>
        <w:t>IEEE Trans. Power Electron.</w:t>
      </w:r>
      <w:r w:rsidRPr="00A27412">
        <w:rPr>
          <w:noProof/>
          <w:sz w:val="16"/>
          <w:szCs w:val="24"/>
        </w:rPr>
        <w:t>, vol. 27, no. 2, pp. 547–554, 2012.</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[3]</w:t>
      </w:r>
      <w:r w:rsidRPr="00A27412">
        <w:rPr>
          <w:noProof/>
          <w:sz w:val="16"/>
          <w:szCs w:val="24"/>
        </w:rPr>
        <w:tab/>
        <w:t xml:space="preserve">S. M. Lambert, B. C. Mecrow, R. Abebe, G. Vakil, and C. M. Johnson, “Integrated Drives for Transport - A Review of the Enabling Electronics Technology,” </w:t>
      </w:r>
      <w:r w:rsidRPr="00A27412">
        <w:rPr>
          <w:i/>
          <w:iCs/>
          <w:noProof/>
          <w:sz w:val="16"/>
          <w:szCs w:val="24"/>
        </w:rPr>
        <w:t>IEEE Veh. Power Propuls. Conf.</w:t>
      </w:r>
      <w:r w:rsidRPr="00A27412">
        <w:rPr>
          <w:noProof/>
          <w:sz w:val="16"/>
          <w:szCs w:val="24"/>
        </w:rPr>
        <w:t>, pp. 1–6,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[4]</w:t>
      </w:r>
      <w:r w:rsidRPr="00A27412">
        <w:rPr>
          <w:noProof/>
          <w:sz w:val="16"/>
          <w:szCs w:val="24"/>
        </w:rPr>
        <w:tab/>
        <w:t xml:space="preserve">J. Wang, Y. Li, and Y. Han, “Integrated Modular Motor Drive Design With GaN Power FETs,” </w:t>
      </w:r>
      <w:r w:rsidRPr="00A27412">
        <w:rPr>
          <w:i/>
          <w:iCs/>
          <w:noProof/>
          <w:sz w:val="16"/>
          <w:szCs w:val="24"/>
        </w:rPr>
        <w:t>IEEE Trans. Ind. Appl.</w:t>
      </w:r>
      <w:r w:rsidRPr="00A27412">
        <w:rPr>
          <w:noProof/>
          <w:sz w:val="16"/>
          <w:szCs w:val="24"/>
        </w:rPr>
        <w:t>, vol. 51, no. c, pp. 3198–3207,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[5]</w:t>
      </w:r>
      <w:r w:rsidRPr="00A27412">
        <w:rPr>
          <w:noProof/>
          <w:sz w:val="16"/>
          <w:szCs w:val="24"/>
        </w:rPr>
        <w:tab/>
        <w:t xml:space="preserve">J. Wang, Y. Li, and Y. Han, “Evaluation and design for an integrated modular motor drive (IMMD) with GaN devices,” </w:t>
      </w:r>
      <w:r w:rsidRPr="00A27412">
        <w:rPr>
          <w:i/>
          <w:iCs/>
          <w:noProof/>
          <w:sz w:val="16"/>
          <w:szCs w:val="24"/>
        </w:rPr>
        <w:t>2013 IEEE Energy Convers. Congr. Expo. ECCE 2013</w:t>
      </w:r>
      <w:r w:rsidRPr="00A27412">
        <w:rPr>
          <w:noProof/>
          <w:sz w:val="16"/>
          <w:szCs w:val="24"/>
        </w:rPr>
        <w:t>, no. Immd, pp. 4318–4325, 2013.</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[6]</w:t>
      </w:r>
      <w:r w:rsidRPr="00A27412">
        <w:rPr>
          <w:noProof/>
          <w:sz w:val="16"/>
          <w:szCs w:val="24"/>
        </w:rPr>
        <w:tab/>
        <w:t xml:space="preserve">M. Ugur and O. Keysan, “DC link capacitor optimization for integrated modular motor drives,” </w:t>
      </w:r>
      <w:r w:rsidRPr="00A27412">
        <w:rPr>
          <w:i/>
          <w:iCs/>
          <w:noProof/>
          <w:sz w:val="16"/>
          <w:szCs w:val="24"/>
        </w:rPr>
        <w:t>2017 IEEE 26th Int. Symp. Ind. Electron.</w:t>
      </w:r>
      <w:r w:rsidRPr="00A27412">
        <w:rPr>
          <w:noProof/>
          <w:sz w:val="16"/>
          <w:szCs w:val="24"/>
        </w:rPr>
        <w:t>, vol. i, pp. 263–270, 2017.</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lastRenderedPageBreak/>
        <w:t>[7]</w:t>
      </w:r>
      <w:r w:rsidRPr="00A27412">
        <w:rPr>
          <w:noProof/>
          <w:sz w:val="16"/>
          <w:szCs w:val="24"/>
        </w:rPr>
        <w:tab/>
        <w:t xml:space="preserve">J. Wang, Y. Li, and Y. Han, “Integrated Modular Motor Drive Design With &lt;roman&gt;GaN&lt;/roman&gt; Power &lt;roman&gt;FETs&lt;/roman&gt;,” </w:t>
      </w:r>
      <w:r w:rsidRPr="00A27412">
        <w:rPr>
          <w:i/>
          <w:iCs/>
          <w:noProof/>
          <w:sz w:val="16"/>
          <w:szCs w:val="24"/>
        </w:rPr>
        <w:t>IEEE Trans. Ind. Appl.</w:t>
      </w:r>
      <w:r w:rsidRPr="00A27412">
        <w:rPr>
          <w:noProof/>
          <w:sz w:val="16"/>
          <w:szCs w:val="24"/>
        </w:rPr>
        <w:t>, vol. 51, no. 4, pp. 3198–3207,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[8]</w:t>
      </w:r>
      <w:r w:rsidRPr="00A27412">
        <w:rPr>
          <w:noProof/>
          <w:sz w:val="16"/>
          <w:szCs w:val="24"/>
        </w:rPr>
        <w:tab/>
        <w:t xml:space="preserve">A. Shea and T. M. Jahns, “Hardware integration for an integrated modular motor drive including distributed control,” in </w:t>
      </w:r>
      <w:r w:rsidRPr="00A27412">
        <w:rPr>
          <w:i/>
          <w:iCs/>
          <w:noProof/>
          <w:sz w:val="16"/>
          <w:szCs w:val="24"/>
        </w:rPr>
        <w:t>2014 IEEE Energy Conversion Congress and Exposition (ECCE)</w:t>
      </w:r>
      <w:r w:rsidRPr="00A27412">
        <w:rPr>
          <w:noProof/>
          <w:sz w:val="16"/>
          <w:szCs w:val="24"/>
        </w:rPr>
        <w:t>, 2014, pp. 4881–4887.</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[9]</w:t>
      </w:r>
      <w:r w:rsidRPr="00A27412">
        <w:rPr>
          <w:noProof/>
          <w:sz w:val="16"/>
          <w:szCs w:val="24"/>
        </w:rPr>
        <w:tab/>
        <w:t xml:space="preserve">N. Bekka, M. E. H. Zaim, N. Bernard, and D. Trichet, “A Novel Methodology for Optimal Design of Fractional Slot with Concentrated Windings,” </w:t>
      </w:r>
      <w:r w:rsidRPr="00A27412">
        <w:rPr>
          <w:i/>
          <w:iCs/>
          <w:noProof/>
          <w:sz w:val="16"/>
          <w:szCs w:val="24"/>
        </w:rPr>
        <w:t>IEEE Trans. Energy Convers.</w:t>
      </w:r>
      <w:r w:rsidRPr="00A27412">
        <w:rPr>
          <w:noProof/>
          <w:sz w:val="16"/>
          <w:szCs w:val="24"/>
        </w:rPr>
        <w:t>, vol. 31, no. 3, pp. 1153–1160, 2016.</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[10]</w:t>
      </w:r>
      <w:r w:rsidRPr="00A27412">
        <w:rPr>
          <w:noProof/>
          <w:sz w:val="16"/>
          <w:szCs w:val="24"/>
        </w:rPr>
        <w:tab/>
        <w:t>G. Systems, “PCB Thermal Design Guide for GaN Enhancement Mode Power Transistors,” pp. 1–15,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[11]</w:t>
      </w:r>
      <w:r w:rsidRPr="00A27412">
        <w:rPr>
          <w:noProof/>
          <w:sz w:val="16"/>
          <w:szCs w:val="24"/>
        </w:rPr>
        <w:tab/>
        <w:t xml:space="preserve">I. Laird, X. Yuan, J. Scoltock, and A. Forsyth, “A Design Optimisation Tool for Maximising the Power Density of 3-Phase DC-AC Converters Using Silicon Carbide (SiC) Devices,” </w:t>
      </w:r>
      <w:r w:rsidRPr="00A27412">
        <w:rPr>
          <w:i/>
          <w:iCs/>
          <w:noProof/>
          <w:sz w:val="16"/>
          <w:szCs w:val="24"/>
        </w:rPr>
        <w:t>IEEE Trans. Power Electron.</w:t>
      </w:r>
      <w:r w:rsidRPr="00A27412">
        <w:rPr>
          <w:noProof/>
          <w:sz w:val="16"/>
          <w:szCs w:val="24"/>
        </w:rPr>
        <w:t>, vol. 8993, no. c, pp. 1–1, 2017.</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[12]</w:t>
      </w:r>
      <w:r w:rsidRPr="00A27412">
        <w:rPr>
          <w:noProof/>
          <w:sz w:val="16"/>
          <w:szCs w:val="24"/>
        </w:rPr>
        <w:tab/>
        <w:t>TDK, “Film Capacitors, Metallized Polypropylene Film Capacitors (MKP) - B32674...B32674 Datasheet,” no. May. 2015.</w:t>
      </w:r>
    </w:p>
    <w:p w:rsidR="00A27412" w:rsidRPr="00A27412" w:rsidRDefault="00A27412" w:rsidP="00A27412">
      <w:pPr>
        <w:widowControl w:val="0"/>
        <w:autoSpaceDE w:val="0"/>
        <w:autoSpaceDN w:val="0"/>
        <w:adjustRightInd w:val="0"/>
        <w:ind w:left="640" w:hanging="640"/>
        <w:rPr>
          <w:noProof/>
          <w:sz w:val="16"/>
          <w:szCs w:val="24"/>
        </w:rPr>
      </w:pPr>
      <w:r w:rsidRPr="00A27412">
        <w:rPr>
          <w:noProof/>
          <w:sz w:val="16"/>
          <w:szCs w:val="24"/>
        </w:rPr>
        <w:t>[13]</w:t>
      </w:r>
      <w:r w:rsidRPr="00A27412">
        <w:rPr>
          <w:noProof/>
          <w:sz w:val="16"/>
          <w:szCs w:val="24"/>
        </w:rPr>
        <w:tab/>
        <w:t>R. E. Simons, “Estimating Parallel Plate-Fin Heat Sink Thermal Resistance.” [Online]. Available: https://www.electronics-cooling.com/2003/02/estimating-parallel-plate-fin-heat-sink-thermal-resistance/.</w:t>
      </w:r>
    </w:p>
    <w:p w:rsidR="00A27412" w:rsidRPr="00A27412" w:rsidRDefault="00A27412" w:rsidP="00A27412">
      <w:pPr>
        <w:widowControl w:val="0"/>
        <w:autoSpaceDE w:val="0"/>
        <w:autoSpaceDN w:val="0"/>
        <w:adjustRightInd w:val="0"/>
        <w:ind w:left="640" w:hanging="640"/>
        <w:rPr>
          <w:noProof/>
          <w:sz w:val="16"/>
        </w:rPr>
      </w:pPr>
      <w:r w:rsidRPr="00A27412">
        <w:rPr>
          <w:noProof/>
          <w:sz w:val="16"/>
          <w:szCs w:val="24"/>
        </w:rPr>
        <w:t>[14]</w:t>
      </w:r>
      <w:r w:rsidRPr="00A27412">
        <w:rPr>
          <w:noProof/>
          <w:sz w:val="16"/>
          <w:szCs w:val="24"/>
        </w:rPr>
        <w:tab/>
        <w:t>G. Systems, “Thermal Analysis and PCB Design Guidelines for GaN Enhancement Mode Power Switching Transistors,” pp. 1–14, 2014.</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66A" w:rsidRDefault="005E666A">
      <w:r>
        <w:separator/>
      </w:r>
    </w:p>
  </w:endnote>
  <w:endnote w:type="continuationSeparator" w:id="0">
    <w:p w:rsidR="005E666A" w:rsidRDefault="005E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D96" w:rsidRDefault="003F2D96" w:rsidP="00391433">
    <w:pPr>
      <w:pStyle w:val="Footer"/>
      <w:jc w:val="center"/>
    </w:pPr>
    <w:r>
      <w:fldChar w:fldCharType="begin"/>
    </w:r>
    <w:r>
      <w:instrText xml:space="preserve"> PAGE </w:instrText>
    </w:r>
    <w:r>
      <w:fldChar w:fldCharType="separate"/>
    </w:r>
    <w:r w:rsidR="00AD77E6">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66A" w:rsidRDefault="005E666A">
      <w:r>
        <w:separator/>
      </w:r>
    </w:p>
  </w:footnote>
  <w:footnote w:type="continuationSeparator" w:id="0">
    <w:p w:rsidR="005E666A" w:rsidRDefault="005E6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DEF"/>
    <w:rsid w:val="0003173B"/>
    <w:rsid w:val="000448F0"/>
    <w:rsid w:val="00054334"/>
    <w:rsid w:val="000607FC"/>
    <w:rsid w:val="000633E1"/>
    <w:rsid w:val="000713F5"/>
    <w:rsid w:val="00077FD3"/>
    <w:rsid w:val="000A63E0"/>
    <w:rsid w:val="000F76A1"/>
    <w:rsid w:val="00116282"/>
    <w:rsid w:val="0014439B"/>
    <w:rsid w:val="00144C04"/>
    <w:rsid w:val="0018793D"/>
    <w:rsid w:val="001A2F00"/>
    <w:rsid w:val="001A7CB5"/>
    <w:rsid w:val="001E2017"/>
    <w:rsid w:val="001F4349"/>
    <w:rsid w:val="00204160"/>
    <w:rsid w:val="00226BC6"/>
    <w:rsid w:val="00243A22"/>
    <w:rsid w:val="0025443F"/>
    <w:rsid w:val="0028362C"/>
    <w:rsid w:val="002844FB"/>
    <w:rsid w:val="002A477B"/>
    <w:rsid w:val="002C11A3"/>
    <w:rsid w:val="002E302A"/>
    <w:rsid w:val="002E68BC"/>
    <w:rsid w:val="002F6D12"/>
    <w:rsid w:val="00323683"/>
    <w:rsid w:val="00325F4F"/>
    <w:rsid w:val="00352855"/>
    <w:rsid w:val="00371810"/>
    <w:rsid w:val="00390BE4"/>
    <w:rsid w:val="00391433"/>
    <w:rsid w:val="003A567E"/>
    <w:rsid w:val="003C2236"/>
    <w:rsid w:val="003D5BF2"/>
    <w:rsid w:val="003E60FB"/>
    <w:rsid w:val="003F2D96"/>
    <w:rsid w:val="00410B3B"/>
    <w:rsid w:val="00411CFA"/>
    <w:rsid w:val="00417CD2"/>
    <w:rsid w:val="004311D4"/>
    <w:rsid w:val="00463466"/>
    <w:rsid w:val="004655F5"/>
    <w:rsid w:val="004936CB"/>
    <w:rsid w:val="00497357"/>
    <w:rsid w:val="004B48E9"/>
    <w:rsid w:val="004D6BEA"/>
    <w:rsid w:val="004E06B5"/>
    <w:rsid w:val="004E351A"/>
    <w:rsid w:val="00504F17"/>
    <w:rsid w:val="0052057D"/>
    <w:rsid w:val="00523346"/>
    <w:rsid w:val="00524576"/>
    <w:rsid w:val="00527B57"/>
    <w:rsid w:val="00535DE8"/>
    <w:rsid w:val="00544CD7"/>
    <w:rsid w:val="005518D1"/>
    <w:rsid w:val="00582308"/>
    <w:rsid w:val="005B335A"/>
    <w:rsid w:val="005C36CA"/>
    <w:rsid w:val="005C3F72"/>
    <w:rsid w:val="005D0230"/>
    <w:rsid w:val="005E666A"/>
    <w:rsid w:val="006001A5"/>
    <w:rsid w:val="00603345"/>
    <w:rsid w:val="00610032"/>
    <w:rsid w:val="00612075"/>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26FEA"/>
    <w:rsid w:val="00733BF0"/>
    <w:rsid w:val="00752C25"/>
    <w:rsid w:val="00785577"/>
    <w:rsid w:val="0078608B"/>
    <w:rsid w:val="007962B1"/>
    <w:rsid w:val="007B7D09"/>
    <w:rsid w:val="007C0B27"/>
    <w:rsid w:val="007F0DEA"/>
    <w:rsid w:val="007F655D"/>
    <w:rsid w:val="0081294C"/>
    <w:rsid w:val="00817516"/>
    <w:rsid w:val="00831340"/>
    <w:rsid w:val="008460A7"/>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27412"/>
    <w:rsid w:val="00A4105A"/>
    <w:rsid w:val="00A440CF"/>
    <w:rsid w:val="00A565B9"/>
    <w:rsid w:val="00A8310D"/>
    <w:rsid w:val="00A834DD"/>
    <w:rsid w:val="00A90061"/>
    <w:rsid w:val="00A919E1"/>
    <w:rsid w:val="00AA184F"/>
    <w:rsid w:val="00AB5079"/>
    <w:rsid w:val="00AC12BF"/>
    <w:rsid w:val="00AD0F69"/>
    <w:rsid w:val="00AD528A"/>
    <w:rsid w:val="00AD77E6"/>
    <w:rsid w:val="00AE245D"/>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A07CA"/>
    <w:rsid w:val="00BB1795"/>
    <w:rsid w:val="00BB41BA"/>
    <w:rsid w:val="00BC3F30"/>
    <w:rsid w:val="00BC516B"/>
    <w:rsid w:val="00BE58F0"/>
    <w:rsid w:val="00C00DF7"/>
    <w:rsid w:val="00C05042"/>
    <w:rsid w:val="00C346FB"/>
    <w:rsid w:val="00C45D0D"/>
    <w:rsid w:val="00C50CD1"/>
    <w:rsid w:val="00C80761"/>
    <w:rsid w:val="00C85F15"/>
    <w:rsid w:val="00C9034F"/>
    <w:rsid w:val="00C932F1"/>
    <w:rsid w:val="00C933AC"/>
    <w:rsid w:val="00C9740E"/>
    <w:rsid w:val="00CB776C"/>
    <w:rsid w:val="00CF0220"/>
    <w:rsid w:val="00D06A84"/>
    <w:rsid w:val="00D12346"/>
    <w:rsid w:val="00D60A91"/>
    <w:rsid w:val="00D8231C"/>
    <w:rsid w:val="00D97571"/>
    <w:rsid w:val="00DA516D"/>
    <w:rsid w:val="00DA6D40"/>
    <w:rsid w:val="00DB0247"/>
    <w:rsid w:val="00DC1DE1"/>
    <w:rsid w:val="00DC2872"/>
    <w:rsid w:val="00DC70FA"/>
    <w:rsid w:val="00DD13A6"/>
    <w:rsid w:val="00DF03D0"/>
    <w:rsid w:val="00E20C90"/>
    <w:rsid w:val="00E409E4"/>
    <w:rsid w:val="00E47324"/>
    <w:rsid w:val="00E52C9A"/>
    <w:rsid w:val="00E557B5"/>
    <w:rsid w:val="00E6020C"/>
    <w:rsid w:val="00E64705"/>
    <w:rsid w:val="00E838CF"/>
    <w:rsid w:val="00E93198"/>
    <w:rsid w:val="00EA324F"/>
    <w:rsid w:val="00EB4DE4"/>
    <w:rsid w:val="00EC5FF6"/>
    <w:rsid w:val="00ED7E42"/>
    <w:rsid w:val="00EF70A5"/>
    <w:rsid w:val="00EF7458"/>
    <w:rsid w:val="00F359F9"/>
    <w:rsid w:val="00F41F94"/>
    <w:rsid w:val="00F45122"/>
    <w:rsid w:val="00F52A97"/>
    <w:rsid w:val="00F620D9"/>
    <w:rsid w:val="00F7738A"/>
    <w:rsid w:val="00F86D32"/>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5F9E7"/>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package" Target="embeddings/Microsoft_Visio__izimi4.vsdx"/><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fontTable" Target="fontTable.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9" Type="http://schemas.openxmlformats.org/officeDocument/2006/relationships/image" Target="media/image14.emf"/><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yperlink" Target="mailto:nrichards@iee.org.uk"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theme" Target="theme/theme1.xml"/><Relationship Id="rId8" Type="http://schemas.openxmlformats.org/officeDocument/2006/relationships/hyperlink" Target="file:///C:\Users\hp\Documents\IMMD\Paper\PEMD%202018\Full%20Paper\keysan@metu.edu.tr" TargetMode="External"/><Relationship Id="rId51" Type="http://schemas.openxmlformats.org/officeDocument/2006/relationships/image" Target="media/image36.emf"/><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7.emf"/><Relationship Id="rId41" Type="http://schemas.openxmlformats.org/officeDocument/2006/relationships/image" Target="media/image26.emf"/><Relationship Id="rId54" Type="http://schemas.openxmlformats.org/officeDocument/2006/relationships/hyperlink" Target="mailto:nrichards@iee.org.uk"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988CEA-3530-4E98-B4F8-46634297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9334</Words>
  <Characters>53204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62414</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2</cp:revision>
  <cp:lastPrinted>2018-01-16T13:26:00Z</cp:lastPrinted>
  <dcterms:created xsi:type="dcterms:W3CDTF">2018-01-16T13:40:00Z</dcterms:created>
  <dcterms:modified xsi:type="dcterms:W3CDTF">2018-01-16T13:40:00Z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