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350CA" w14:textId="77777777" w:rsidR="00C242BB" w:rsidRDefault="001253CF" w:rsidP="00C242BB">
      <w:pPr>
        <w:jc w:val="center"/>
        <w:rPr>
          <w:rFonts w:ascii="Times New Roman" w:hAnsi="Times New Roman"/>
          <w:b/>
          <w:sz w:val="32"/>
          <w:szCs w:val="32"/>
        </w:rPr>
      </w:pPr>
      <w:r w:rsidRPr="00EC2257">
        <w:rPr>
          <w:rFonts w:ascii="Times New Roman" w:hAnsi="Times New Roman"/>
          <w:b/>
          <w:sz w:val="32"/>
          <w:szCs w:val="32"/>
        </w:rPr>
        <w:fldChar w:fldCharType="begin"/>
      </w:r>
      <w:r w:rsidR="00AD53D3" w:rsidRPr="00EC2257">
        <w:rPr>
          <w:rFonts w:ascii="Times New Roman" w:hAnsi="Times New Roman"/>
          <w:b/>
          <w:sz w:val="32"/>
          <w:szCs w:val="32"/>
        </w:rPr>
        <w:instrText xml:space="preserve"> MACROBUTTON MTEditEquationSection2 </w:instrText>
      </w:r>
      <w:r w:rsidR="00AD53D3" w:rsidRPr="00EC2257">
        <w:rPr>
          <w:rStyle w:val="MTEquationSection"/>
          <w:sz w:val="32"/>
          <w:szCs w:val="32"/>
        </w:rPr>
        <w:instrText>Equation Chapter 1 Section 1</w:instrText>
      </w:r>
      <w:r w:rsidRPr="00EC2257">
        <w:rPr>
          <w:rFonts w:ascii="Times New Roman" w:hAnsi="Times New Roman"/>
          <w:b/>
          <w:sz w:val="32"/>
          <w:szCs w:val="32"/>
        </w:rPr>
        <w:fldChar w:fldCharType="begin"/>
      </w:r>
      <w:r w:rsidR="00AD53D3" w:rsidRPr="00EC2257">
        <w:rPr>
          <w:rFonts w:ascii="Times New Roman" w:hAnsi="Times New Roman"/>
          <w:b/>
          <w:sz w:val="32"/>
          <w:szCs w:val="32"/>
        </w:rPr>
        <w:instrText xml:space="preserve"> SEQ MTEqn \r \h \* MERGEFORMAT </w:instrText>
      </w:r>
      <w:r w:rsidRPr="00EC2257">
        <w:rPr>
          <w:rFonts w:ascii="Times New Roman" w:hAnsi="Times New Roman"/>
          <w:b/>
          <w:sz w:val="32"/>
          <w:szCs w:val="32"/>
        </w:rPr>
        <w:fldChar w:fldCharType="end"/>
      </w:r>
      <w:r w:rsidRPr="00EC2257">
        <w:rPr>
          <w:rFonts w:ascii="Times New Roman" w:hAnsi="Times New Roman"/>
          <w:b/>
          <w:sz w:val="32"/>
          <w:szCs w:val="32"/>
        </w:rPr>
        <w:fldChar w:fldCharType="begin"/>
      </w:r>
      <w:r w:rsidR="00AD53D3" w:rsidRPr="00EC2257">
        <w:rPr>
          <w:rFonts w:ascii="Times New Roman" w:hAnsi="Times New Roman"/>
          <w:b/>
          <w:sz w:val="32"/>
          <w:szCs w:val="32"/>
        </w:rPr>
        <w:instrText xml:space="preserve"> SEQ MTSec \r 1 \h \* MERGEFORMAT </w:instrText>
      </w:r>
      <w:r w:rsidRPr="00EC2257">
        <w:rPr>
          <w:rFonts w:ascii="Times New Roman" w:hAnsi="Times New Roman"/>
          <w:b/>
          <w:sz w:val="32"/>
          <w:szCs w:val="32"/>
        </w:rPr>
        <w:fldChar w:fldCharType="end"/>
      </w:r>
      <w:r w:rsidRPr="00EC2257">
        <w:rPr>
          <w:rFonts w:ascii="Times New Roman" w:hAnsi="Times New Roman"/>
          <w:b/>
          <w:sz w:val="32"/>
          <w:szCs w:val="32"/>
        </w:rPr>
        <w:fldChar w:fldCharType="begin"/>
      </w:r>
      <w:r w:rsidR="00AD53D3" w:rsidRPr="00EC2257">
        <w:rPr>
          <w:rFonts w:ascii="Times New Roman" w:hAnsi="Times New Roman"/>
          <w:b/>
          <w:sz w:val="32"/>
          <w:szCs w:val="32"/>
        </w:rPr>
        <w:instrText xml:space="preserve"> SEQ MTChap \r 1 \h \* MERGEFORMAT </w:instrText>
      </w:r>
      <w:r w:rsidRPr="00EC2257">
        <w:rPr>
          <w:rFonts w:ascii="Times New Roman" w:hAnsi="Times New Roman"/>
          <w:b/>
          <w:sz w:val="32"/>
          <w:szCs w:val="32"/>
        </w:rPr>
        <w:fldChar w:fldCharType="end"/>
      </w:r>
      <w:r w:rsidRPr="00EC2257">
        <w:rPr>
          <w:rFonts w:ascii="Times New Roman" w:hAnsi="Times New Roman"/>
          <w:b/>
          <w:sz w:val="32"/>
          <w:szCs w:val="32"/>
        </w:rPr>
        <w:fldChar w:fldCharType="end"/>
      </w:r>
      <w:r w:rsidR="00C242BB" w:rsidRPr="00C242BB">
        <w:t xml:space="preserve"> </w:t>
      </w:r>
      <w:r w:rsidR="00C242BB" w:rsidRPr="00C242BB">
        <w:rPr>
          <w:rFonts w:ascii="Times New Roman" w:hAnsi="Times New Roman"/>
          <w:b/>
          <w:sz w:val="32"/>
          <w:szCs w:val="32"/>
        </w:rPr>
        <w:t>Integrated Auxiliary Power Supply Using Switching Harmonics in an Open-End Winding Traction Drive</w:t>
      </w:r>
    </w:p>
    <w:p w14:paraId="4A1E8D8D" w14:textId="77777777" w:rsidR="001C4EB3" w:rsidRPr="00C242BB" w:rsidRDefault="00C857FA">
      <w:pPr>
        <w:rPr>
          <w:rFonts w:ascii="Times New Roman" w:hAnsi="Times New Roman"/>
          <w:b/>
          <w:bCs/>
          <w:smallCaps/>
          <w:sz w:val="28"/>
          <w:szCs w:val="28"/>
        </w:rPr>
      </w:pPr>
      <w:r w:rsidRPr="00C242BB">
        <w:rPr>
          <w:rFonts w:ascii="Times New Roman" w:hAnsi="Times New Roman"/>
          <w:b/>
          <w:bCs/>
          <w:smallCaps/>
          <w:sz w:val="28"/>
          <w:szCs w:val="28"/>
        </w:rPr>
        <w:t>Abstract</w:t>
      </w:r>
    </w:p>
    <w:p w14:paraId="209DF3AB" w14:textId="6D746F40" w:rsidR="00AD7495" w:rsidRPr="00056885" w:rsidRDefault="00C242BB" w:rsidP="002705F3">
      <w:pPr>
        <w:jc w:val="both"/>
        <w:rPr>
          <w:rFonts w:ascii="Times New Roman" w:hAnsi="Times New Roman"/>
          <w:sz w:val="24"/>
          <w:szCs w:val="24"/>
        </w:rPr>
      </w:pPr>
      <w:r w:rsidRPr="00056885">
        <w:rPr>
          <w:rFonts w:ascii="Times New Roman" w:hAnsi="Times New Roman"/>
          <w:sz w:val="24"/>
          <w:szCs w:val="24"/>
        </w:rPr>
        <w:t>Electric vehicle powertrains conventionally employ a dedicated high-voltage to low-voltage DC/DC converter to supply auxiliary loads such as control electronics, cooling systems, and low-voltage buses. Although the auxiliary power demand is small compared with the traction power, the additional converter requires semiconductor devices, magnetic components, cooling, protection, and packaging. This paper proposes an integrated auxiliary power supply concept for an open-end winding traction drive. The modulation redundancy provided by the two traction inverters is utilized to control the high-frequency differential voltage across the machine winding while maintaining the required fundamental voltage for torque production. A parallel resonant branch, tuned close to a selected switching-frequency component, presents high impedance at the machine fundamental frequency and low impedance at the targeted harmonic. The resulting high-frequency power is rectified to supply a DC auxiliary load. The concept is evaluated in terms of obtainable auxiliary power, interaction with traction operation, and additional converter losses.</w:t>
      </w:r>
    </w:p>
    <w:p w14:paraId="009AD016" w14:textId="77777777" w:rsidR="002705F3" w:rsidRDefault="002705F3" w:rsidP="002705F3">
      <w:pPr>
        <w:jc w:val="both"/>
        <w:rPr>
          <w:rFonts w:ascii="Times New Roman" w:hAnsi="Times New Roman"/>
          <w:sz w:val="24"/>
          <w:szCs w:val="24"/>
        </w:rPr>
      </w:pPr>
    </w:p>
    <w:p w14:paraId="063FA3DF" w14:textId="77777777" w:rsidR="001C4EB3" w:rsidRPr="00C242BB" w:rsidRDefault="00C857FA" w:rsidP="00F118E0">
      <w:pPr>
        <w:jc w:val="both"/>
        <w:rPr>
          <w:rFonts w:ascii="Times New Roman" w:hAnsi="Times New Roman"/>
          <w:b/>
          <w:bCs/>
          <w:smallCaps/>
          <w:sz w:val="28"/>
          <w:szCs w:val="28"/>
        </w:rPr>
      </w:pPr>
      <w:r w:rsidRPr="00C242BB">
        <w:rPr>
          <w:rFonts w:ascii="Times New Roman" w:hAnsi="Times New Roman"/>
          <w:b/>
          <w:bCs/>
          <w:smallCaps/>
          <w:sz w:val="28"/>
          <w:szCs w:val="28"/>
        </w:rPr>
        <w:t>Introduction</w:t>
      </w:r>
    </w:p>
    <w:p w14:paraId="5EBFF86A" w14:textId="00B7EB0B" w:rsidR="00F118E0" w:rsidRPr="00F118E0" w:rsidRDefault="00F118E0" w:rsidP="00F118E0">
      <w:pPr>
        <w:jc w:val="both"/>
        <w:rPr>
          <w:rFonts w:ascii="Times New Roman" w:hAnsi="Times New Roman"/>
          <w:sz w:val="24"/>
          <w:szCs w:val="24"/>
        </w:rPr>
      </w:pPr>
      <w:r w:rsidRPr="00F118E0">
        <w:rPr>
          <w:rFonts w:ascii="Times New Roman" w:hAnsi="Times New Roman"/>
          <w:sz w:val="24"/>
          <w:szCs w:val="24"/>
        </w:rPr>
        <w:t xml:space="preserve">Battery electric vehicle (BEV) drivetrains contain several power-electronic converters with different power and voltage ratings. The highest-power converters are traction inverters that energize and control the electric machine from the high-voltage battery [1], [2]. In addition, there </w:t>
      </w:r>
      <w:r w:rsidRPr="00F118E0">
        <w:rPr>
          <w:rFonts w:ascii="Times New Roman" w:hAnsi="Times New Roman"/>
          <w:sz w:val="24"/>
          <w:szCs w:val="24"/>
        </w:rPr>
        <w:lastRenderedPageBreak/>
        <w:t>are several auxiliary converters which are commonly utilized to supply low-voltage loads such as lighting, electronic control units, pumps, cooling systems, etc. [1].</w:t>
      </w:r>
    </w:p>
    <w:p w14:paraId="5FB16716" w14:textId="0501889C" w:rsidR="00F118E0" w:rsidRPr="00F118E0" w:rsidRDefault="00F118E0" w:rsidP="00F118E0">
      <w:pPr>
        <w:jc w:val="both"/>
        <w:rPr>
          <w:rFonts w:ascii="Times New Roman" w:hAnsi="Times New Roman"/>
          <w:sz w:val="24"/>
          <w:szCs w:val="24"/>
        </w:rPr>
      </w:pPr>
      <w:r w:rsidRPr="00F118E0">
        <w:rPr>
          <w:rFonts w:ascii="Times New Roman" w:hAnsi="Times New Roman"/>
          <w:sz w:val="24"/>
          <w:szCs w:val="24"/>
        </w:rPr>
        <w:t>These auxiliary converters require considerably smaller power compared to traction inverters. However, they usually need a high-voltage high-step-down converter where the design may be tricky regarding the selection of semiconductor devices, magnetic components, gate drivers, and cooling systems. Therefore, a system-level perspective shows that these converters increase the component count, volume, weight, and cost.</w:t>
      </w:r>
    </w:p>
    <w:p w14:paraId="4E2F51A2" w14:textId="77777777" w:rsidR="00DB0225" w:rsidRDefault="00F118E0" w:rsidP="00F118E0">
      <w:pPr>
        <w:jc w:val="both"/>
        <w:rPr>
          <w:rFonts w:ascii="Times New Roman" w:hAnsi="Times New Roman"/>
          <w:sz w:val="24"/>
          <w:szCs w:val="24"/>
        </w:rPr>
      </w:pPr>
      <w:r w:rsidRPr="00F118E0">
        <w:rPr>
          <w:rFonts w:ascii="Times New Roman" w:hAnsi="Times New Roman"/>
          <w:sz w:val="24"/>
          <w:szCs w:val="24"/>
        </w:rPr>
        <w:t xml:space="preserve">One smart idea </w:t>
      </w:r>
      <w:proofErr w:type="gramStart"/>
      <w:r w:rsidRPr="00F118E0">
        <w:rPr>
          <w:rFonts w:ascii="Times New Roman" w:hAnsi="Times New Roman"/>
          <w:sz w:val="24"/>
          <w:szCs w:val="24"/>
        </w:rPr>
        <w:t>here to mitigate these</w:t>
      </w:r>
      <w:proofErr w:type="gramEnd"/>
      <w:r w:rsidRPr="00F118E0">
        <w:rPr>
          <w:rFonts w:ascii="Times New Roman" w:hAnsi="Times New Roman"/>
          <w:sz w:val="24"/>
          <w:szCs w:val="24"/>
        </w:rPr>
        <w:t xml:space="preserve"> is to combine some of the converters to utilize the components more [3], [4]. For example, it is possible to put a pre-scaling stage, then a regulation stage can drive multiple ports. At the same time, the traction inverter continuously generates high-frequency voltage components </w:t>
      </w:r>
      <w:proofErr w:type="gramStart"/>
      <w:r w:rsidRPr="00F118E0">
        <w:rPr>
          <w:rFonts w:ascii="Times New Roman" w:hAnsi="Times New Roman"/>
          <w:sz w:val="24"/>
          <w:szCs w:val="24"/>
        </w:rPr>
        <w:t>as a consequence of</w:t>
      </w:r>
      <w:proofErr w:type="gramEnd"/>
      <w:r w:rsidRPr="00F118E0">
        <w:rPr>
          <w:rFonts w:ascii="Times New Roman" w:hAnsi="Times New Roman"/>
          <w:sz w:val="24"/>
          <w:szCs w:val="24"/>
        </w:rPr>
        <w:t xml:space="preserve"> pulse-width modulation (PWM). These components are normally treated as undesirable harmonics because they contribute to current ripple, additional losses, and electromagnetic interference [</w:t>
      </w:r>
      <w:r w:rsidR="00D31FF0">
        <w:rPr>
          <w:rFonts w:ascii="Times New Roman" w:hAnsi="Times New Roman"/>
          <w:sz w:val="24"/>
          <w:szCs w:val="24"/>
        </w:rPr>
        <w:t>5</w:t>
      </w:r>
      <w:r w:rsidRPr="00F118E0">
        <w:rPr>
          <w:rFonts w:ascii="Times New Roman" w:hAnsi="Times New Roman"/>
          <w:sz w:val="24"/>
          <w:szCs w:val="24"/>
        </w:rPr>
        <w:t>], [</w:t>
      </w:r>
      <w:r w:rsidR="00D31FF0">
        <w:rPr>
          <w:rFonts w:ascii="Times New Roman" w:hAnsi="Times New Roman"/>
          <w:sz w:val="24"/>
          <w:szCs w:val="24"/>
        </w:rPr>
        <w:t>6</w:t>
      </w:r>
      <w:r w:rsidRPr="00F118E0">
        <w:rPr>
          <w:rFonts w:ascii="Times New Roman" w:hAnsi="Times New Roman"/>
          <w:sz w:val="24"/>
          <w:szCs w:val="24"/>
        </w:rPr>
        <w:t>]. However, they also constitute a controllable high-frequency excitation that can potentially be used for another power-conversion function.</w:t>
      </w:r>
      <w:r w:rsidR="00D31FF0">
        <w:rPr>
          <w:rFonts w:ascii="Times New Roman" w:hAnsi="Times New Roman"/>
          <w:sz w:val="24"/>
          <w:szCs w:val="24"/>
        </w:rPr>
        <w:t xml:space="preserve"> </w:t>
      </w:r>
      <w:r w:rsidRPr="00F118E0">
        <w:rPr>
          <w:rFonts w:ascii="Times New Roman" w:hAnsi="Times New Roman"/>
          <w:sz w:val="24"/>
          <w:szCs w:val="24"/>
        </w:rPr>
        <w:t>An open-end winding (OEW) machine provides additional flexibility for controlling these components because both terminals of each phase winding are supplied by independent inverter legs [</w:t>
      </w:r>
      <w:r w:rsidR="00D31FF0">
        <w:rPr>
          <w:rFonts w:ascii="Times New Roman" w:hAnsi="Times New Roman"/>
          <w:sz w:val="24"/>
          <w:szCs w:val="24"/>
        </w:rPr>
        <w:t>7</w:t>
      </w:r>
      <w:r w:rsidRPr="00F118E0">
        <w:rPr>
          <w:rFonts w:ascii="Times New Roman" w:hAnsi="Times New Roman"/>
          <w:sz w:val="24"/>
          <w:szCs w:val="24"/>
        </w:rPr>
        <w:t>]</w:t>
      </w:r>
      <w:r w:rsidR="00D31FF0">
        <w:rPr>
          <w:rFonts w:ascii="Times New Roman" w:hAnsi="Times New Roman"/>
          <w:sz w:val="24"/>
          <w:szCs w:val="24"/>
        </w:rPr>
        <w:t>,</w:t>
      </w:r>
      <w:r w:rsidRPr="00F118E0">
        <w:rPr>
          <w:rFonts w:ascii="Times New Roman" w:hAnsi="Times New Roman"/>
          <w:sz w:val="24"/>
          <w:szCs w:val="24"/>
        </w:rPr>
        <w:t>[</w:t>
      </w:r>
      <w:r w:rsidR="00D31FF0">
        <w:rPr>
          <w:rFonts w:ascii="Times New Roman" w:hAnsi="Times New Roman"/>
          <w:sz w:val="24"/>
          <w:szCs w:val="24"/>
        </w:rPr>
        <w:t>8</w:t>
      </w:r>
      <w:r w:rsidRPr="00F118E0">
        <w:rPr>
          <w:rFonts w:ascii="Times New Roman" w:hAnsi="Times New Roman"/>
          <w:sz w:val="24"/>
          <w:szCs w:val="24"/>
        </w:rPr>
        <w:t xml:space="preserve">]. </w:t>
      </w:r>
      <w:r w:rsidR="00DB0225">
        <w:rPr>
          <w:rFonts w:ascii="Times New Roman" w:hAnsi="Times New Roman"/>
          <w:sz w:val="24"/>
          <w:szCs w:val="24"/>
        </w:rPr>
        <w:t xml:space="preserve"> </w:t>
      </w:r>
      <w:r w:rsidRPr="00F118E0">
        <w:rPr>
          <w:rFonts w:ascii="Times New Roman" w:hAnsi="Times New Roman"/>
          <w:sz w:val="24"/>
          <w:szCs w:val="24"/>
        </w:rPr>
        <w:t>Different switching-state combinations can synthesize the same fundamental machine voltage while producing different high-frequency differential voltages</w:t>
      </w:r>
      <w:r w:rsidR="00DB0225">
        <w:rPr>
          <w:rFonts w:ascii="Times New Roman" w:hAnsi="Times New Roman"/>
          <w:sz w:val="24"/>
          <w:szCs w:val="24"/>
        </w:rPr>
        <w:t>.</w:t>
      </w:r>
      <w:r w:rsidRPr="00F118E0">
        <w:rPr>
          <w:rFonts w:ascii="Times New Roman" w:hAnsi="Times New Roman"/>
          <w:sz w:val="24"/>
          <w:szCs w:val="24"/>
        </w:rPr>
        <w:t xml:space="preserve"> </w:t>
      </w:r>
    </w:p>
    <w:p w14:paraId="1FEA7262" w14:textId="477AD44C" w:rsidR="00F118E0" w:rsidRPr="00F118E0" w:rsidRDefault="00F118E0" w:rsidP="00F118E0">
      <w:pPr>
        <w:jc w:val="both"/>
        <w:rPr>
          <w:rFonts w:ascii="Times New Roman" w:hAnsi="Times New Roman"/>
          <w:sz w:val="24"/>
          <w:szCs w:val="24"/>
        </w:rPr>
      </w:pPr>
      <w:r w:rsidRPr="00F118E0">
        <w:rPr>
          <w:rFonts w:ascii="Times New Roman" w:hAnsi="Times New Roman"/>
          <w:sz w:val="24"/>
          <w:szCs w:val="24"/>
        </w:rPr>
        <w:t xml:space="preserve">This paper </w:t>
      </w:r>
      <w:proofErr w:type="gramStart"/>
      <w:r w:rsidRPr="00F118E0">
        <w:rPr>
          <w:rFonts w:ascii="Times New Roman" w:hAnsi="Times New Roman"/>
          <w:sz w:val="24"/>
          <w:szCs w:val="24"/>
        </w:rPr>
        <w:t>utilizes that modulation redundancy</w:t>
      </w:r>
      <w:proofErr w:type="gramEnd"/>
      <w:r w:rsidRPr="00F118E0">
        <w:rPr>
          <w:rFonts w:ascii="Times New Roman" w:hAnsi="Times New Roman"/>
          <w:sz w:val="24"/>
          <w:szCs w:val="24"/>
        </w:rPr>
        <w:t xml:space="preserve"> to generate auxiliary power from the traction drive. A resonant branch is connected in parallel with the machine winding and tuned near a selected switching-frequency component. The branch is designed to have high impedance at the machine fundamental frequency and low impedance at the selected harmonic.</w:t>
      </w:r>
    </w:p>
    <w:p w14:paraId="0032D5D9" w14:textId="77777777" w:rsidR="00F118E0" w:rsidRPr="00F118E0" w:rsidRDefault="00F118E0" w:rsidP="00F118E0">
      <w:pPr>
        <w:jc w:val="both"/>
        <w:rPr>
          <w:rFonts w:ascii="Times New Roman" w:hAnsi="Times New Roman"/>
          <w:sz w:val="24"/>
          <w:szCs w:val="24"/>
        </w:rPr>
      </w:pPr>
    </w:p>
    <w:p w14:paraId="55FFDC66" w14:textId="39429ACF" w:rsidR="00F118E0" w:rsidRPr="00E9397B" w:rsidRDefault="00F118E0" w:rsidP="00F118E0">
      <w:pPr>
        <w:jc w:val="both"/>
        <w:rPr>
          <w:rFonts w:ascii="Times New Roman" w:hAnsi="Times New Roman"/>
          <w:sz w:val="24"/>
          <w:szCs w:val="24"/>
        </w:rPr>
      </w:pPr>
      <w:r w:rsidRPr="00F118E0">
        <w:rPr>
          <w:rFonts w:ascii="Times New Roman" w:hAnsi="Times New Roman"/>
          <w:sz w:val="24"/>
          <w:szCs w:val="24"/>
        </w:rPr>
        <w:t>The main contribution is an integrated auxiliary power supply concept in which the traction inverters simultaneously synthesize the fundamental machine voltage and a controllable high-frequency excitation for a resonant auxiliary branch. The approach therefore offers a possible method for reducing or simplifying the conventional dedicated high-voltage auxiliary converter.</w:t>
      </w:r>
    </w:p>
    <w:p w14:paraId="10E10CF8" w14:textId="77777777" w:rsidR="00C242BB" w:rsidRPr="00C242BB" w:rsidRDefault="00C242BB">
      <w:pPr>
        <w:rPr>
          <w:rFonts w:ascii="Times New Roman" w:hAnsi="Times New Roman"/>
          <w:b/>
          <w:bCs/>
          <w:smallCaps/>
          <w:sz w:val="28"/>
          <w:szCs w:val="28"/>
        </w:rPr>
      </w:pPr>
      <w:r w:rsidRPr="00C242BB">
        <w:rPr>
          <w:rFonts w:ascii="Times New Roman" w:hAnsi="Times New Roman"/>
          <w:b/>
          <w:bCs/>
          <w:smallCaps/>
          <w:sz w:val="28"/>
          <w:szCs w:val="28"/>
        </w:rPr>
        <w:t xml:space="preserve">PROPOSED SYSTEM CONFIGURATION </w:t>
      </w:r>
    </w:p>
    <w:p w14:paraId="429CD111" w14:textId="37E52106" w:rsidR="00056885" w:rsidRPr="00795AFD" w:rsidRDefault="00C242BB" w:rsidP="00795AFD">
      <w:pPr>
        <w:ind w:firstLine="360"/>
        <w:jc w:val="both"/>
        <w:rPr>
          <w:rFonts w:ascii="Times New Roman" w:hAnsi="Times New Roman"/>
          <w:sz w:val="24"/>
          <w:szCs w:val="24"/>
        </w:rPr>
      </w:pPr>
      <w:r w:rsidRPr="00056885">
        <w:rPr>
          <w:rFonts w:ascii="Times New Roman" w:hAnsi="Times New Roman"/>
          <w:sz w:val="24"/>
          <w:szCs w:val="24"/>
        </w:rPr>
        <w:t>The proposed system is based on an OEW electric machine supplied by two voltage-source inverters</w:t>
      </w:r>
      <w:r w:rsidR="00DB0225">
        <w:rPr>
          <w:rFonts w:ascii="Times New Roman" w:hAnsi="Times New Roman"/>
          <w:sz w:val="24"/>
          <w:szCs w:val="24"/>
        </w:rPr>
        <w:t>, as shown in Fig.1.</w:t>
      </w:r>
      <w:r w:rsidRPr="00056885">
        <w:rPr>
          <w:rFonts w:ascii="Times New Roman" w:hAnsi="Times New Roman"/>
          <w:sz w:val="24"/>
          <w:szCs w:val="24"/>
        </w:rPr>
        <w:t xml:space="preserve"> Considering </w:t>
      </w:r>
      <w:proofErr w:type="gramStart"/>
      <w:r w:rsidRPr="00056885">
        <w:rPr>
          <w:rFonts w:ascii="Times New Roman" w:hAnsi="Times New Roman"/>
          <w:sz w:val="24"/>
          <w:szCs w:val="24"/>
        </w:rPr>
        <w:t>phase</w:t>
      </w:r>
      <w:proofErr w:type="gramEnd"/>
      <w:r w:rsidRPr="00056885">
        <w:rPr>
          <w:rFonts w:ascii="Times New Roman" w:hAnsi="Times New Roman"/>
          <w:sz w:val="24"/>
          <w:szCs w:val="24"/>
        </w:rPr>
        <w:t xml:space="preserve"> A, the instantaneous winding voltage is determined by the difference between the two inverter terminal voltages: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C242BB" w:rsidRPr="00056885" w14:paraId="124A858F" w14:textId="77777777" w:rsidTr="00F54F34">
        <w:trPr>
          <w:jc w:val="center"/>
        </w:trPr>
        <w:tc>
          <w:tcPr>
            <w:tcW w:w="4680" w:type="dxa"/>
          </w:tcPr>
          <w:p w14:paraId="56749BA1" w14:textId="081F3DCF" w:rsidR="00C242BB" w:rsidRPr="00056885" w:rsidRDefault="00056885" w:rsidP="00F54F34">
            <w:pPr>
              <w:spacing w:line="240" w:lineRule="auto"/>
              <w:jc w:val="center"/>
              <w:rPr>
                <w:sz w:val="24"/>
                <w:szCs w:val="24"/>
                <w:lang w:val="sv-SE"/>
              </w:rPr>
            </w:pPr>
            <w:r>
              <w:rPr>
                <w:rFonts w:ascii="Cambria Math" w:hAnsi="Cambria Math"/>
                <w:i/>
                <w:sz w:val="24"/>
                <w:szCs w:val="24"/>
                <w:lang w:val="sv-SE"/>
              </w:rPr>
              <w:t>V</w:t>
            </w:r>
            <w:r w:rsidR="00C242BB" w:rsidRPr="00056885">
              <w:rPr>
                <w:rFonts w:ascii="Cambria Math" w:hAnsi="Cambria Math"/>
                <w:i/>
                <w:sz w:val="24"/>
                <w:szCs w:val="24"/>
                <w:vertAlign w:val="subscript"/>
                <w:lang w:val="sv-SE"/>
              </w:rPr>
              <w:t>A</w:t>
            </w:r>
            <w:r w:rsidRPr="00056885">
              <w:rPr>
                <w:rFonts w:ascii="Cambria Math" w:hAnsi="Cambria Math"/>
                <w:i/>
                <w:sz w:val="24"/>
                <w:szCs w:val="24"/>
                <w:vertAlign w:val="subscript"/>
                <w:lang w:val="sv-SE"/>
              </w:rPr>
              <w:t>A</w:t>
            </w:r>
            <w:r w:rsidRPr="00056885">
              <w:rPr>
                <w:rFonts w:ascii="Cambria Math" w:hAnsi="Cambria Math"/>
                <w:i/>
                <w:sz w:val="24"/>
                <w:szCs w:val="24"/>
                <w:lang w:val="sv-SE"/>
              </w:rPr>
              <w:t xml:space="preserve"> </w:t>
            </w:r>
            <w:r w:rsidR="00C242BB" w:rsidRPr="00056885">
              <w:rPr>
                <w:rFonts w:ascii="Cambria Math" w:hAnsi="Cambria Math"/>
                <w:i/>
                <w:sz w:val="20"/>
                <w:szCs w:val="20"/>
                <w:lang w:val="sv-SE"/>
              </w:rPr>
              <w:t xml:space="preserve">(t) </w:t>
            </w:r>
            <w:r w:rsidR="00C242BB" w:rsidRPr="00056885">
              <w:rPr>
                <w:rFonts w:ascii="Cambria Math" w:hAnsi="Cambria Math"/>
                <w:i/>
                <w:sz w:val="24"/>
                <w:szCs w:val="24"/>
                <w:lang w:val="sv-SE"/>
              </w:rPr>
              <w:t xml:space="preserve">= </w:t>
            </w:r>
            <w:r>
              <w:rPr>
                <w:rFonts w:ascii="Cambria Math" w:hAnsi="Cambria Math"/>
                <w:i/>
                <w:sz w:val="24"/>
                <w:szCs w:val="24"/>
                <w:lang w:val="sv-SE"/>
              </w:rPr>
              <w:t>V</w:t>
            </w:r>
            <w:r w:rsidR="00C242BB" w:rsidRPr="00056885">
              <w:rPr>
                <w:rFonts w:ascii="Cambria Math" w:hAnsi="Cambria Math"/>
                <w:i/>
                <w:sz w:val="24"/>
                <w:szCs w:val="24"/>
                <w:vertAlign w:val="subscript"/>
                <w:lang w:val="sv-SE"/>
              </w:rPr>
              <w:t>A</w:t>
            </w:r>
            <w:r w:rsidR="00BA390F">
              <w:rPr>
                <w:rFonts w:ascii="Cambria Math" w:hAnsi="Cambria Math"/>
                <w:i/>
                <w:sz w:val="24"/>
                <w:szCs w:val="24"/>
                <w:vertAlign w:val="subscript"/>
                <w:lang w:val="sv-SE"/>
              </w:rPr>
              <w:t>+</w:t>
            </w:r>
            <w:r w:rsidR="00C242BB" w:rsidRPr="00056885">
              <w:rPr>
                <w:rFonts w:ascii="Cambria Math" w:hAnsi="Cambria Math"/>
                <w:i/>
                <w:sz w:val="20"/>
                <w:szCs w:val="20"/>
                <w:lang w:val="sv-SE"/>
              </w:rPr>
              <w:t xml:space="preserve">(t) </w:t>
            </w:r>
            <w:r w:rsidR="00C242BB" w:rsidRPr="00056885">
              <w:rPr>
                <w:rFonts w:ascii="Cambria Math" w:hAnsi="Cambria Math"/>
                <w:i/>
                <w:sz w:val="24"/>
                <w:szCs w:val="24"/>
                <w:lang w:val="sv-SE"/>
              </w:rPr>
              <w:t xml:space="preserve">- </w:t>
            </w:r>
            <w:r>
              <w:rPr>
                <w:rFonts w:ascii="Cambria Math" w:hAnsi="Cambria Math"/>
                <w:i/>
                <w:sz w:val="24"/>
                <w:szCs w:val="24"/>
                <w:lang w:val="sv-SE"/>
              </w:rPr>
              <w:t>V</w:t>
            </w:r>
            <w:r w:rsidR="00C242BB" w:rsidRPr="00056885">
              <w:rPr>
                <w:rFonts w:ascii="Cambria Math" w:hAnsi="Cambria Math"/>
                <w:i/>
                <w:sz w:val="24"/>
                <w:szCs w:val="24"/>
                <w:vertAlign w:val="subscript"/>
                <w:lang w:val="sv-SE"/>
              </w:rPr>
              <w:t>A</w:t>
            </w:r>
            <w:r w:rsidR="00BA390F">
              <w:rPr>
                <w:rFonts w:ascii="Cambria Math" w:hAnsi="Cambria Math"/>
                <w:i/>
                <w:sz w:val="20"/>
                <w:szCs w:val="20"/>
                <w:vertAlign w:val="subscript"/>
                <w:lang w:val="sv-SE"/>
              </w:rPr>
              <w:t>-</w:t>
            </w:r>
            <w:r>
              <w:rPr>
                <w:rFonts w:ascii="Cambria Math" w:hAnsi="Cambria Math"/>
                <w:i/>
                <w:sz w:val="20"/>
                <w:szCs w:val="20"/>
                <w:vertAlign w:val="subscript"/>
                <w:lang w:val="sv-SE"/>
              </w:rPr>
              <w:t xml:space="preserve"> </w:t>
            </w:r>
            <w:r w:rsidR="00C242BB" w:rsidRPr="00056885">
              <w:rPr>
                <w:rFonts w:ascii="Cambria Math" w:hAnsi="Cambria Math"/>
                <w:i/>
                <w:sz w:val="20"/>
                <w:szCs w:val="20"/>
                <w:lang w:val="sv-SE"/>
              </w:rPr>
              <w:t>(t)</w:t>
            </w:r>
            <w:r w:rsidRPr="00056885">
              <w:rPr>
                <w:rFonts w:ascii="Cambria Math" w:hAnsi="Cambria Math"/>
                <w:i/>
                <w:sz w:val="20"/>
                <w:szCs w:val="20"/>
                <w:lang w:val="sv-SE"/>
              </w:rPr>
              <w:t xml:space="preserve"> </w:t>
            </w:r>
          </w:p>
        </w:tc>
        <w:tc>
          <w:tcPr>
            <w:tcW w:w="4680" w:type="dxa"/>
          </w:tcPr>
          <w:p w14:paraId="52834DBF" w14:textId="77777777" w:rsidR="00C242BB" w:rsidRPr="00056885" w:rsidRDefault="00C242BB" w:rsidP="00F54F34">
            <w:pPr>
              <w:spacing w:line="240" w:lineRule="auto"/>
              <w:jc w:val="right"/>
              <w:rPr>
                <w:sz w:val="24"/>
                <w:szCs w:val="24"/>
              </w:rPr>
            </w:pPr>
            <w:r w:rsidRPr="00056885">
              <w:rPr>
                <w:rFonts w:ascii="Times New Roman" w:hAnsi="Times New Roman"/>
                <w:sz w:val="24"/>
                <w:szCs w:val="24"/>
              </w:rPr>
              <w:t>(1)</w:t>
            </w:r>
          </w:p>
        </w:tc>
      </w:tr>
      <w:tr w:rsidR="00795AFD" w:rsidRPr="00056885" w14:paraId="4A1D971D" w14:textId="77777777" w:rsidTr="00F118E0">
        <w:trPr>
          <w:trHeight w:val="108"/>
          <w:jc w:val="center"/>
        </w:trPr>
        <w:tc>
          <w:tcPr>
            <w:tcW w:w="4680" w:type="dxa"/>
          </w:tcPr>
          <w:p w14:paraId="02EFA8F0" w14:textId="77777777" w:rsidR="00795AFD" w:rsidRDefault="00795AFD" w:rsidP="00795AFD">
            <w:pPr>
              <w:spacing w:line="240" w:lineRule="auto"/>
              <w:rPr>
                <w:rFonts w:ascii="Cambria Math" w:hAnsi="Cambria Math"/>
                <w:i/>
                <w:sz w:val="24"/>
                <w:szCs w:val="24"/>
                <w:lang w:val="sv-SE"/>
              </w:rPr>
            </w:pPr>
          </w:p>
        </w:tc>
        <w:tc>
          <w:tcPr>
            <w:tcW w:w="4680" w:type="dxa"/>
          </w:tcPr>
          <w:p w14:paraId="3F30B1B1" w14:textId="77777777" w:rsidR="00795AFD" w:rsidRPr="00056885" w:rsidRDefault="00795AFD" w:rsidP="00F54F34">
            <w:pPr>
              <w:spacing w:line="240" w:lineRule="auto"/>
              <w:jc w:val="right"/>
              <w:rPr>
                <w:rFonts w:ascii="Times New Roman" w:hAnsi="Times New Roman"/>
                <w:sz w:val="24"/>
                <w:szCs w:val="24"/>
              </w:rPr>
            </w:pPr>
          </w:p>
        </w:tc>
      </w:tr>
      <w:tr w:rsidR="00056885" w:rsidRPr="00056885" w14:paraId="07DBE0D6" w14:textId="77777777" w:rsidTr="00F54F34">
        <w:trPr>
          <w:jc w:val="center"/>
        </w:trPr>
        <w:tc>
          <w:tcPr>
            <w:tcW w:w="4680" w:type="dxa"/>
          </w:tcPr>
          <w:p w14:paraId="00DA5FF3" w14:textId="77777777" w:rsidR="00056885" w:rsidRPr="00056885" w:rsidRDefault="00056885" w:rsidP="00795AFD">
            <w:pPr>
              <w:spacing w:line="240" w:lineRule="auto"/>
              <w:rPr>
                <w:rFonts w:ascii="Cambria Math" w:hAnsi="Cambria Math"/>
                <w:i/>
                <w:sz w:val="24"/>
                <w:szCs w:val="24"/>
              </w:rPr>
            </w:pPr>
          </w:p>
        </w:tc>
        <w:tc>
          <w:tcPr>
            <w:tcW w:w="4680" w:type="dxa"/>
          </w:tcPr>
          <w:p w14:paraId="549F8C72" w14:textId="77777777" w:rsidR="00056885" w:rsidRPr="00056885" w:rsidRDefault="00056885" w:rsidP="00F54F34">
            <w:pPr>
              <w:spacing w:line="240" w:lineRule="auto"/>
              <w:jc w:val="right"/>
              <w:rPr>
                <w:rFonts w:ascii="Times New Roman" w:hAnsi="Times New Roman"/>
                <w:sz w:val="24"/>
                <w:szCs w:val="24"/>
              </w:rPr>
            </w:pPr>
          </w:p>
        </w:tc>
      </w:tr>
    </w:tbl>
    <w:p w14:paraId="3065EE95" w14:textId="342EC900" w:rsidR="00795AFD" w:rsidRPr="00795AFD" w:rsidRDefault="00C242BB" w:rsidP="00795AFD">
      <w:pPr>
        <w:ind w:firstLine="360"/>
        <w:jc w:val="both"/>
        <w:rPr>
          <w:rFonts w:ascii="Times New Roman" w:hAnsi="Times New Roman"/>
          <w:sz w:val="24"/>
          <w:szCs w:val="24"/>
        </w:rPr>
      </w:pPr>
      <w:r w:rsidRPr="00056885">
        <w:rPr>
          <w:rFonts w:ascii="Times New Roman" w:hAnsi="Times New Roman"/>
          <w:sz w:val="24"/>
          <w:szCs w:val="24"/>
        </w:rPr>
        <w:t>The winding voltage can be separated conceptually into a fundamental component responsible for machine operation and high-frequency components introduced by PWM: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C242BB" w:rsidRPr="00056885" w14:paraId="0569F341" w14:textId="77777777" w:rsidTr="00F54F34">
        <w:trPr>
          <w:jc w:val="center"/>
        </w:trPr>
        <w:tc>
          <w:tcPr>
            <w:tcW w:w="4680" w:type="dxa"/>
          </w:tcPr>
          <w:p w14:paraId="26D9C635" w14:textId="10E594E0" w:rsidR="00C242BB" w:rsidRPr="00056885" w:rsidRDefault="00056885" w:rsidP="00F54F34">
            <w:pPr>
              <w:spacing w:line="240" w:lineRule="auto"/>
              <w:jc w:val="center"/>
              <w:rPr>
                <w:sz w:val="24"/>
                <w:szCs w:val="24"/>
              </w:rPr>
            </w:pPr>
            <w:r>
              <w:rPr>
                <w:rFonts w:ascii="Cambria Math" w:hAnsi="Cambria Math"/>
                <w:i/>
                <w:sz w:val="24"/>
                <w:szCs w:val="24"/>
              </w:rPr>
              <w:t>V</w:t>
            </w:r>
            <w:r w:rsidR="00C242BB" w:rsidRPr="00056885">
              <w:rPr>
                <w:rFonts w:ascii="Cambria Math" w:hAnsi="Cambria Math"/>
                <w:i/>
                <w:sz w:val="24"/>
                <w:szCs w:val="24"/>
                <w:vertAlign w:val="subscript"/>
              </w:rPr>
              <w:t>AA</w:t>
            </w:r>
            <w:r w:rsidR="00C242BB" w:rsidRPr="00056885">
              <w:rPr>
                <w:rFonts w:ascii="Cambria Math" w:hAnsi="Cambria Math"/>
                <w:i/>
                <w:sz w:val="20"/>
                <w:szCs w:val="20"/>
              </w:rPr>
              <w:t xml:space="preserve">(t) </w:t>
            </w:r>
            <w:r w:rsidR="00C242BB" w:rsidRPr="00056885">
              <w:rPr>
                <w:rFonts w:ascii="Cambria Math" w:hAnsi="Cambria Math"/>
                <w:i/>
                <w:sz w:val="24"/>
                <w:szCs w:val="24"/>
              </w:rPr>
              <w:t xml:space="preserve">= </w:t>
            </w:r>
            <w:r>
              <w:rPr>
                <w:rFonts w:ascii="Cambria Math" w:hAnsi="Cambria Math"/>
                <w:i/>
                <w:sz w:val="24"/>
                <w:szCs w:val="24"/>
              </w:rPr>
              <w:t>V</w:t>
            </w:r>
            <w:r w:rsidR="00C242BB" w:rsidRPr="00056885">
              <w:rPr>
                <w:rFonts w:ascii="Cambria Math" w:hAnsi="Cambria Math"/>
                <w:i/>
                <w:sz w:val="24"/>
                <w:szCs w:val="24"/>
                <w:vertAlign w:val="subscript"/>
              </w:rPr>
              <w:t>AA,1</w:t>
            </w:r>
            <w:r w:rsidR="00C242BB" w:rsidRPr="00056885">
              <w:rPr>
                <w:rFonts w:ascii="Cambria Math" w:hAnsi="Cambria Math"/>
                <w:i/>
                <w:sz w:val="20"/>
                <w:szCs w:val="20"/>
              </w:rPr>
              <w:t xml:space="preserve">(t) </w:t>
            </w:r>
            <w:r w:rsidR="00C242BB" w:rsidRPr="00056885">
              <w:rPr>
                <w:rFonts w:ascii="Cambria Math" w:hAnsi="Cambria Math"/>
                <w:i/>
                <w:sz w:val="24"/>
                <w:szCs w:val="24"/>
              </w:rPr>
              <w:t xml:space="preserve">+ </w:t>
            </w:r>
            <w:proofErr w:type="gramStart"/>
            <w:r>
              <w:rPr>
                <w:rFonts w:ascii="Cambria Math" w:hAnsi="Cambria Math"/>
                <w:i/>
                <w:sz w:val="24"/>
                <w:szCs w:val="24"/>
              </w:rPr>
              <w:t>V</w:t>
            </w:r>
            <w:r w:rsidR="00C242BB" w:rsidRPr="00056885">
              <w:rPr>
                <w:rFonts w:ascii="Cambria Math" w:hAnsi="Cambria Math"/>
                <w:i/>
                <w:sz w:val="24"/>
                <w:szCs w:val="24"/>
                <w:vertAlign w:val="subscript"/>
              </w:rPr>
              <w:t>AA,h</w:t>
            </w:r>
            <w:proofErr w:type="gramEnd"/>
            <w:r w:rsidR="00C242BB" w:rsidRPr="00056885">
              <w:rPr>
                <w:rFonts w:ascii="Cambria Math" w:hAnsi="Cambria Math"/>
                <w:i/>
                <w:sz w:val="20"/>
                <w:szCs w:val="20"/>
              </w:rPr>
              <w:t>(t)</w:t>
            </w:r>
          </w:p>
        </w:tc>
        <w:tc>
          <w:tcPr>
            <w:tcW w:w="4680" w:type="dxa"/>
          </w:tcPr>
          <w:p w14:paraId="0B959B0D" w14:textId="77777777" w:rsidR="00C242BB" w:rsidRPr="00056885" w:rsidRDefault="00C242BB" w:rsidP="00F54F34">
            <w:pPr>
              <w:spacing w:line="240" w:lineRule="auto"/>
              <w:jc w:val="right"/>
              <w:rPr>
                <w:sz w:val="24"/>
                <w:szCs w:val="24"/>
              </w:rPr>
            </w:pPr>
            <w:r w:rsidRPr="00056885">
              <w:rPr>
                <w:rFonts w:ascii="Times New Roman" w:hAnsi="Times New Roman"/>
                <w:sz w:val="24"/>
                <w:szCs w:val="24"/>
              </w:rPr>
              <w:t>(2)</w:t>
            </w:r>
          </w:p>
        </w:tc>
      </w:tr>
      <w:tr w:rsidR="00795AFD" w:rsidRPr="00056885" w14:paraId="5FF10F96" w14:textId="77777777" w:rsidTr="00F118E0">
        <w:trPr>
          <w:trHeight w:val="55"/>
          <w:jc w:val="center"/>
        </w:trPr>
        <w:tc>
          <w:tcPr>
            <w:tcW w:w="4680" w:type="dxa"/>
          </w:tcPr>
          <w:p w14:paraId="4271F2E7" w14:textId="77777777" w:rsidR="00795AFD" w:rsidRDefault="00795AFD" w:rsidP="00F54F34">
            <w:pPr>
              <w:spacing w:line="240" w:lineRule="auto"/>
              <w:jc w:val="center"/>
              <w:rPr>
                <w:rFonts w:ascii="Cambria Math" w:hAnsi="Cambria Math"/>
                <w:i/>
                <w:sz w:val="24"/>
                <w:szCs w:val="24"/>
              </w:rPr>
            </w:pPr>
          </w:p>
        </w:tc>
        <w:tc>
          <w:tcPr>
            <w:tcW w:w="4680" w:type="dxa"/>
          </w:tcPr>
          <w:p w14:paraId="28806009" w14:textId="77777777" w:rsidR="00795AFD" w:rsidRPr="00056885" w:rsidRDefault="00795AFD" w:rsidP="00795AFD">
            <w:pPr>
              <w:spacing w:line="240" w:lineRule="auto"/>
              <w:rPr>
                <w:rFonts w:ascii="Times New Roman" w:hAnsi="Times New Roman"/>
                <w:sz w:val="24"/>
                <w:szCs w:val="24"/>
              </w:rPr>
            </w:pPr>
          </w:p>
        </w:tc>
      </w:tr>
      <w:tr w:rsidR="00056885" w:rsidRPr="00056885" w14:paraId="1CBCB8E9" w14:textId="77777777" w:rsidTr="00F54F34">
        <w:trPr>
          <w:jc w:val="center"/>
        </w:trPr>
        <w:tc>
          <w:tcPr>
            <w:tcW w:w="4680" w:type="dxa"/>
          </w:tcPr>
          <w:p w14:paraId="3B1473DE" w14:textId="77777777" w:rsidR="00056885" w:rsidRPr="00056885" w:rsidRDefault="00056885" w:rsidP="00795AFD">
            <w:pPr>
              <w:spacing w:line="240" w:lineRule="auto"/>
              <w:rPr>
                <w:rFonts w:ascii="Cambria Math" w:hAnsi="Cambria Math"/>
                <w:i/>
                <w:sz w:val="24"/>
                <w:szCs w:val="24"/>
              </w:rPr>
            </w:pPr>
          </w:p>
        </w:tc>
        <w:tc>
          <w:tcPr>
            <w:tcW w:w="4680" w:type="dxa"/>
          </w:tcPr>
          <w:p w14:paraId="1AADE87D" w14:textId="77777777" w:rsidR="00056885" w:rsidRPr="00056885" w:rsidRDefault="00056885" w:rsidP="00F54F34">
            <w:pPr>
              <w:spacing w:line="240" w:lineRule="auto"/>
              <w:jc w:val="right"/>
              <w:rPr>
                <w:rFonts w:ascii="Times New Roman" w:hAnsi="Times New Roman"/>
                <w:sz w:val="24"/>
                <w:szCs w:val="24"/>
              </w:rPr>
            </w:pPr>
          </w:p>
        </w:tc>
      </w:tr>
    </w:tbl>
    <w:p w14:paraId="65F9E7A2" w14:textId="630208D9" w:rsidR="00C242BB" w:rsidRPr="00056885" w:rsidRDefault="00C242BB" w:rsidP="00F118E0">
      <w:pPr>
        <w:ind w:firstLine="360"/>
        <w:jc w:val="both"/>
        <w:rPr>
          <w:rFonts w:ascii="Times New Roman" w:hAnsi="Times New Roman"/>
          <w:sz w:val="24"/>
          <w:szCs w:val="24"/>
        </w:rPr>
      </w:pPr>
      <w:r w:rsidRPr="00056885">
        <w:rPr>
          <w:rFonts w:ascii="Times New Roman" w:hAnsi="Times New Roman"/>
          <w:sz w:val="24"/>
          <w:szCs w:val="24"/>
        </w:rPr>
        <w:t xml:space="preserve">For normal traction operation, the fundamental component is selected according to the required </w:t>
      </w:r>
      <w:proofErr w:type="gramStart"/>
      <w:r w:rsidRPr="00056885">
        <w:rPr>
          <w:rFonts w:ascii="Times New Roman" w:hAnsi="Times New Roman"/>
          <w:sz w:val="24"/>
          <w:szCs w:val="24"/>
        </w:rPr>
        <w:t>machine torque</w:t>
      </w:r>
      <w:proofErr w:type="gramEnd"/>
      <w:r w:rsidRPr="00056885">
        <w:rPr>
          <w:rFonts w:ascii="Times New Roman" w:hAnsi="Times New Roman"/>
          <w:sz w:val="24"/>
          <w:szCs w:val="24"/>
        </w:rPr>
        <w:t xml:space="preserve"> and flux. The high-frequency component, however, depends strongly on the switching sequence and relative </w:t>
      </w:r>
      <w:r w:rsidR="00DB0225">
        <w:rPr>
          <w:rFonts w:ascii="Times New Roman" w:hAnsi="Times New Roman"/>
          <w:sz w:val="24"/>
          <w:szCs w:val="24"/>
        </w:rPr>
        <w:t xml:space="preserve">carrier phase shift </w:t>
      </w:r>
      <w:r w:rsidRPr="00056885">
        <w:rPr>
          <w:rFonts w:ascii="Times New Roman" w:hAnsi="Times New Roman"/>
          <w:sz w:val="24"/>
          <w:szCs w:val="24"/>
        </w:rPr>
        <w:t>of the two inverters. The proposed method uses this degree of freedom to control the high-frequency differential voltage without intentionally changing the fundamental voltage.</w:t>
      </w:r>
      <w:r w:rsidR="00056885">
        <w:rPr>
          <w:rFonts w:ascii="Times New Roman" w:hAnsi="Times New Roman"/>
          <w:sz w:val="24"/>
          <w:szCs w:val="24"/>
        </w:rPr>
        <w:t xml:space="preserve"> </w:t>
      </w:r>
    </w:p>
    <w:p w14:paraId="64E02E91" w14:textId="5D19FBC5" w:rsidR="00C242BB" w:rsidRPr="00056885" w:rsidRDefault="001F26F9" w:rsidP="00C242BB">
      <w:pPr>
        <w:ind w:firstLine="360"/>
        <w:rPr>
          <w:sz w:val="24"/>
          <w:szCs w:val="24"/>
        </w:rPr>
      </w:pPr>
      <w:r>
        <w:rPr>
          <w:noProof/>
          <w:sz w:val="24"/>
          <w:szCs w:val="24"/>
        </w:rPr>
      </w:r>
      <w:r w:rsidR="00F118E0">
        <w:rPr>
          <w:sz w:val="24"/>
          <w:szCs w:val="24"/>
        </w:rPr>
        <w:pict w14:anchorId="005F7A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87" type="#_x0000_t75" style="width:398.1pt;height:272.1pt;mso-left-percent:-10001;mso-top-percent:-10001;mso-position-horizontal:absolute;mso-position-horizontal-relative:char;mso-position-vertical:absolute;mso-position-vertical-relative:line;mso-left-percent:-10001;mso-top-percent:-10001">
            <v:imagedata r:id="rId4" o:title=""/>
            <w10:anchorlock/>
          </v:shape>
        </w:pict>
      </w:r>
    </w:p>
    <w:p w14:paraId="70D5185D" w14:textId="3379E182" w:rsidR="00C242BB" w:rsidRPr="00056885" w:rsidRDefault="00C242BB" w:rsidP="00C242BB">
      <w:pPr>
        <w:shd w:val="solid" w:color="FFFFFF" w:fill="FFFFFF"/>
        <w:jc w:val="center"/>
        <w:rPr>
          <w:rFonts w:ascii="Times New Roman" w:hAnsi="Times New Roman"/>
          <w:b/>
          <w:sz w:val="20"/>
          <w:szCs w:val="20"/>
        </w:rPr>
      </w:pPr>
      <w:r w:rsidRPr="00056885">
        <w:rPr>
          <w:rFonts w:ascii="Times New Roman" w:hAnsi="Times New Roman"/>
          <w:b/>
          <w:sz w:val="20"/>
          <w:szCs w:val="20"/>
        </w:rPr>
        <w:t>Figure 1: Proposed open-end winding traction drive with parallel resonant auxiliary power extraction branch.</w:t>
      </w:r>
    </w:p>
    <w:p w14:paraId="4313260F" w14:textId="77777777" w:rsidR="00C242BB" w:rsidRPr="00056885" w:rsidRDefault="00C242BB" w:rsidP="00B165E8">
      <w:pPr>
        <w:jc w:val="both"/>
        <w:rPr>
          <w:rFonts w:ascii="Times New Roman" w:hAnsi="Times New Roman"/>
          <w:smallCaps/>
          <w:sz w:val="24"/>
          <w:szCs w:val="24"/>
        </w:rPr>
      </w:pPr>
    </w:p>
    <w:p w14:paraId="43B8195E" w14:textId="77777777" w:rsidR="00C242BB" w:rsidRPr="00056885" w:rsidRDefault="00C242BB" w:rsidP="00B165E8">
      <w:pPr>
        <w:ind w:firstLine="360"/>
        <w:jc w:val="both"/>
        <w:rPr>
          <w:sz w:val="24"/>
          <w:szCs w:val="24"/>
        </w:rPr>
      </w:pPr>
      <w:r w:rsidRPr="00056885">
        <w:rPr>
          <w:rFonts w:ascii="Times New Roman" w:hAnsi="Times New Roman"/>
          <w:sz w:val="24"/>
          <w:szCs w:val="24"/>
        </w:rPr>
        <w:t>A high-frequency resonant branch is connected in parallel with the machine phase, followed by a rectifier and a DC-side filter or auxiliary load. Its impedance is selected such that the branch draws only limited current at the fundamental frequency while providing a low-impedance path around the selected switching-frequency component.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C242BB" w:rsidRPr="00056885" w14:paraId="3196E5CB" w14:textId="77777777" w:rsidTr="00F54F34">
        <w:trPr>
          <w:jc w:val="center"/>
        </w:trPr>
        <w:tc>
          <w:tcPr>
            <w:tcW w:w="4680" w:type="dxa"/>
          </w:tcPr>
          <w:p w14:paraId="08B1F927" w14:textId="765E4DC1" w:rsidR="00C242BB" w:rsidRPr="00056885" w:rsidRDefault="00C242BB" w:rsidP="00F54F34">
            <w:pPr>
              <w:spacing w:line="240" w:lineRule="auto"/>
              <w:jc w:val="center"/>
              <w:rPr>
                <w:sz w:val="24"/>
                <w:szCs w:val="24"/>
              </w:rPr>
            </w:pPr>
            <w:r w:rsidRPr="00056885">
              <w:rPr>
                <w:rFonts w:ascii="Cambria Math" w:hAnsi="Cambria Math"/>
                <w:i/>
                <w:sz w:val="24"/>
                <w:szCs w:val="24"/>
              </w:rPr>
              <w:t>|Z</w:t>
            </w:r>
            <w:r w:rsidRPr="00B165E8">
              <w:rPr>
                <w:rFonts w:ascii="Cambria Math" w:hAnsi="Cambria Math"/>
                <w:i/>
                <w:sz w:val="24"/>
                <w:szCs w:val="24"/>
                <w:vertAlign w:val="subscript"/>
              </w:rPr>
              <w:t>aux(f</w:t>
            </w:r>
            <w:proofErr w:type="gramStart"/>
            <w:r w:rsidRPr="00B165E8">
              <w:rPr>
                <w:rFonts w:ascii="Cambria Math" w:hAnsi="Cambria Math"/>
                <w:i/>
                <w:sz w:val="24"/>
                <w:szCs w:val="24"/>
                <w:vertAlign w:val="subscript"/>
              </w:rPr>
              <w:t>1)</w:t>
            </w:r>
            <w:r w:rsidRPr="00056885">
              <w:rPr>
                <w:rFonts w:ascii="Cambria Math" w:hAnsi="Cambria Math"/>
                <w:i/>
                <w:sz w:val="24"/>
                <w:szCs w:val="24"/>
              </w:rPr>
              <w:t>|</w:t>
            </w:r>
            <w:proofErr w:type="gramEnd"/>
            <w:r w:rsidRPr="00056885">
              <w:rPr>
                <w:rFonts w:ascii="Cambria Math" w:hAnsi="Cambria Math"/>
                <w:i/>
                <w:sz w:val="24"/>
                <w:szCs w:val="24"/>
              </w:rPr>
              <w:t xml:space="preserve"> &gt;&gt; |Z</w:t>
            </w:r>
            <w:r w:rsidRPr="00B165E8">
              <w:rPr>
                <w:rFonts w:ascii="Cambria Math" w:hAnsi="Cambria Math"/>
                <w:i/>
                <w:sz w:val="24"/>
                <w:szCs w:val="24"/>
                <w:vertAlign w:val="subscript"/>
              </w:rPr>
              <w:t>aux(fs)</w:t>
            </w:r>
            <w:r w:rsidR="00B165E8" w:rsidRPr="00056885">
              <w:rPr>
                <w:rFonts w:ascii="Cambria Math" w:hAnsi="Cambria Math"/>
                <w:i/>
                <w:sz w:val="24"/>
                <w:szCs w:val="24"/>
              </w:rPr>
              <w:t>|</w:t>
            </w:r>
          </w:p>
        </w:tc>
        <w:tc>
          <w:tcPr>
            <w:tcW w:w="4680" w:type="dxa"/>
          </w:tcPr>
          <w:p w14:paraId="2EB00404" w14:textId="77777777" w:rsidR="00C242BB" w:rsidRPr="00056885" w:rsidRDefault="00C242BB" w:rsidP="00F54F34">
            <w:pPr>
              <w:spacing w:line="240" w:lineRule="auto"/>
              <w:jc w:val="right"/>
              <w:rPr>
                <w:sz w:val="24"/>
                <w:szCs w:val="24"/>
              </w:rPr>
            </w:pPr>
            <w:r w:rsidRPr="00056885">
              <w:rPr>
                <w:rFonts w:ascii="Times New Roman" w:hAnsi="Times New Roman"/>
                <w:sz w:val="24"/>
                <w:szCs w:val="24"/>
              </w:rPr>
              <w:t>(3)</w:t>
            </w:r>
          </w:p>
        </w:tc>
      </w:tr>
      <w:tr w:rsidR="00B165E8" w:rsidRPr="00056885" w14:paraId="03FAD7DC" w14:textId="77777777" w:rsidTr="00F54F34">
        <w:trPr>
          <w:jc w:val="center"/>
        </w:trPr>
        <w:tc>
          <w:tcPr>
            <w:tcW w:w="4680" w:type="dxa"/>
          </w:tcPr>
          <w:p w14:paraId="04EEC35C" w14:textId="77777777" w:rsidR="00B165E8" w:rsidRPr="00056885" w:rsidRDefault="00B165E8" w:rsidP="00F54F34">
            <w:pPr>
              <w:spacing w:line="240" w:lineRule="auto"/>
              <w:jc w:val="center"/>
              <w:rPr>
                <w:rFonts w:ascii="Cambria Math" w:hAnsi="Cambria Math"/>
                <w:i/>
                <w:sz w:val="24"/>
                <w:szCs w:val="24"/>
              </w:rPr>
            </w:pPr>
          </w:p>
        </w:tc>
        <w:tc>
          <w:tcPr>
            <w:tcW w:w="4680" w:type="dxa"/>
          </w:tcPr>
          <w:p w14:paraId="56C94F7A" w14:textId="77777777" w:rsidR="00B165E8" w:rsidRPr="00056885" w:rsidRDefault="00B165E8" w:rsidP="00F54F34">
            <w:pPr>
              <w:spacing w:line="240" w:lineRule="auto"/>
              <w:jc w:val="right"/>
              <w:rPr>
                <w:rFonts w:ascii="Times New Roman" w:hAnsi="Times New Roman"/>
                <w:sz w:val="24"/>
                <w:szCs w:val="24"/>
              </w:rPr>
            </w:pPr>
          </w:p>
        </w:tc>
      </w:tr>
    </w:tbl>
    <w:p w14:paraId="04FA7C82" w14:textId="77777777" w:rsidR="00C242BB" w:rsidRPr="00056885" w:rsidRDefault="00C242BB" w:rsidP="00C242BB">
      <w:pPr>
        <w:ind w:firstLine="360"/>
        <w:rPr>
          <w:sz w:val="24"/>
          <w:szCs w:val="24"/>
        </w:rPr>
      </w:pPr>
      <w:r w:rsidRPr="00056885">
        <w:rPr>
          <w:rFonts w:ascii="Times New Roman" w:hAnsi="Times New Roman"/>
          <w:sz w:val="24"/>
          <w:szCs w:val="24"/>
        </w:rPr>
        <w:t>For a simplified LC resonant network, the nominal resonant frequency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C242BB" w:rsidRPr="00056885" w14:paraId="65E57C8C" w14:textId="77777777" w:rsidTr="00F54F34">
        <w:trPr>
          <w:jc w:val="center"/>
        </w:trPr>
        <w:tc>
          <w:tcPr>
            <w:tcW w:w="4680" w:type="dxa"/>
          </w:tcPr>
          <w:p w14:paraId="18873FF3" w14:textId="3508E01C" w:rsidR="00C242BB" w:rsidRPr="00056885" w:rsidRDefault="00C242BB" w:rsidP="00F54F34">
            <w:pPr>
              <w:spacing w:line="240" w:lineRule="auto"/>
              <w:jc w:val="center"/>
              <w:rPr>
                <w:sz w:val="24"/>
                <w:szCs w:val="24"/>
              </w:rPr>
            </w:pPr>
            <w:r w:rsidRPr="00056885">
              <w:rPr>
                <w:rFonts w:ascii="Cambria Math" w:hAnsi="Cambria Math"/>
                <w:i/>
                <w:sz w:val="24"/>
                <w:szCs w:val="24"/>
              </w:rPr>
              <w:t>f</w:t>
            </w:r>
            <w:r w:rsidRPr="00B165E8">
              <w:rPr>
                <w:rFonts w:ascii="Cambria Math" w:hAnsi="Cambria Math"/>
                <w:i/>
                <w:sz w:val="24"/>
                <w:szCs w:val="24"/>
                <w:vertAlign w:val="subscript"/>
              </w:rPr>
              <w:t>r</w:t>
            </w:r>
            <w:r w:rsidRPr="00056885">
              <w:rPr>
                <w:rFonts w:ascii="Cambria Math" w:hAnsi="Cambria Math"/>
                <w:i/>
                <w:sz w:val="24"/>
                <w:szCs w:val="24"/>
              </w:rPr>
              <w:t xml:space="preserve"> = 1 / (2π√</w:t>
            </w:r>
            <w:r w:rsidR="00B165E8">
              <w:rPr>
                <w:rFonts w:ascii="Cambria Math" w:hAnsi="Cambria Math"/>
                <w:i/>
                <w:sz w:val="24"/>
                <w:szCs w:val="24"/>
              </w:rPr>
              <w:t xml:space="preserve"> </w:t>
            </w:r>
            <w:r w:rsidRPr="00056885">
              <w:rPr>
                <w:rFonts w:ascii="Cambria Math" w:hAnsi="Cambria Math"/>
                <w:i/>
                <w:sz w:val="24"/>
                <w:szCs w:val="24"/>
              </w:rPr>
              <w:t>(L</w:t>
            </w:r>
            <w:r w:rsidRPr="00B165E8">
              <w:rPr>
                <w:rFonts w:ascii="Cambria Math" w:hAnsi="Cambria Math"/>
                <w:i/>
                <w:sz w:val="24"/>
                <w:szCs w:val="24"/>
                <w:vertAlign w:val="subscript"/>
              </w:rPr>
              <w:t>aux</w:t>
            </w:r>
            <w:r w:rsidRPr="00056885">
              <w:rPr>
                <w:rFonts w:ascii="Cambria Math" w:hAnsi="Cambria Math"/>
                <w:i/>
                <w:sz w:val="24"/>
                <w:szCs w:val="24"/>
              </w:rPr>
              <w:t xml:space="preserve"> C</w:t>
            </w:r>
            <w:r w:rsidRPr="00B165E8">
              <w:rPr>
                <w:rFonts w:ascii="Cambria Math" w:hAnsi="Cambria Math"/>
                <w:i/>
                <w:sz w:val="24"/>
                <w:szCs w:val="24"/>
                <w:vertAlign w:val="subscript"/>
              </w:rPr>
              <w:t>aux</w:t>
            </w:r>
            <w:r w:rsidRPr="00056885">
              <w:rPr>
                <w:rFonts w:ascii="Cambria Math" w:hAnsi="Cambria Math"/>
                <w:i/>
                <w:sz w:val="24"/>
                <w:szCs w:val="24"/>
              </w:rPr>
              <w:t>))</w:t>
            </w:r>
          </w:p>
        </w:tc>
        <w:tc>
          <w:tcPr>
            <w:tcW w:w="4680" w:type="dxa"/>
          </w:tcPr>
          <w:p w14:paraId="17AD1403" w14:textId="77777777" w:rsidR="00C242BB" w:rsidRPr="00056885" w:rsidRDefault="00C242BB" w:rsidP="00F54F34">
            <w:pPr>
              <w:spacing w:line="240" w:lineRule="auto"/>
              <w:jc w:val="right"/>
              <w:rPr>
                <w:sz w:val="24"/>
                <w:szCs w:val="24"/>
              </w:rPr>
            </w:pPr>
            <w:r w:rsidRPr="00056885">
              <w:rPr>
                <w:rFonts w:ascii="Times New Roman" w:hAnsi="Times New Roman"/>
                <w:sz w:val="24"/>
                <w:szCs w:val="24"/>
              </w:rPr>
              <w:t>(4)</w:t>
            </w:r>
          </w:p>
        </w:tc>
      </w:tr>
      <w:tr w:rsidR="00B165E8" w:rsidRPr="00056885" w14:paraId="3A5CD0AB" w14:textId="77777777" w:rsidTr="00F54F34">
        <w:trPr>
          <w:jc w:val="center"/>
        </w:trPr>
        <w:tc>
          <w:tcPr>
            <w:tcW w:w="4680" w:type="dxa"/>
          </w:tcPr>
          <w:p w14:paraId="7421B4B3" w14:textId="77777777" w:rsidR="00B165E8" w:rsidRPr="00056885" w:rsidRDefault="00B165E8" w:rsidP="00F54F34">
            <w:pPr>
              <w:spacing w:line="240" w:lineRule="auto"/>
              <w:jc w:val="center"/>
              <w:rPr>
                <w:rFonts w:ascii="Cambria Math" w:hAnsi="Cambria Math"/>
                <w:i/>
                <w:sz w:val="24"/>
                <w:szCs w:val="24"/>
              </w:rPr>
            </w:pPr>
          </w:p>
        </w:tc>
        <w:tc>
          <w:tcPr>
            <w:tcW w:w="4680" w:type="dxa"/>
          </w:tcPr>
          <w:p w14:paraId="4C1E1D74" w14:textId="77777777" w:rsidR="00B165E8" w:rsidRPr="00056885" w:rsidRDefault="00B165E8" w:rsidP="00F54F34">
            <w:pPr>
              <w:spacing w:line="240" w:lineRule="auto"/>
              <w:jc w:val="right"/>
              <w:rPr>
                <w:rFonts w:ascii="Times New Roman" w:hAnsi="Times New Roman"/>
                <w:sz w:val="24"/>
                <w:szCs w:val="24"/>
              </w:rPr>
            </w:pPr>
          </w:p>
        </w:tc>
      </w:tr>
    </w:tbl>
    <w:p w14:paraId="63EE103C" w14:textId="46A12051" w:rsidR="001C4EB3" w:rsidRDefault="00C242BB" w:rsidP="00B165E8">
      <w:pPr>
        <w:ind w:firstLine="360"/>
        <w:jc w:val="both"/>
        <w:rPr>
          <w:rFonts w:ascii="Times New Roman" w:hAnsi="Times New Roman"/>
          <w:sz w:val="24"/>
          <w:szCs w:val="24"/>
        </w:rPr>
      </w:pPr>
      <w:r w:rsidRPr="00056885">
        <w:rPr>
          <w:rFonts w:ascii="Times New Roman" w:hAnsi="Times New Roman"/>
          <w:sz w:val="24"/>
          <w:szCs w:val="24"/>
        </w:rPr>
        <w:t>where L</w:t>
      </w:r>
      <w:r w:rsidRPr="00B165E8">
        <w:rPr>
          <w:rFonts w:ascii="Times New Roman" w:hAnsi="Times New Roman"/>
          <w:sz w:val="24"/>
          <w:szCs w:val="24"/>
          <w:vertAlign w:val="subscript"/>
        </w:rPr>
        <w:t>aux</w:t>
      </w:r>
      <w:r w:rsidRPr="00056885">
        <w:rPr>
          <w:rFonts w:ascii="Times New Roman" w:hAnsi="Times New Roman"/>
          <w:sz w:val="24"/>
          <w:szCs w:val="24"/>
        </w:rPr>
        <w:t xml:space="preserve"> and C</w:t>
      </w:r>
      <w:r w:rsidRPr="00B165E8">
        <w:rPr>
          <w:rFonts w:ascii="Times New Roman" w:hAnsi="Times New Roman"/>
          <w:sz w:val="24"/>
          <w:szCs w:val="24"/>
          <w:vertAlign w:val="subscript"/>
        </w:rPr>
        <w:t>aux</w:t>
      </w:r>
      <w:r w:rsidRPr="00056885">
        <w:rPr>
          <w:rFonts w:ascii="Times New Roman" w:hAnsi="Times New Roman"/>
          <w:sz w:val="24"/>
          <w:szCs w:val="24"/>
        </w:rPr>
        <w:t xml:space="preserve"> are selected so that the resonance is close to the targeted switching-frequency component. The resulting high-frequency current is subsequently rectified to obtain a DC auxiliary output.</w:t>
      </w:r>
    </w:p>
    <w:p w14:paraId="01470821" w14:textId="77777777" w:rsidR="00B165E8" w:rsidRPr="00056885" w:rsidRDefault="00B165E8" w:rsidP="00DB4326">
      <w:pPr>
        <w:jc w:val="both"/>
        <w:rPr>
          <w:sz w:val="24"/>
          <w:szCs w:val="24"/>
        </w:rPr>
      </w:pPr>
    </w:p>
    <w:p w14:paraId="36B452A8" w14:textId="0A69DF06" w:rsidR="00795AFD" w:rsidRPr="00795AFD" w:rsidRDefault="00C242BB" w:rsidP="00C242BB">
      <w:pPr>
        <w:rPr>
          <w:rFonts w:ascii="Times New Roman" w:hAnsi="Times New Roman"/>
          <w:b/>
          <w:bCs/>
          <w:smallCaps/>
          <w:sz w:val="24"/>
          <w:szCs w:val="24"/>
        </w:rPr>
      </w:pPr>
      <w:r w:rsidRPr="00795AFD">
        <w:rPr>
          <w:rFonts w:ascii="Times New Roman" w:hAnsi="Times New Roman"/>
          <w:b/>
          <w:bCs/>
          <w:smallCaps/>
          <w:sz w:val="24"/>
          <w:szCs w:val="24"/>
        </w:rPr>
        <w:t xml:space="preserve">MODULATION-BASED AUXILIARY POWER CONTROL </w:t>
      </w:r>
    </w:p>
    <w:p w14:paraId="35E86732" w14:textId="2E81F145" w:rsidR="00795AFD" w:rsidRPr="00795AFD" w:rsidRDefault="00795AFD" w:rsidP="00C242BB">
      <w:pPr>
        <w:rPr>
          <w:rFonts w:ascii="Times New Roman" w:hAnsi="Times New Roman"/>
          <w:b/>
          <w:bCs/>
          <w:smallCaps/>
          <w:sz w:val="28"/>
          <w:szCs w:val="28"/>
        </w:rPr>
      </w:pPr>
      <w:r>
        <w:rPr>
          <w:rFonts w:ascii="Times New Roman" w:hAnsi="Times New Roman"/>
          <w:sz w:val="24"/>
          <w:szCs w:val="24"/>
        </w:rPr>
        <w:t xml:space="preserve">This section will be added to the final version. </w:t>
      </w:r>
    </w:p>
    <w:p w14:paraId="030E2772" w14:textId="506563B4" w:rsidR="00795AFD" w:rsidRPr="00795AFD" w:rsidRDefault="00C242BB" w:rsidP="00795AFD">
      <w:pPr>
        <w:rPr>
          <w:rFonts w:ascii="Times New Roman" w:hAnsi="Times New Roman"/>
          <w:b/>
          <w:bCs/>
          <w:smallCaps/>
          <w:sz w:val="24"/>
          <w:szCs w:val="24"/>
        </w:rPr>
      </w:pPr>
      <w:r w:rsidRPr="00795AFD">
        <w:rPr>
          <w:rFonts w:ascii="Times New Roman" w:hAnsi="Times New Roman"/>
          <w:b/>
          <w:bCs/>
          <w:smallCaps/>
          <w:sz w:val="24"/>
          <w:szCs w:val="24"/>
        </w:rPr>
        <w:t>RESONANT AUXILIARY POWER EXTRACTION AND DRIVE INTERACTION</w:t>
      </w:r>
    </w:p>
    <w:p w14:paraId="7174D45A" w14:textId="5C429644" w:rsidR="00795AFD" w:rsidRPr="00795AFD" w:rsidRDefault="00795AFD" w:rsidP="00795AFD">
      <w:pPr>
        <w:rPr>
          <w:rFonts w:ascii="Times New Roman" w:hAnsi="Times New Roman"/>
          <w:b/>
          <w:bCs/>
          <w:smallCaps/>
          <w:sz w:val="28"/>
          <w:szCs w:val="28"/>
        </w:rPr>
      </w:pPr>
      <w:r>
        <w:rPr>
          <w:rFonts w:ascii="Times New Roman" w:hAnsi="Times New Roman"/>
          <w:sz w:val="24"/>
          <w:szCs w:val="24"/>
        </w:rPr>
        <w:t xml:space="preserve">This section will be added </w:t>
      </w:r>
      <w:r>
        <w:rPr>
          <w:rFonts w:ascii="Times New Roman" w:hAnsi="Times New Roman"/>
          <w:sz w:val="24"/>
          <w:szCs w:val="24"/>
        </w:rPr>
        <w:t>to</w:t>
      </w:r>
      <w:r>
        <w:rPr>
          <w:rFonts w:ascii="Times New Roman" w:hAnsi="Times New Roman"/>
          <w:sz w:val="24"/>
          <w:szCs w:val="24"/>
        </w:rPr>
        <w:t xml:space="preserve"> the final version. </w:t>
      </w:r>
    </w:p>
    <w:p w14:paraId="241FF00F" w14:textId="5CAED637" w:rsidR="00C242BB" w:rsidRPr="00795AFD" w:rsidRDefault="00795AFD" w:rsidP="001C4EB3">
      <w:pPr>
        <w:rPr>
          <w:rFonts w:ascii="Times New Roman" w:hAnsi="Times New Roman"/>
          <w:b/>
          <w:bCs/>
          <w:smallCaps/>
          <w:sz w:val="24"/>
          <w:szCs w:val="24"/>
        </w:rPr>
      </w:pPr>
      <w:r w:rsidRPr="00795AFD">
        <w:rPr>
          <w:rFonts w:ascii="Times New Roman" w:hAnsi="Times New Roman"/>
          <w:b/>
          <w:bCs/>
          <w:smallCaps/>
          <w:sz w:val="24"/>
          <w:szCs w:val="24"/>
        </w:rPr>
        <w:t>S</w:t>
      </w:r>
      <w:r w:rsidRPr="00795AFD">
        <w:rPr>
          <w:rFonts w:ascii="Times New Roman" w:hAnsi="Times New Roman"/>
          <w:b/>
          <w:bCs/>
          <w:smallCaps/>
          <w:sz w:val="24"/>
          <w:szCs w:val="24"/>
        </w:rPr>
        <w:t>YSTEM DESIGN AND RESULTS</w:t>
      </w:r>
    </w:p>
    <w:p w14:paraId="0B445381" w14:textId="7EE45D7C" w:rsidR="00795AFD" w:rsidRPr="00795AFD" w:rsidRDefault="00795AFD" w:rsidP="001C4EB3">
      <w:pPr>
        <w:rPr>
          <w:rFonts w:ascii="Times New Roman" w:hAnsi="Times New Roman"/>
          <w:b/>
          <w:bCs/>
          <w:smallCaps/>
          <w:sz w:val="28"/>
          <w:szCs w:val="28"/>
        </w:rPr>
      </w:pPr>
      <w:r>
        <w:rPr>
          <w:rFonts w:ascii="Times New Roman" w:hAnsi="Times New Roman"/>
          <w:sz w:val="24"/>
          <w:szCs w:val="24"/>
        </w:rPr>
        <w:t xml:space="preserve">This section will be added </w:t>
      </w:r>
      <w:r>
        <w:rPr>
          <w:rFonts w:ascii="Times New Roman" w:hAnsi="Times New Roman"/>
          <w:sz w:val="24"/>
          <w:szCs w:val="24"/>
        </w:rPr>
        <w:t>to</w:t>
      </w:r>
      <w:r>
        <w:rPr>
          <w:rFonts w:ascii="Times New Roman" w:hAnsi="Times New Roman"/>
          <w:sz w:val="24"/>
          <w:szCs w:val="24"/>
        </w:rPr>
        <w:t xml:space="preserve"> the final version. </w:t>
      </w:r>
    </w:p>
    <w:p w14:paraId="41AF43F0" w14:textId="77777777" w:rsidR="001C4EB3" w:rsidRPr="00C242BB" w:rsidRDefault="00EC2257" w:rsidP="001C4EB3">
      <w:pPr>
        <w:rPr>
          <w:rFonts w:ascii="Times New Roman" w:hAnsi="Times New Roman"/>
          <w:b/>
          <w:bCs/>
          <w:smallCaps/>
          <w:sz w:val="28"/>
          <w:szCs w:val="28"/>
        </w:rPr>
      </w:pPr>
      <w:r w:rsidRPr="00C242BB">
        <w:rPr>
          <w:rFonts w:ascii="Times New Roman" w:hAnsi="Times New Roman"/>
          <w:b/>
          <w:bCs/>
          <w:smallCaps/>
          <w:sz w:val="28"/>
          <w:szCs w:val="28"/>
        </w:rPr>
        <w:t>Conclusions and Future Work</w:t>
      </w:r>
    </w:p>
    <w:p w14:paraId="7C13C2F5" w14:textId="18DC275B" w:rsidR="00C04409" w:rsidRDefault="00C242BB" w:rsidP="00795AFD">
      <w:pPr>
        <w:jc w:val="both"/>
        <w:rPr>
          <w:rFonts w:ascii="Times New Roman" w:hAnsi="Times New Roman"/>
          <w:sz w:val="24"/>
          <w:szCs w:val="24"/>
        </w:rPr>
      </w:pPr>
      <w:r w:rsidRPr="00C242BB">
        <w:rPr>
          <w:rFonts w:ascii="Times New Roman" w:hAnsi="Times New Roman"/>
          <w:sz w:val="24"/>
          <w:szCs w:val="24"/>
        </w:rPr>
        <w:t>This paper proposes an integrated auxiliary power supply for an open-end winding traction drive using modulation-controlled switching-frequency excitation. The two traction inverters synthesize the required fundamental machine voltage</w:t>
      </w:r>
      <w:r w:rsidR="00DB0225">
        <w:rPr>
          <w:rFonts w:ascii="Times New Roman" w:hAnsi="Times New Roman"/>
          <w:sz w:val="24"/>
          <w:szCs w:val="24"/>
        </w:rPr>
        <w:t>,</w:t>
      </w:r>
      <w:r w:rsidRPr="00C242BB">
        <w:rPr>
          <w:rFonts w:ascii="Times New Roman" w:hAnsi="Times New Roman"/>
          <w:sz w:val="24"/>
          <w:szCs w:val="24"/>
        </w:rPr>
        <w:t xml:space="preserve"> while their </w:t>
      </w:r>
      <w:r w:rsidR="00E754A4">
        <w:rPr>
          <w:rFonts w:ascii="Times New Roman" w:hAnsi="Times New Roman"/>
          <w:sz w:val="24"/>
          <w:szCs w:val="24"/>
        </w:rPr>
        <w:t xml:space="preserve">carrier phase shift between them </w:t>
      </w:r>
      <w:r w:rsidRPr="00C242BB">
        <w:rPr>
          <w:rFonts w:ascii="Times New Roman" w:hAnsi="Times New Roman"/>
          <w:sz w:val="24"/>
          <w:szCs w:val="24"/>
        </w:rPr>
        <w:t>is used to control the high-frequency differential voltage across the</w:t>
      </w:r>
      <w:r w:rsidR="00E754A4">
        <w:rPr>
          <w:rFonts w:ascii="Times New Roman" w:hAnsi="Times New Roman"/>
          <w:sz w:val="24"/>
          <w:szCs w:val="24"/>
        </w:rPr>
        <w:t xml:space="preserve"> </w:t>
      </w:r>
      <w:r w:rsidRPr="00C242BB">
        <w:rPr>
          <w:rFonts w:ascii="Times New Roman" w:hAnsi="Times New Roman"/>
          <w:sz w:val="24"/>
          <w:szCs w:val="24"/>
        </w:rPr>
        <w:t>winding. A parallel resonant branch selectively extracts this high-frequency power</w:t>
      </w:r>
      <w:r w:rsidR="00DB0225">
        <w:rPr>
          <w:rFonts w:ascii="Times New Roman" w:hAnsi="Times New Roman"/>
          <w:sz w:val="24"/>
          <w:szCs w:val="24"/>
        </w:rPr>
        <w:t>,</w:t>
      </w:r>
      <w:r w:rsidRPr="00C242BB">
        <w:rPr>
          <w:rFonts w:ascii="Times New Roman" w:hAnsi="Times New Roman"/>
          <w:sz w:val="24"/>
          <w:szCs w:val="24"/>
        </w:rPr>
        <w:t xml:space="preserve"> and a rectifier converts it to a DC auxiliary supply.</w:t>
      </w:r>
      <w:r w:rsidR="00E754A4">
        <w:rPr>
          <w:rFonts w:ascii="Times New Roman" w:hAnsi="Times New Roman"/>
          <w:sz w:val="24"/>
          <w:szCs w:val="24"/>
        </w:rPr>
        <w:t xml:space="preserve"> </w:t>
      </w:r>
      <w:r w:rsidRPr="00C242BB">
        <w:rPr>
          <w:rFonts w:ascii="Times New Roman" w:hAnsi="Times New Roman"/>
          <w:sz w:val="24"/>
          <w:szCs w:val="24"/>
        </w:rPr>
        <w:t xml:space="preserve">Compared with </w:t>
      </w:r>
      <w:proofErr w:type="gramStart"/>
      <w:r w:rsidRPr="00C242BB">
        <w:rPr>
          <w:rFonts w:ascii="Times New Roman" w:hAnsi="Times New Roman"/>
          <w:sz w:val="24"/>
          <w:szCs w:val="24"/>
        </w:rPr>
        <w:t>a conventional</w:t>
      </w:r>
      <w:proofErr w:type="gramEnd"/>
      <w:r w:rsidRPr="00C242BB">
        <w:rPr>
          <w:rFonts w:ascii="Times New Roman" w:hAnsi="Times New Roman"/>
          <w:sz w:val="24"/>
          <w:szCs w:val="24"/>
        </w:rPr>
        <w:t xml:space="preserve"> EV architecture, the proposed approach uses the existing traction switching stage as part of the auxiliary power-conversion process, potentially reducing dedicated semiconductor hardware and converter volume.</w:t>
      </w:r>
      <w:r w:rsidR="00C04409">
        <w:rPr>
          <w:rFonts w:ascii="Times New Roman" w:hAnsi="Times New Roman"/>
          <w:sz w:val="24"/>
          <w:szCs w:val="24"/>
        </w:rPr>
        <w:t xml:space="preserve"> </w:t>
      </w:r>
    </w:p>
    <w:p w14:paraId="2D55B810" w14:textId="49E5484E" w:rsidR="001C4EB3" w:rsidRPr="00C04409" w:rsidRDefault="00C242BB" w:rsidP="00795AFD">
      <w:pPr>
        <w:jc w:val="both"/>
        <w:rPr>
          <w:rFonts w:ascii="Times New Roman" w:hAnsi="Times New Roman"/>
          <w:sz w:val="24"/>
          <w:szCs w:val="24"/>
        </w:rPr>
      </w:pPr>
      <w:r w:rsidRPr="00C242BB">
        <w:rPr>
          <w:rFonts w:ascii="Times New Roman" w:hAnsi="Times New Roman"/>
          <w:sz w:val="24"/>
          <w:szCs w:val="24"/>
        </w:rPr>
        <w:t xml:space="preserve">Future work will quantify auxiliary power capability, resonant-network stresses, additional losses, and operating-point dependence, followed by </w:t>
      </w:r>
      <w:r w:rsidR="00E754A4">
        <w:rPr>
          <w:rFonts w:ascii="Times New Roman" w:hAnsi="Times New Roman"/>
          <w:sz w:val="24"/>
          <w:szCs w:val="24"/>
        </w:rPr>
        <w:t>experimental</w:t>
      </w:r>
      <w:r>
        <w:rPr>
          <w:rFonts w:ascii="Times New Roman" w:hAnsi="Times New Roman"/>
          <w:sz w:val="24"/>
          <w:szCs w:val="24"/>
        </w:rPr>
        <w:t xml:space="preserve"> </w:t>
      </w:r>
      <w:r w:rsidRPr="00C242BB">
        <w:rPr>
          <w:rFonts w:ascii="Times New Roman" w:hAnsi="Times New Roman"/>
          <w:sz w:val="24"/>
          <w:szCs w:val="24"/>
        </w:rPr>
        <w:t>validation.</w:t>
      </w:r>
      <w:r w:rsidR="00C857FA">
        <w:rPr>
          <w:rFonts w:ascii="Times New Roman" w:hAnsi="Times New Roman"/>
          <w:sz w:val="24"/>
          <w:szCs w:val="24"/>
        </w:rPr>
        <w:br w:type="page"/>
      </w:r>
      <w:r w:rsidR="00EC2257" w:rsidRPr="00EC2257">
        <w:rPr>
          <w:rFonts w:ascii="Times New Roman" w:hAnsi="Times New Roman"/>
          <w:smallCaps/>
          <w:sz w:val="28"/>
          <w:szCs w:val="28"/>
        </w:rPr>
        <w:lastRenderedPageBreak/>
        <w:t>References</w:t>
      </w:r>
    </w:p>
    <w:p w14:paraId="1BF73522" w14:textId="09E30F0C" w:rsidR="00C007FA" w:rsidRDefault="001C4EB3" w:rsidP="00C007FA">
      <w:pPr>
        <w:spacing w:line="240" w:lineRule="auto"/>
        <w:ind w:left="720" w:hanging="720"/>
        <w:jc w:val="both"/>
        <w:rPr>
          <w:rFonts w:ascii="Times New Roman" w:hAnsi="Times New Roman"/>
          <w:sz w:val="24"/>
          <w:szCs w:val="24"/>
        </w:rPr>
      </w:pPr>
      <w:r w:rsidRPr="00E9397B">
        <w:rPr>
          <w:rFonts w:ascii="Times New Roman" w:hAnsi="Times New Roman"/>
          <w:sz w:val="24"/>
          <w:szCs w:val="24"/>
        </w:rPr>
        <w:t>[1]</w:t>
      </w:r>
      <w:r w:rsidRPr="00E9397B">
        <w:rPr>
          <w:rFonts w:ascii="Times New Roman" w:hAnsi="Times New Roman"/>
          <w:sz w:val="24"/>
          <w:szCs w:val="24"/>
        </w:rPr>
        <w:tab/>
      </w:r>
      <w:r w:rsidR="00C007FA" w:rsidRPr="00C007FA">
        <w:rPr>
          <w:rFonts w:ascii="Times New Roman" w:hAnsi="Times New Roman"/>
          <w:sz w:val="24"/>
          <w:szCs w:val="24"/>
        </w:rPr>
        <w:t>Kotb, R.; Chakraborty, S.; Tran, D.-D.; Abramushkina, E.; El Baghdadi, M.; Hegazy, O. Power Electronics Converters for Electric Vehicle Auxiliaries: State of the Art and Future Trends. </w:t>
      </w:r>
      <w:r w:rsidR="00C007FA" w:rsidRPr="00C007FA">
        <w:rPr>
          <w:rFonts w:ascii="Times New Roman" w:hAnsi="Times New Roman"/>
          <w:i/>
          <w:iCs/>
          <w:sz w:val="24"/>
          <w:szCs w:val="24"/>
        </w:rPr>
        <w:t>Energies</w:t>
      </w:r>
      <w:r w:rsidR="00C007FA" w:rsidRPr="00C007FA">
        <w:rPr>
          <w:rFonts w:ascii="Times New Roman" w:hAnsi="Times New Roman"/>
          <w:sz w:val="24"/>
          <w:szCs w:val="24"/>
        </w:rPr>
        <w:t> </w:t>
      </w:r>
      <w:r w:rsidR="00C007FA" w:rsidRPr="00C007FA">
        <w:rPr>
          <w:rFonts w:ascii="Times New Roman" w:hAnsi="Times New Roman"/>
          <w:b/>
          <w:bCs/>
          <w:sz w:val="24"/>
          <w:szCs w:val="24"/>
        </w:rPr>
        <w:t>2023</w:t>
      </w:r>
      <w:r w:rsidR="00C007FA" w:rsidRPr="00C007FA">
        <w:rPr>
          <w:rFonts w:ascii="Times New Roman" w:hAnsi="Times New Roman"/>
          <w:sz w:val="24"/>
          <w:szCs w:val="24"/>
        </w:rPr>
        <w:t>, </w:t>
      </w:r>
      <w:r w:rsidR="00C007FA" w:rsidRPr="00C007FA">
        <w:rPr>
          <w:rFonts w:ascii="Times New Roman" w:hAnsi="Times New Roman"/>
          <w:i/>
          <w:iCs/>
          <w:sz w:val="24"/>
          <w:szCs w:val="24"/>
        </w:rPr>
        <w:t>16</w:t>
      </w:r>
      <w:r w:rsidR="00C007FA" w:rsidRPr="00C007FA">
        <w:rPr>
          <w:rFonts w:ascii="Times New Roman" w:hAnsi="Times New Roman"/>
          <w:sz w:val="24"/>
          <w:szCs w:val="24"/>
        </w:rPr>
        <w:t xml:space="preserve">, 1753. </w:t>
      </w:r>
      <w:hyperlink r:id="rId5" w:history="1">
        <w:r w:rsidR="00C007FA" w:rsidRPr="00F4491F">
          <w:rPr>
            <w:rStyle w:val="Hyperlink"/>
            <w:rFonts w:ascii="Times New Roman" w:hAnsi="Times New Roman"/>
            <w:sz w:val="24"/>
            <w:szCs w:val="24"/>
          </w:rPr>
          <w:t>https://doi.org/10.3390/en16041753</w:t>
        </w:r>
      </w:hyperlink>
    </w:p>
    <w:p w14:paraId="63010ED7" w14:textId="77777777" w:rsidR="00C007FA" w:rsidRPr="00E9397B" w:rsidRDefault="00C007FA" w:rsidP="00C007FA">
      <w:pPr>
        <w:spacing w:line="240" w:lineRule="auto"/>
        <w:ind w:left="720" w:hanging="720"/>
        <w:jc w:val="both"/>
        <w:rPr>
          <w:rFonts w:ascii="Times New Roman" w:hAnsi="Times New Roman"/>
          <w:sz w:val="24"/>
          <w:szCs w:val="24"/>
        </w:rPr>
      </w:pPr>
    </w:p>
    <w:p w14:paraId="3F69B47E" w14:textId="3E4CDB15" w:rsidR="001C4EB3" w:rsidRDefault="001C4EB3" w:rsidP="00C007FA">
      <w:pPr>
        <w:spacing w:line="240" w:lineRule="auto"/>
        <w:ind w:left="720" w:hanging="720"/>
        <w:jc w:val="both"/>
        <w:rPr>
          <w:rFonts w:ascii="Times New Roman" w:hAnsi="Times New Roman"/>
          <w:sz w:val="24"/>
          <w:szCs w:val="24"/>
        </w:rPr>
      </w:pPr>
      <w:r w:rsidRPr="00E9397B">
        <w:rPr>
          <w:rFonts w:ascii="Times New Roman" w:hAnsi="Times New Roman"/>
          <w:sz w:val="24"/>
          <w:szCs w:val="24"/>
        </w:rPr>
        <w:t>[2]</w:t>
      </w:r>
      <w:r w:rsidRPr="00E9397B">
        <w:rPr>
          <w:rFonts w:ascii="Times New Roman" w:hAnsi="Times New Roman"/>
          <w:sz w:val="24"/>
          <w:szCs w:val="24"/>
        </w:rPr>
        <w:tab/>
      </w:r>
      <w:r w:rsidR="00C007FA" w:rsidRPr="00C007FA">
        <w:rPr>
          <w:rFonts w:ascii="Times New Roman" w:hAnsi="Times New Roman"/>
          <w:sz w:val="24"/>
          <w:szCs w:val="24"/>
        </w:rPr>
        <w:t>Tu, CC., Hung, CL., Hong, KB. </w:t>
      </w:r>
      <w:r w:rsidR="00C007FA" w:rsidRPr="00C007FA">
        <w:rPr>
          <w:rFonts w:ascii="Times New Roman" w:hAnsi="Times New Roman"/>
          <w:i/>
          <w:iCs/>
          <w:sz w:val="24"/>
          <w:szCs w:val="24"/>
        </w:rPr>
        <w:t>et al.</w:t>
      </w:r>
      <w:r w:rsidR="00C007FA" w:rsidRPr="00C007FA">
        <w:rPr>
          <w:rFonts w:ascii="Times New Roman" w:hAnsi="Times New Roman"/>
          <w:sz w:val="24"/>
          <w:szCs w:val="24"/>
        </w:rPr>
        <w:t> Industry perspective on power electronics for electric vehicles. </w:t>
      </w:r>
      <w:r w:rsidR="00C007FA" w:rsidRPr="00C007FA">
        <w:rPr>
          <w:rFonts w:ascii="Times New Roman" w:hAnsi="Times New Roman"/>
          <w:i/>
          <w:iCs/>
          <w:sz w:val="24"/>
          <w:szCs w:val="24"/>
        </w:rPr>
        <w:t>Nat Rev Electr Eng</w:t>
      </w:r>
      <w:r w:rsidR="00C007FA" w:rsidRPr="00C007FA">
        <w:rPr>
          <w:rFonts w:ascii="Times New Roman" w:hAnsi="Times New Roman"/>
          <w:sz w:val="24"/>
          <w:szCs w:val="24"/>
        </w:rPr>
        <w:t> </w:t>
      </w:r>
      <w:r w:rsidR="00C007FA" w:rsidRPr="00C007FA">
        <w:rPr>
          <w:rFonts w:ascii="Times New Roman" w:hAnsi="Times New Roman"/>
          <w:b/>
          <w:bCs/>
          <w:sz w:val="24"/>
          <w:szCs w:val="24"/>
        </w:rPr>
        <w:t>1</w:t>
      </w:r>
      <w:r w:rsidR="00C007FA" w:rsidRPr="00C007FA">
        <w:rPr>
          <w:rFonts w:ascii="Times New Roman" w:hAnsi="Times New Roman"/>
          <w:sz w:val="24"/>
          <w:szCs w:val="24"/>
        </w:rPr>
        <w:t xml:space="preserve">, 435–452 (2024). </w:t>
      </w:r>
      <w:hyperlink r:id="rId6" w:history="1">
        <w:r w:rsidR="00C007FA" w:rsidRPr="00F4491F">
          <w:rPr>
            <w:rStyle w:val="Hyperlink"/>
            <w:rFonts w:ascii="Times New Roman" w:hAnsi="Times New Roman"/>
            <w:sz w:val="24"/>
            <w:szCs w:val="24"/>
          </w:rPr>
          <w:t>https://doi.org/10.1038/s44287-024-00055-4</w:t>
        </w:r>
      </w:hyperlink>
    </w:p>
    <w:p w14:paraId="7540EF23" w14:textId="77777777" w:rsidR="00C007FA" w:rsidRPr="00E9397B" w:rsidRDefault="00C007FA" w:rsidP="00C007FA">
      <w:pPr>
        <w:spacing w:line="240" w:lineRule="auto"/>
        <w:ind w:left="720" w:hanging="720"/>
        <w:jc w:val="both"/>
        <w:rPr>
          <w:rFonts w:ascii="Times New Roman" w:hAnsi="Times New Roman"/>
          <w:sz w:val="24"/>
          <w:szCs w:val="24"/>
        </w:rPr>
      </w:pPr>
    </w:p>
    <w:p w14:paraId="553E1665" w14:textId="5D1090E0" w:rsidR="001C4EB3" w:rsidRDefault="001C4EB3" w:rsidP="00C007FA">
      <w:pPr>
        <w:spacing w:line="240" w:lineRule="auto"/>
        <w:ind w:left="720" w:hanging="720"/>
        <w:jc w:val="both"/>
        <w:rPr>
          <w:rFonts w:ascii="Times New Roman" w:hAnsi="Times New Roman"/>
          <w:sz w:val="24"/>
          <w:szCs w:val="24"/>
        </w:rPr>
      </w:pPr>
      <w:r w:rsidRPr="00E9397B">
        <w:rPr>
          <w:rFonts w:ascii="Times New Roman" w:hAnsi="Times New Roman"/>
          <w:sz w:val="24"/>
          <w:szCs w:val="24"/>
        </w:rPr>
        <w:t>[3]</w:t>
      </w:r>
      <w:r w:rsidRPr="00E9397B">
        <w:rPr>
          <w:rFonts w:ascii="Times New Roman" w:hAnsi="Times New Roman"/>
          <w:sz w:val="24"/>
          <w:szCs w:val="24"/>
        </w:rPr>
        <w:tab/>
      </w:r>
      <w:r w:rsidR="00C007FA" w:rsidRPr="00C007FA">
        <w:rPr>
          <w:rFonts w:ascii="Times New Roman" w:hAnsi="Times New Roman"/>
          <w:sz w:val="24"/>
          <w:szCs w:val="24"/>
        </w:rPr>
        <w:t>S. Mukherjee, V. Sujan, S. Chowdhury and O. Onar, "Multiport Converter based Auxiliary Power Supply for Heavy Duty Fuel Cell Power Train," 2024 IEEE Transportation Electrification Conference and Expo (ITEC), Chicago, IL, USA, 2024, pp. 1-6, doi: 10.1109/ITEC60657.2024.10598972</w:t>
      </w:r>
    </w:p>
    <w:p w14:paraId="1C38F23D" w14:textId="77777777" w:rsidR="00C007FA" w:rsidRDefault="00C007FA" w:rsidP="00C007FA">
      <w:pPr>
        <w:spacing w:line="240" w:lineRule="auto"/>
        <w:ind w:left="720" w:hanging="720"/>
        <w:jc w:val="both"/>
        <w:rPr>
          <w:rFonts w:ascii="Times New Roman" w:hAnsi="Times New Roman"/>
          <w:sz w:val="24"/>
          <w:szCs w:val="24"/>
        </w:rPr>
      </w:pPr>
    </w:p>
    <w:p w14:paraId="5BAB8B27" w14:textId="0E532BB8" w:rsidR="00C007FA" w:rsidRDefault="00C007FA" w:rsidP="00C007FA">
      <w:pPr>
        <w:spacing w:line="240" w:lineRule="auto"/>
        <w:ind w:left="720" w:hanging="720"/>
        <w:jc w:val="both"/>
        <w:rPr>
          <w:rFonts w:ascii="Times New Roman" w:hAnsi="Times New Roman"/>
          <w:sz w:val="24"/>
          <w:szCs w:val="24"/>
        </w:rPr>
      </w:pPr>
      <w:r w:rsidRPr="00E9397B">
        <w:rPr>
          <w:rFonts w:ascii="Times New Roman" w:hAnsi="Times New Roman"/>
          <w:sz w:val="24"/>
          <w:szCs w:val="24"/>
        </w:rPr>
        <w:t>[</w:t>
      </w:r>
      <w:r>
        <w:rPr>
          <w:rFonts w:ascii="Times New Roman" w:hAnsi="Times New Roman"/>
          <w:sz w:val="24"/>
          <w:szCs w:val="24"/>
        </w:rPr>
        <w:t>4</w:t>
      </w:r>
      <w:r w:rsidRPr="00E9397B">
        <w:rPr>
          <w:rFonts w:ascii="Times New Roman" w:hAnsi="Times New Roman"/>
          <w:sz w:val="24"/>
          <w:szCs w:val="24"/>
        </w:rPr>
        <w:t>]</w:t>
      </w:r>
      <w:r w:rsidRPr="00E9397B">
        <w:rPr>
          <w:rFonts w:ascii="Times New Roman" w:hAnsi="Times New Roman"/>
          <w:sz w:val="24"/>
          <w:szCs w:val="24"/>
        </w:rPr>
        <w:tab/>
      </w:r>
      <w:r w:rsidRPr="00C007FA">
        <w:rPr>
          <w:rFonts w:ascii="Times New Roman" w:hAnsi="Times New Roman"/>
          <w:sz w:val="24"/>
          <w:szCs w:val="24"/>
        </w:rPr>
        <w:t>I. Subotic, N. Bodo, E. Levi and M. Jones, "Onboard Integrated Battery Charger for EVs Using an Asymmetrical Nine-Phase Machine," in IEEE Transactions on Industrial Electronics, vol. 62, no. 5, pp. 3285-3295, May 2015, doi: 10.1109/TIE.2014.2345341.</w:t>
      </w:r>
    </w:p>
    <w:p w14:paraId="67EAC571" w14:textId="77777777" w:rsidR="00D31FF0" w:rsidRDefault="00D31FF0" w:rsidP="00C007FA">
      <w:pPr>
        <w:spacing w:line="240" w:lineRule="auto"/>
        <w:ind w:left="720" w:hanging="720"/>
        <w:jc w:val="both"/>
        <w:rPr>
          <w:rFonts w:ascii="Times New Roman" w:hAnsi="Times New Roman"/>
          <w:sz w:val="24"/>
          <w:szCs w:val="24"/>
        </w:rPr>
      </w:pPr>
    </w:p>
    <w:p w14:paraId="6C8E9EA8" w14:textId="37A50866" w:rsidR="00D31FF0" w:rsidRDefault="00D31FF0" w:rsidP="00D31FF0">
      <w:pPr>
        <w:spacing w:line="240" w:lineRule="auto"/>
        <w:ind w:left="720" w:hanging="720"/>
        <w:jc w:val="both"/>
        <w:rPr>
          <w:rFonts w:ascii="Times New Roman" w:hAnsi="Times New Roman"/>
          <w:sz w:val="24"/>
          <w:szCs w:val="24"/>
        </w:rPr>
      </w:pPr>
      <w:r w:rsidRPr="00E9397B">
        <w:rPr>
          <w:rFonts w:ascii="Times New Roman" w:hAnsi="Times New Roman"/>
          <w:sz w:val="24"/>
          <w:szCs w:val="24"/>
        </w:rPr>
        <w:t>[</w:t>
      </w:r>
      <w:r>
        <w:rPr>
          <w:rFonts w:ascii="Times New Roman" w:hAnsi="Times New Roman"/>
          <w:sz w:val="24"/>
          <w:szCs w:val="24"/>
        </w:rPr>
        <w:t>5</w:t>
      </w:r>
      <w:r w:rsidRPr="00E9397B">
        <w:rPr>
          <w:rFonts w:ascii="Times New Roman" w:hAnsi="Times New Roman"/>
          <w:sz w:val="24"/>
          <w:szCs w:val="24"/>
        </w:rPr>
        <w:t>]</w:t>
      </w:r>
      <w:r w:rsidRPr="00E9397B">
        <w:rPr>
          <w:rFonts w:ascii="Times New Roman" w:hAnsi="Times New Roman"/>
          <w:sz w:val="24"/>
          <w:szCs w:val="24"/>
        </w:rPr>
        <w:tab/>
      </w:r>
      <w:r w:rsidRPr="0063670F">
        <w:rPr>
          <w:rFonts w:ascii="Times New Roman" w:hAnsi="Times New Roman"/>
          <w:sz w:val="24"/>
          <w:szCs w:val="24"/>
        </w:rPr>
        <w:t>H. Matsumori, T. Kosaka, N. Matsui and S. Saha, "Alternative PWM Switching Strategy Implementation for a Dual Inverter Fed Open Winding Motor Drive System for an Electric Vehicle Application," in IEEE Transactions on Industry Applications, vol. 59, no. 5, pp. 5957-5970, Sept.-Oct. 2023, doi: 10.1109/TIA.2023.3291340.</w:t>
      </w:r>
    </w:p>
    <w:p w14:paraId="366981A0" w14:textId="77777777" w:rsidR="00D31FF0" w:rsidRDefault="00D31FF0" w:rsidP="00D31FF0">
      <w:pPr>
        <w:spacing w:line="240" w:lineRule="auto"/>
        <w:ind w:left="720" w:hanging="720"/>
        <w:jc w:val="both"/>
        <w:rPr>
          <w:rFonts w:ascii="Times New Roman" w:hAnsi="Times New Roman"/>
          <w:sz w:val="24"/>
          <w:szCs w:val="24"/>
        </w:rPr>
      </w:pPr>
    </w:p>
    <w:p w14:paraId="089EB4DD" w14:textId="20E62541" w:rsidR="00D31FF0" w:rsidRDefault="00D31FF0" w:rsidP="00D31FF0">
      <w:pPr>
        <w:spacing w:line="240" w:lineRule="auto"/>
        <w:ind w:left="720" w:hanging="720"/>
        <w:jc w:val="both"/>
        <w:rPr>
          <w:rFonts w:ascii="Times New Roman" w:hAnsi="Times New Roman"/>
          <w:sz w:val="24"/>
          <w:szCs w:val="24"/>
        </w:rPr>
      </w:pPr>
      <w:r w:rsidRPr="00E9397B">
        <w:rPr>
          <w:rFonts w:ascii="Times New Roman" w:hAnsi="Times New Roman"/>
          <w:sz w:val="24"/>
          <w:szCs w:val="24"/>
        </w:rPr>
        <w:t>[</w:t>
      </w:r>
      <w:r>
        <w:rPr>
          <w:rFonts w:ascii="Times New Roman" w:hAnsi="Times New Roman"/>
          <w:sz w:val="24"/>
          <w:szCs w:val="24"/>
        </w:rPr>
        <w:t>6</w:t>
      </w:r>
      <w:r w:rsidRPr="00E9397B">
        <w:rPr>
          <w:rFonts w:ascii="Times New Roman" w:hAnsi="Times New Roman"/>
          <w:sz w:val="24"/>
          <w:szCs w:val="24"/>
        </w:rPr>
        <w:t>]</w:t>
      </w:r>
      <w:r w:rsidRPr="00E9397B">
        <w:rPr>
          <w:rFonts w:ascii="Times New Roman" w:hAnsi="Times New Roman"/>
          <w:sz w:val="24"/>
          <w:szCs w:val="24"/>
        </w:rPr>
        <w:tab/>
      </w:r>
      <w:r w:rsidRPr="0063670F">
        <w:rPr>
          <w:rFonts w:ascii="Times New Roman" w:hAnsi="Times New Roman"/>
          <w:sz w:val="24"/>
          <w:szCs w:val="24"/>
        </w:rPr>
        <w:t>M. Khayamy and H. Chaoui, "Efficient PMSM-Inverter-Based Drive for Vehicular Transportation Systems," in IEEE Transactions on Vehicular Technology, vol. 67, no. 6, pp. 4783-4792, June 2018, doi: 10.1109/TVT.2018.2798359.</w:t>
      </w:r>
    </w:p>
    <w:p w14:paraId="4C08115B" w14:textId="77777777" w:rsidR="00D31FF0" w:rsidRPr="00C007FA" w:rsidRDefault="00D31FF0" w:rsidP="00C007FA">
      <w:pPr>
        <w:spacing w:line="240" w:lineRule="auto"/>
        <w:ind w:left="720" w:hanging="720"/>
        <w:jc w:val="both"/>
        <w:rPr>
          <w:rFonts w:ascii="Times New Roman" w:hAnsi="Times New Roman"/>
          <w:sz w:val="24"/>
          <w:szCs w:val="24"/>
        </w:rPr>
      </w:pPr>
    </w:p>
    <w:p w14:paraId="2C448252" w14:textId="77777777" w:rsidR="00C007FA" w:rsidRDefault="00C007FA" w:rsidP="00C007FA">
      <w:pPr>
        <w:spacing w:line="240" w:lineRule="auto"/>
        <w:ind w:left="720" w:hanging="720"/>
        <w:jc w:val="both"/>
        <w:rPr>
          <w:rFonts w:ascii="Times New Roman" w:hAnsi="Times New Roman"/>
          <w:sz w:val="24"/>
          <w:szCs w:val="24"/>
        </w:rPr>
      </w:pPr>
    </w:p>
    <w:p w14:paraId="2B7776F1" w14:textId="21CA6977" w:rsidR="00C007FA" w:rsidRDefault="00C007FA" w:rsidP="00C007FA">
      <w:pPr>
        <w:spacing w:line="240" w:lineRule="auto"/>
        <w:ind w:left="720" w:hanging="720"/>
        <w:jc w:val="both"/>
        <w:rPr>
          <w:rFonts w:ascii="Times New Roman" w:hAnsi="Times New Roman"/>
          <w:sz w:val="24"/>
          <w:szCs w:val="24"/>
        </w:rPr>
      </w:pPr>
      <w:r w:rsidRPr="00E9397B">
        <w:rPr>
          <w:rFonts w:ascii="Times New Roman" w:hAnsi="Times New Roman"/>
          <w:sz w:val="24"/>
          <w:szCs w:val="24"/>
        </w:rPr>
        <w:t>[</w:t>
      </w:r>
      <w:r w:rsidR="00D31FF0">
        <w:rPr>
          <w:rFonts w:ascii="Times New Roman" w:hAnsi="Times New Roman"/>
          <w:sz w:val="24"/>
          <w:szCs w:val="24"/>
        </w:rPr>
        <w:t>7</w:t>
      </w:r>
      <w:r w:rsidRPr="00E9397B">
        <w:rPr>
          <w:rFonts w:ascii="Times New Roman" w:hAnsi="Times New Roman"/>
          <w:sz w:val="24"/>
          <w:szCs w:val="24"/>
        </w:rPr>
        <w:t>]</w:t>
      </w:r>
      <w:r w:rsidRPr="00E9397B">
        <w:rPr>
          <w:rFonts w:ascii="Times New Roman" w:hAnsi="Times New Roman"/>
          <w:sz w:val="24"/>
          <w:szCs w:val="24"/>
        </w:rPr>
        <w:tab/>
      </w:r>
      <w:r w:rsidR="005E2DA2" w:rsidRPr="005E2DA2">
        <w:rPr>
          <w:rFonts w:ascii="Times New Roman" w:hAnsi="Times New Roman"/>
          <w:sz w:val="24"/>
          <w:szCs w:val="24"/>
        </w:rPr>
        <w:t xml:space="preserve">Y. -F. Jia et al., "Power Flow Control Strategy Based on the Voltage Vector Distribution for a Dual Power Electric Vehicle </w:t>
      </w:r>
      <w:proofErr w:type="gramStart"/>
      <w:r w:rsidR="005E2DA2" w:rsidRPr="005E2DA2">
        <w:rPr>
          <w:rFonts w:ascii="Times New Roman" w:hAnsi="Times New Roman"/>
          <w:sz w:val="24"/>
          <w:szCs w:val="24"/>
        </w:rPr>
        <w:t>With</w:t>
      </w:r>
      <w:proofErr w:type="gramEnd"/>
      <w:r w:rsidR="005E2DA2" w:rsidRPr="005E2DA2">
        <w:rPr>
          <w:rFonts w:ascii="Times New Roman" w:hAnsi="Times New Roman"/>
          <w:sz w:val="24"/>
          <w:szCs w:val="24"/>
        </w:rPr>
        <w:t xml:space="preserve"> an Open-End Winding Motor Drive System," in IEEE Access, vol. 6, pp. 54910-54926, 2018, doi: 10.1109/ACCESS.2018.2872697.</w:t>
      </w:r>
    </w:p>
    <w:p w14:paraId="40E42415" w14:textId="77777777" w:rsidR="005E2DA2" w:rsidRDefault="005E2DA2" w:rsidP="00C007FA">
      <w:pPr>
        <w:spacing w:line="240" w:lineRule="auto"/>
        <w:ind w:left="720" w:hanging="720"/>
        <w:jc w:val="both"/>
        <w:rPr>
          <w:rFonts w:ascii="Times New Roman" w:hAnsi="Times New Roman"/>
          <w:sz w:val="24"/>
          <w:szCs w:val="24"/>
        </w:rPr>
      </w:pPr>
    </w:p>
    <w:p w14:paraId="6BD869DA" w14:textId="51196E4A" w:rsidR="00C007FA" w:rsidRDefault="00C007FA" w:rsidP="00C007FA">
      <w:pPr>
        <w:spacing w:line="240" w:lineRule="auto"/>
        <w:ind w:left="720" w:hanging="720"/>
        <w:jc w:val="both"/>
        <w:rPr>
          <w:rFonts w:ascii="Times New Roman" w:hAnsi="Times New Roman"/>
          <w:sz w:val="24"/>
          <w:szCs w:val="24"/>
        </w:rPr>
      </w:pPr>
      <w:r w:rsidRPr="00E9397B">
        <w:rPr>
          <w:rFonts w:ascii="Times New Roman" w:hAnsi="Times New Roman"/>
          <w:sz w:val="24"/>
          <w:szCs w:val="24"/>
        </w:rPr>
        <w:t>[</w:t>
      </w:r>
      <w:r w:rsidR="00D31FF0">
        <w:rPr>
          <w:rFonts w:ascii="Times New Roman" w:hAnsi="Times New Roman"/>
          <w:sz w:val="24"/>
          <w:szCs w:val="24"/>
        </w:rPr>
        <w:t>8</w:t>
      </w:r>
      <w:r w:rsidRPr="00E9397B">
        <w:rPr>
          <w:rFonts w:ascii="Times New Roman" w:hAnsi="Times New Roman"/>
          <w:sz w:val="24"/>
          <w:szCs w:val="24"/>
        </w:rPr>
        <w:t>]</w:t>
      </w:r>
      <w:r w:rsidRPr="00E9397B">
        <w:rPr>
          <w:rFonts w:ascii="Times New Roman" w:hAnsi="Times New Roman"/>
          <w:sz w:val="24"/>
          <w:szCs w:val="24"/>
        </w:rPr>
        <w:tab/>
      </w:r>
      <w:r w:rsidR="005E2DA2" w:rsidRPr="005E2DA2">
        <w:rPr>
          <w:rFonts w:ascii="Times New Roman" w:hAnsi="Times New Roman"/>
          <w:sz w:val="24"/>
          <w:szCs w:val="24"/>
        </w:rPr>
        <w:t>Q. An, J. Liu, Z. Peng, L. Sun and L. Sun, "Dual-Space Vector Control of Open-End Winding Permanent Magnet Synchronous Motor Drive Fed by Dual Inverter," in IEEE Transactions on Power Electronics, vol. 31, no. 12, pp. 8329-8342, Dec. 2016, doi: 10.1109/TPEL.2016.2520999.</w:t>
      </w:r>
    </w:p>
    <w:p w14:paraId="1F43EA93" w14:textId="77777777" w:rsidR="00C007FA" w:rsidRDefault="00C007FA" w:rsidP="00821140">
      <w:pPr>
        <w:spacing w:line="240" w:lineRule="auto"/>
        <w:ind w:left="720" w:hanging="720"/>
        <w:rPr>
          <w:rFonts w:ascii="Times New Roman" w:hAnsi="Times New Roman"/>
          <w:sz w:val="24"/>
          <w:szCs w:val="24"/>
        </w:rPr>
      </w:pPr>
    </w:p>
    <w:p w14:paraId="4C406797" w14:textId="77777777" w:rsidR="001C4EB3" w:rsidRDefault="001C4EB3">
      <w:pPr>
        <w:rPr>
          <w:rFonts w:ascii="Times New Roman" w:hAnsi="Times New Roman"/>
          <w:sz w:val="24"/>
          <w:szCs w:val="24"/>
        </w:rPr>
      </w:pPr>
    </w:p>
    <w:p w14:paraId="5BB9CA07" w14:textId="77777777" w:rsidR="0063670F" w:rsidRPr="00E9397B" w:rsidRDefault="0063670F">
      <w:pPr>
        <w:rPr>
          <w:rFonts w:ascii="Times New Roman" w:hAnsi="Times New Roman"/>
          <w:sz w:val="24"/>
          <w:szCs w:val="24"/>
        </w:rPr>
      </w:pPr>
    </w:p>
    <w:sectPr w:rsidR="0063670F" w:rsidRPr="00E9397B" w:rsidSect="00723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4EB3"/>
    <w:rsid w:val="00033186"/>
    <w:rsid w:val="000539F0"/>
    <w:rsid w:val="00056057"/>
    <w:rsid w:val="00056885"/>
    <w:rsid w:val="00064074"/>
    <w:rsid w:val="00080C60"/>
    <w:rsid w:val="001253CF"/>
    <w:rsid w:val="00193A70"/>
    <w:rsid w:val="00193D34"/>
    <w:rsid w:val="001C4EB3"/>
    <w:rsid w:val="001D697D"/>
    <w:rsid w:val="001E5450"/>
    <w:rsid w:val="001F26F9"/>
    <w:rsid w:val="002327AE"/>
    <w:rsid w:val="002705F3"/>
    <w:rsid w:val="00274923"/>
    <w:rsid w:val="002C46F0"/>
    <w:rsid w:val="002F71BE"/>
    <w:rsid w:val="00381154"/>
    <w:rsid w:val="004219B1"/>
    <w:rsid w:val="004C7407"/>
    <w:rsid w:val="005D1BE7"/>
    <w:rsid w:val="005E2DA2"/>
    <w:rsid w:val="005F0135"/>
    <w:rsid w:val="0063670F"/>
    <w:rsid w:val="00692010"/>
    <w:rsid w:val="006B0A6B"/>
    <w:rsid w:val="006D68C5"/>
    <w:rsid w:val="0070798C"/>
    <w:rsid w:val="00717BB4"/>
    <w:rsid w:val="007230C8"/>
    <w:rsid w:val="00725FB3"/>
    <w:rsid w:val="00792FDC"/>
    <w:rsid w:val="00795AFD"/>
    <w:rsid w:val="00796184"/>
    <w:rsid w:val="007B614A"/>
    <w:rsid w:val="00821140"/>
    <w:rsid w:val="00851EEB"/>
    <w:rsid w:val="008A62EA"/>
    <w:rsid w:val="009365FC"/>
    <w:rsid w:val="00A649D1"/>
    <w:rsid w:val="00A64FDF"/>
    <w:rsid w:val="00A67216"/>
    <w:rsid w:val="00AB186B"/>
    <w:rsid w:val="00AD53D3"/>
    <w:rsid w:val="00AD7495"/>
    <w:rsid w:val="00B165E8"/>
    <w:rsid w:val="00BA390F"/>
    <w:rsid w:val="00C007FA"/>
    <w:rsid w:val="00C04409"/>
    <w:rsid w:val="00C05B32"/>
    <w:rsid w:val="00C23C8D"/>
    <w:rsid w:val="00C242BB"/>
    <w:rsid w:val="00C80249"/>
    <w:rsid w:val="00C857FA"/>
    <w:rsid w:val="00D31FF0"/>
    <w:rsid w:val="00DB0225"/>
    <w:rsid w:val="00DB4326"/>
    <w:rsid w:val="00DC53BA"/>
    <w:rsid w:val="00DD68FB"/>
    <w:rsid w:val="00DE6926"/>
    <w:rsid w:val="00E063B7"/>
    <w:rsid w:val="00E323D4"/>
    <w:rsid w:val="00E754A4"/>
    <w:rsid w:val="00E9397B"/>
    <w:rsid w:val="00EA2B22"/>
    <w:rsid w:val="00EC2257"/>
    <w:rsid w:val="00EC7E52"/>
    <w:rsid w:val="00ED2DAB"/>
    <w:rsid w:val="00F118E0"/>
    <w:rsid w:val="00F64AD4"/>
    <w:rsid w:val="00F90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88"/>
    <o:shapelayout v:ext="edit">
      <o:idmap v:ext="edit" data="1"/>
    </o:shapelayout>
  </w:shapeDefaults>
  <w:decimalSymbol w:val=","/>
  <w:listSeparator w:val=";"/>
  <w14:docId w14:val="019CCE7E"/>
  <w15:chartTrackingRefBased/>
  <w15:docId w15:val="{299D4119-6A60-4F97-9602-8064EB69C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70F"/>
    <w:pPr>
      <w:spacing w:line="480"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D53D3"/>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AD53D3"/>
    <w:rPr>
      <w:rFonts w:ascii="Tahoma" w:hAnsi="Tahoma" w:cs="Tahoma"/>
      <w:sz w:val="16"/>
      <w:szCs w:val="16"/>
    </w:rPr>
  </w:style>
  <w:style w:type="character" w:customStyle="1" w:styleId="MTEquationSection">
    <w:name w:val="MTEquationSection"/>
    <w:rsid w:val="00AD53D3"/>
    <w:rPr>
      <w:rFonts w:ascii="Times New Roman" w:hAnsi="Times New Roman" w:cs="Times New Roman"/>
      <w:b/>
      <w:vanish/>
      <w:color w:val="FF0000"/>
      <w:sz w:val="24"/>
      <w:szCs w:val="24"/>
    </w:rPr>
  </w:style>
  <w:style w:type="paragraph" w:customStyle="1" w:styleId="MTDisplayEquation">
    <w:name w:val="MTDisplayEquation"/>
    <w:basedOn w:val="Normal"/>
    <w:next w:val="Normal"/>
    <w:link w:val="MTDisplayEquationChar"/>
    <w:rsid w:val="00AD53D3"/>
    <w:pPr>
      <w:tabs>
        <w:tab w:val="center" w:pos="4680"/>
        <w:tab w:val="right" w:pos="9360"/>
      </w:tabs>
    </w:pPr>
    <w:rPr>
      <w:rFonts w:ascii="Times New Roman" w:hAnsi="Times New Roman"/>
      <w:sz w:val="24"/>
      <w:szCs w:val="24"/>
    </w:rPr>
  </w:style>
  <w:style w:type="character" w:customStyle="1" w:styleId="MTDisplayEquationChar">
    <w:name w:val="MTDisplayEquation Char"/>
    <w:link w:val="MTDisplayEquation"/>
    <w:rsid w:val="00AD53D3"/>
    <w:rPr>
      <w:rFonts w:ascii="Times New Roman" w:hAnsi="Times New Roman" w:cs="Times New Roman"/>
      <w:sz w:val="24"/>
      <w:szCs w:val="24"/>
    </w:rPr>
  </w:style>
  <w:style w:type="character" w:styleId="Hyperlink">
    <w:name w:val="Hyperlink"/>
    <w:uiPriority w:val="99"/>
    <w:unhideWhenUsed/>
    <w:rsid w:val="00C007FA"/>
    <w:rPr>
      <w:color w:val="0563C1"/>
      <w:u w:val="single"/>
    </w:rPr>
  </w:style>
  <w:style w:type="character" w:styleId="UnresolvedMention">
    <w:name w:val="Unresolved Mention"/>
    <w:uiPriority w:val="99"/>
    <w:semiHidden/>
    <w:unhideWhenUsed/>
    <w:rsid w:val="00C00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38/s44287-024-00055-4" TargetMode="External"/><Relationship Id="rId5" Type="http://schemas.openxmlformats.org/officeDocument/2006/relationships/hyperlink" Target="https://doi.org/10.3390/en16041753"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7043</TotalTime>
  <Pages>6</Pages>
  <Words>1459</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“Your Digest Title”</vt:lpstr>
    </vt:vector>
  </TitlesOfParts>
  <Company>APEC 2026</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Digest Title”</dc:title>
  <dc:subject/>
  <dc:creator> </dc:creator>
  <cp:keywords/>
  <dc:description/>
  <cp:lastModifiedBy>Enes Ayaz</cp:lastModifiedBy>
  <cp:revision>30</cp:revision>
  <dcterms:created xsi:type="dcterms:W3CDTF">2023-05-15T19:15:00Z</dcterms:created>
  <dcterms:modified xsi:type="dcterms:W3CDTF">2026-08-31T15:48:00Z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y fmtid="{D5CDD505-2E9C-101B-9397-08002B2CF9AE}" pid="5" name="GrammarlyDocumentId">
    <vt:lpwstr>643f6479-ca3d-47cf-a8b8-473f0a15eb46</vt:lpwstr>
  </property>
</Properties>
</file>