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media/image10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Lines w:val="0"/>
        <w:ind w:firstLine="0"/>
        <w:jc w:val="both"/>
      </w:pPr>
      <w:r>
        <w:rPr>
          <w:i/>
        </w:rPr>
        <w:t>Topic 17 — Power Electronics for Transportation Electrification</w:t>
      </w:r>
    </w:p>
    <w:p>
      <w:pPr>
        <w:pStyle w:val="Title"/>
        <w:keepLines w:val="0"/>
        <w:jc w:val="center"/>
      </w:pPr>
      <w:r>
        <w:t>Parasitic Aware Building Block Design for Stacked Polyphase Bridge Traction Inverters</w:t>
      </w:r>
    </w:p>
    <w:p>
      <w:pPr>
        <w:keepLines w:val="0"/>
        <w:ind w:firstLine="0"/>
        <w:jc w:val="both"/>
      </w:pPr>
      <w:r>
        <w:rPr>
          <w:b/>
        </w:rPr>
        <w:t>Abstract—The stacked polyphase bridge (SPB) partitions the dc-link voltage while retaining the phase-current requirement of the drive operating point. This paper connects that architectural freedom to the physical design of a high-current phase-leg building block. Charge-based device screening selects the 100 V EPC2361, and single-cell simulations support four parallel transistors per switch position for a candidate sixteen-submodule traction inverter. Current-sharing sensitivity motivates paired gate drive and Kelvin-source returns. A KiCad–Ansys Q3D–LTspice workflow then evaluates the routed networks. The operating and instrumented double-pulse test boards have evaluated commutation-loop inductances of 0.41 nH and 0.65 nH, respectively. The extracted test-board gate network changes the required drive settings and reveals a remaining gap to the project voltage target. Experimental correlation is planned for the full paper.</w:t>
      </w:r>
    </w:p>
    <w:p>
      <w:pPr>
        <w:pStyle w:val="Heading1"/>
        <w:keepLines w:val="0"/>
        <w:jc w:val="center"/>
      </w:pPr>
      <w:r>
        <w:t>I. Introduction</w:t>
      </w:r>
    </w:p>
    <w:p>
      <w:pPr>
        <w:keepLines w:val="0"/>
        <w:jc w:val="both"/>
      </w:pPr>
      <w:r>
        <w:t>High-voltage traction inverters must combine high power with substantial phase current. In a conventional two-level bridge, each switch blocks the full dc-link voltage. The stacked polyphase bridge (SPB) instead connects three-phase bridges in series on the dc side, each feeding an isolated winding set of a common machine [1]–[3]. Fig. 1 shows how voltage partitioning links the architecture to the semiconductor voltage class and the phase-leg implementation.</w:t>
      </w:r>
    </w:p>
    <w:p>
      <w:pPr>
        <w:keepLines w:val="0"/>
        <w:jc w:val="both"/>
      </w:pPr>
      <w:r>
        <w:t>Previous studies address SPB control, losses, stability, and converter comparisons [2]–[5]. Paralleled gallium nitride (GaN) stages introduce complementary constraints through commutation inductance, gate impedance, and common-source coupling [6]–[8]. Increasing the submodule count reduces each bridge voltage but does not reduce phase current at fixed total power, dc-link voltage, modulation index, and power factor. Device-level benefits therefore depend on a realizable high-current building block.</w:t>
      </w:r>
    </w:p>
    <w:p>
      <w:pPr>
        <w:keepLines w:val="0"/>
        <w:jc w:val="both"/>
      </w:pPr>
      <w:r>
        <w:t>The contribution is a sequential sizing procedure followed by extraction-based refinement. Voltage class and parallel count establish a candidate; cell symmetry and gate drive translate it into hardware; extracted networks then test the assumed switching margin. The procedure identifies implementation constraints rather than claiming a globally optimum SPB architecture.</w:t>
      </w:r>
    </w:p>
    <w:p>
      <w:pPr>
        <w:keepNext/>
        <w:keepLines w:val="0"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67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Fig. 1. (a) SPB with N series-connected submodules and isolated winding sets. (b) One three-phase submodule with the studied leg highlighted. Each switch position contains four parallel GaN transistors; the diode symbol denotes equivalent reverse conduction.</w:t>
      </w:r>
    </w:p>
    <w:p>
      <w:r>
        <w:br w:type="page"/>
      </w:r>
    </w:p>
    <w:p>
      <w:pPr>
        <w:pStyle w:val="Heading1"/>
        <w:keepLines w:val="0"/>
        <w:jc w:val="center"/>
      </w:pPr>
      <w:r>
        <w:t>II. Device and Parallel Count Selection</w:t>
      </w:r>
    </w:p>
    <w:p>
      <w:pPr>
        <w:keepLines w:val="0"/>
        <w:jc w:val="both"/>
      </w:pPr>
      <w:r>
        <w:rPr/>
        <w:t xml:space="preserve">The design point is 300 kW, </w:t>
      </w:r>
      <w:r>
        <w:rPr>
          <w:i/>
        </w:rPr>
        <w:t xml:space="preserve">V</w:t>
      </w:r>
      <w:r>
        <w:rPr>
          <w:vertAlign w:val="subscript"/>
        </w:rPr>
        <w:t xml:space="preserve">dc</w:t>
      </w:r>
      <w:r>
        <w:rPr/>
        <w:t xml:space="preserve"> = 1200 V, modulation index M = 1.15, power factor cosφ = 0.9, and </w:t>
      </w:r>
      <w:r>
        <w:rPr>
          <w:i/>
        </w:rPr>
        <w:t xml:space="preserve">f</w:t>
      </w:r>
      <w:r>
        <w:rPr>
          <w:vertAlign w:val="subscript"/>
        </w:rPr>
        <w:t xml:space="preserve">sw</w:t>
      </w:r>
      <w:r>
        <w:rPr/>
        <w:t xml:space="preserve"> = 50 kHz. Defining M by a fundamental phase-voltage peak M </w:t>
      </w:r>
      <w:r>
        <w:rPr>
          <w:i/>
        </w:rPr>
        <w:t xml:space="preserve">V</w:t>
      </w:r>
      <w:r>
        <w:rPr>
          <w:vertAlign w:val="subscript"/>
        </w:rPr>
        <w:t xml:space="preserve">m</w:t>
      </w:r>
      <w:r>
        <w:rPr/>
        <w:t xml:space="preserve">/2 gives</w:t>
      </w:r>
    </w:p>
    <w:p>
      <w:pPr>
        <w:keepLines/>
        <w:spacing w:before="60" w:after="120"/>
        <w:ind w:firstLine="0"/>
        <w:jc w:val="center"/>
      </w:pPr>
      <m:oMath>
        <m:r>
          <m:rPr>
            <m:sty m:val="i"/>
          </m:rPr>
          <m:t>P = </m:t>
        </m:r>
        <m:f>
          <m:num>
            <m:r>
              <m:rPr>
                <m:sty m:val="i"/>
              </m:rPr>
              <m:t>3 M 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p"/>
                  </m:rPr>
                  <m:t>dc</m:t>
                </m:r>
              </m:sub>
            </m:sSub>
            <m:r>
              <m:rPr>
                <m:sty m:val="i"/>
              </m:rPr>
              <m:t> </m:t>
            </m:r>
            <m:sSub>
              <m:e>
                <m:r>
                  <m:rPr>
                    <m:sty m:val="i"/>
                  </m:rPr>
                  <m:t>I</m:t>
                </m:r>
              </m:e>
              <m:sub>
                <m:r>
                  <m:rPr>
                    <m:sty m:val="p"/>
                  </m:rPr>
                  <m:t>ph,rms</m:t>
                </m:r>
              </m:sub>
            </m:sSub>
            <m:r>
              <m:rPr>
                <m:sty m:val="p"/>
              </m:rPr>
              <m:t> cos </m:t>
            </m:r>
            <m:r>
              <m:rPr>
                <m:sty m:val="i"/>
              </m:rPr>
              <m:t>φ</m:t>
            </m:r>
          </m:num>
          <m:den>
            <m:r>
              <m:rPr>
                <m:sty m:val="i"/>
              </m:rPr>
              <m:t>2</m:t>
            </m:r>
            <m:rad>
              <m:radPr>
                <m:degHide m:val="1"/>
              </m:radPr>
              <m:deg/>
              <m:e>
                <m:r>
                  <m:rPr>
                    <m:sty m:val="i"/>
                  </m:rPr>
                  <m:t>2</m:t>
                </m:r>
              </m:e>
            </m:rad>
          </m:den>
        </m:f>
      </m:oMath>
      <w:r>
        <w:t xml:space="preserve">     (1)</w:t>
      </w:r>
    </w:p>
    <w:p>
      <w:pPr>
        <w:keepLines w:val="0"/>
        <w:jc w:val="both"/>
      </w:pPr>
      <w:r>
        <w:t>The resulting phase current is approximately 228 A rms and 322 A peak, independent of submodule count under these assumptions. A junction limit of 125 °C and a peak drain–source voltage target of 90 V are adopted.</w:t>
      </w:r>
    </w:p>
    <w:p>
      <w:pPr>
        <w:keepLines w:val="0"/>
        <w:jc w:val="both"/>
      </w:pPr>
      <w:r>
        <w:t>Voltage classes are screened using the charge-based device figure of merit in [9]:</w:t>
      </w:r>
    </w:p>
    <w:p>
      <w:pPr>
        <w:keepLines/>
        <w:spacing w:before="60" w:after="120"/>
        <w:ind w:firstLine="0"/>
        <w:jc w:val="center"/>
      </w:pPr>
      <m:oMath>
        <m:r>
          <m:rPr>
            <m:sty m:val="p"/>
          </m:rPr>
          <m:t>D-FOM = </m:t>
        </m:r>
        <m:f>
          <m:num>
            <m:r>
              <m:rPr>
                <m:sty m:val="i"/>
              </m:rPr>
              <m:t>1</m:t>
            </m:r>
          </m:num>
          <m:den>
            <m:rad>
              <m:radPr>
                <m:degHide m:val="1"/>
              </m:radPr>
              <m:deg/>
              <m:e>
                <m:sSub>
                  <m:e>
                    <m:r>
                      <m:rPr>
                        <m:sty m:val="i"/>
                      </m:rPr>
                      <m:t>R</m:t>
                    </m:r>
                  </m:e>
                  <m:sub>
                    <m:r>
                      <m:rPr>
                        <m:sty m:val="p"/>
                      </m:rPr>
                      <m:t>DS(on)</m:t>
                    </m:r>
                  </m:sub>
                </m:sSub>
                <m:r>
                  <m:rPr>
                    <m:sty m:val="i"/>
                  </m:rPr>
                  <m:t> </m:t>
                </m:r>
                <m:sSub>
                  <m:e>
                    <m:r>
                      <m:rPr>
                        <m:sty m:val="i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oss,Q</m:t>
                    </m:r>
                  </m:sub>
                </m:sSub>
              </m:e>
            </m:rad>
          </m:den>
        </m:f>
        <m:r>
          <m:rPr>
            <m:sty m:val="p"/>
          </m:rPr>
          <m:t>,    </m:t>
        </m:r>
        <m:sSub>
          <m:e>
            <m:r>
              <m:rPr>
                <m:sty m:val="i"/>
              </m:rPr>
              <m:t>C</m:t>
            </m:r>
          </m:e>
          <m:sub>
            <m:r>
              <m:rPr>
                <m:sty m:val="p"/>
              </m:rPr>
              <m:t>oss,Q</m:t>
            </m:r>
          </m:sub>
        </m:sSub>
        <m:r>
          <m:rPr>
            <m:sty m:val="i"/>
          </m:rPr>
          <m:t> = </m:t>
        </m:r>
        <m:f>
          <m:num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p"/>
                  </m:rPr>
                  <m:t>oss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p"/>
                  </m:rPr>
                  <m:t>test</m:t>
                </m:r>
              </m:sub>
            </m:sSub>
          </m:den>
        </m:f>
      </m:oMath>
      <w:r>
        <w:t xml:space="preserve">     (2)</w:t>
      </w:r>
    </w:p>
    <w:p>
      <w:pPr>
        <w:keepLines w:val="0"/>
        <w:jc w:val="both"/>
      </w:pPr>
      <w:r>
        <w:rPr/>
        <w:t xml:space="preserve">Here, </w:t>
      </w:r>
      <w:r>
        <w:rPr>
          <w:i/>
        </w:rPr>
        <w:t xml:space="preserve">R</w:t>
      </w:r>
      <w:r>
        <w:rPr>
          <w:vertAlign w:val="subscript"/>
        </w:rPr>
        <w:t xml:space="preserve">DS(on)</w:t>
      </w:r>
      <w:r>
        <w:rPr/>
        <w:t xml:space="preserve"> is on-state resistance and </w:t>
      </w:r>
      <w:r>
        <w:rPr>
          <w:i/>
        </w:rPr>
        <w:t xml:space="preserve">Q</w:t>
      </w:r>
      <w:r>
        <w:rPr>
          <w:vertAlign w:val="subscript"/>
        </w:rPr>
        <w:t xml:space="preserve">oss</w:t>
      </w:r>
      <w:r>
        <w:rPr/>
        <w:t xml:space="preserve"> is output charge at test voltage </w:t>
      </w:r>
      <w:r>
        <w:rPr>
          <w:i/>
        </w:rPr>
        <w:t xml:space="preserve">V</w:t>
      </w:r>
      <w:r>
        <w:rPr>
          <w:vertAlign w:val="subscript"/>
        </w:rPr>
        <w:t xml:space="preserve">test</w:t>
      </w:r>
      <w:r>
        <w:rPr/>
        <w:t xml:space="preserve">. Higher D-FOM is favorable. Fig. 2(a) ranks the best surveyed candidate in each class relative to EPC2361. This device is selected [10], and N = 16 gives the candidate submodule voltage </w:t>
      </w:r>
      <w:r>
        <w:rPr>
          <w:i/>
        </w:rPr>
        <w:t xml:space="preserve">V</w:t>
      </w:r>
      <w:r>
        <w:rPr>
          <w:vertAlign w:val="subscript"/>
        </w:rPr>
        <w:t xml:space="preserve">m</w:t>
      </w:r>
      <w:r>
        <w:rPr/>
        <w:t xml:space="preserve"> = </w:t>
      </w:r>
      <w:r>
        <w:rPr>
          <w:i/>
        </w:rPr>
        <w:t xml:space="preserve">V</w:t>
      </w:r>
      <w:r>
        <w:rPr>
          <w:vertAlign w:val="subscript"/>
        </w:rPr>
        <w:t xml:space="preserve">dc</w:t>
      </w:r>
      <w:r>
        <w:rPr/>
        <w:t xml:space="preserve">/N = 75 V. The survey uses typical 25 °C resistance and charge data at the respective datasheet test voltages.</w:t>
      </w:r>
    </w:p>
    <w:p>
      <w:pPr>
        <w:keepLines w:val="0"/>
        <w:jc w:val="both"/>
      </w:pPr>
      <w:r>
        <w:t>A single-transistor half bridge is simulated at 75 V with 2 Ω turn-on resistance, a preliminary 1.7 nH gate loop, and assumed power-loop inductances of 0.5 nH and 1 nH. The compact-loop case identifies approximately 80 A per device as a useful current scale, suggesting four devices. Neighboring counts are checked rather than treating this division as sufficient justification.</w:t>
      </w:r>
    </w:p>
    <w:p>
      <w:pPr>
        <w:keepNext/>
        <w:keepLines w:val="0"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57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est_selec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Fig. 2. Initial selection: (a) highest surveyed D-FOM in each voltage class, normalized to EPC2361; (b) calculated phase-leg losses at 0.5 nH; and (c) voltage stress for two assumed commutation inductances. The dotted reference in (c) is the 90 V target.</w:t>
      </w:r>
    </w:p>
    <w:p>
      <w:pPr>
        <w:keepNext/>
        <w:keepLines w:val="0"/>
        <w:ind w:firstLine="0"/>
        <w:jc w:val="center"/>
      </w:pPr>
      <w:r>
        <w:t>TABLE I</w:t>
        <w:br/>
        <w:t>PRELIMINARY PARALLEL COUNT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454"/>
        <w:gridCol w:w="2268"/>
        <w:gridCol w:w="1417"/>
        <w:gridCol w:w="1417"/>
        <w:gridCol w:w="3515"/>
      </w:tblGrid>
      <w:tr>
        <w:trPr>
          <w:cantSplit/>
          <w:tblHeader/>
        </w:trPr>
        <w:tc>
          <w:tcPr>
            <w:tcW w:type="dxa" w:w="454"/>
            <w:vAlign w:val="center"/>
            <w:tcBorders>
              <w:bottom w:val="single" w:sz="4"/>
            </w:tcBorders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type="dxa" w:w="2268"/>
            <w:vAlign w:val="center"/>
            <w:tcBorders>
              <w:bottom w:val="single" w:sz="4"/>
            </w:tcBorders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Device peak current (A)</w:t>
            </w:r>
          </w:p>
        </w:tc>
        <w:tc>
          <w:tcPr>
            <w:tcW w:type="dxa" w:w="1417"/>
            <w:vAlign w:val="center"/>
            <w:tcBorders>
              <w:bottom w:val="single" w:sz="4"/>
            </w:tcBorders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Leg loss (W)</w:t>
            </w:r>
          </w:p>
        </w:tc>
        <w:tc>
          <w:tcPr>
            <w:tcW w:type="dxa" w:w="1417"/>
            <w:vAlign w:val="center"/>
            <w:tcBorders>
              <w:bottom w:val="single" w:sz="4"/>
            </w:tcBorders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/>
                <w:sz w:val="20"/>
                <w:i/>
              </w:rPr>
              <w:t xml:space="preserve">T</w:t>
            </w:r>
            <w:r>
              <w:rPr>
                <w:b/>
                <w:sz w:val="20"/>
                <w:vertAlign w:val="subscript"/>
              </w:rPr>
              <w:t xml:space="preserve">j</w:t>
            </w:r>
            <w:r>
              <w:rPr>
                <w:b/>
                <w:sz w:val="20"/>
              </w:rPr>
              <w:t xml:space="preserve"> (°C)</w:t>
            </w:r>
          </w:p>
        </w:tc>
        <w:tc>
          <w:tcPr>
            <w:tcW w:type="dxa" w:w="3515"/>
            <w:vAlign w:val="center"/>
            <w:tcBorders>
              <w:bottom w:val="single" w:sz="4"/>
            </w:tcBorders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 xml:space="preserve">Peak </w:t>
            </w:r>
            <w:r>
              <w:rPr>
                <w:b/>
                <w:sz w:val="20"/>
                <w:i/>
              </w:rPr>
              <w:t xml:space="preserve">V</w:t>
            </w:r>
            <w:r>
              <w:rPr>
                <w:b/>
                <w:sz w:val="20"/>
                <w:vertAlign w:val="subscript"/>
              </w:rPr>
              <w:t xml:space="preserve">DS</w:t>
            </w:r>
            <w:r>
              <w:rPr>
                <w:b/>
                <w:sz w:val="20"/>
              </w:rPr>
              <w:t xml:space="preserve"> 0.5 / 1 nH (V)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161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39.5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141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131 / 180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107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23.2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84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96 / 123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80.5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18.0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69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83 / 93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keepNext w:val="0"/>
              <w:spacing w:before="40" w:after="40"/>
              <w:ind w:firstLine="0"/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53.7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14.8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59</w:t>
            </w:r>
          </w:p>
        </w:tc>
        <w:tc>
          <w:tcPr>
            <w:tcW w:type="dxa" w:w="3515"/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86 / 84</w:t>
            </w:r>
          </w:p>
        </w:tc>
      </w:tr>
    </w:tbl>
    <w:p>
      <w:pPr>
        <w:keepLines w:val="0"/>
        <w:jc w:val="both"/>
      </w:pPr>
      <w:r>
        <w:t>Table I uses fundamental-period averaging of switching energies and temperature-dependent resistance. The thermal assumptions are 40 °C ambient, 0.65 K/W heatsink-to-ambient for the leg, and 7.6 K/W junction-to-heatsink per device. Four is the smallest tested count passing both limits at 0.5 nH, not the absolute minimum-loss count; at 1 nH it misses the voltage target.</w:t>
      </w:r>
    </w:p>
    <w:p>
      <w:pPr>
        <w:keepLines w:val="0"/>
        <w:jc w:val="both"/>
      </w:pPr>
      <w:r>
        <w:rPr>
          <w:color w:val="C00000"/>
        </w:rPr>
        <w:t>The full paper will expand the device survey, single-cell energy maps, and thermal model, including their operating-condition dependence.</w:t>
      </w:r>
    </w:p>
    <w:p>
      <w:r>
        <w:br w:type="page"/>
      </w:r>
    </w:p>
    <w:p>
      <w:pPr>
        <w:pStyle w:val="Heading1"/>
        <w:keepLines w:val="0"/>
        <w:jc w:val="center"/>
      </w:pPr>
      <w:r>
        <w:t>III. Gate Drive and Iterative Layout Design</w:t>
      </w:r>
    </w:p>
    <w:p>
      <w:pPr>
        <w:keepLines w:val="0"/>
        <w:jc w:val="both"/>
      </w:pPr>
      <w:r>
        <w:t>Four parallel devices require controlled dynamic current sharing. In the evaluated two-device case at 75 V and 120 A total current, a 0.3 nH power-loop mismatch has little influence on energy sharing, whereas gate loops of 2 nH versus 8 nH produce approximately 19% switching-energy imbalance. Without a Kelvin return, a 0.2 nH common-source mismatch produces approximately 29% imbalance. The gate and source-reference paths therefore require attention alongside the power paths.</w:t>
      </w:r>
    </w:p>
    <w:p>
      <w:pPr>
        <w:keepLines w:val="0"/>
        <w:jc w:val="both"/>
      </w:pPr>
      <w:r>
        <w:t>Fig. 3(a) divides the four switching cells into two pairs. Each cell contains one high-side device, one low-side device, and local decoupling. One dual-channel 2EDF7275K driver serves each pair, with separate high-side and low-side outputs, individual gate resistors, and dedicated Kelvin returns. Each output drives two gates; two driver ICs serve the complete leg [11].</w:t>
      </w:r>
    </w:p>
    <w:p>
      <w:pPr>
        <w:keepLines w:val="0"/>
        <w:jc w:val="both"/>
      </w:pPr>
      <w:r>
        <w:t>The selected output provides an 8 A peak sink capability. The preliminary four-gate loading study gives approximately 12–14 A peak sink demand and approximately 31% greater turn-on energy than the two-gate configuration. Pairing limits output loading and allows shorter gate branches. Symmetric placement and star connections aim to limit branch mismatch and shared impedance.</w:t>
      </w:r>
    </w:p>
    <w:p>
      <w:pPr>
        <w:keepNext/>
        <w:keepLines w:val="0"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est_gate_workflo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Fig. 3. (a) Four cells arranged as two driven pairs; HO and LO denote high-side and low-side outputs. Supply and Kelvin-return connections are omitted for clarity. (b) Routed-network refinement, with feedback to placement and drive settings. Wine and teal identify high-side and low-side gate paths in (a).</w:t>
      </w:r>
    </w:p>
    <w:p>
      <w:pPr>
        <w:keepLines w:val="0"/>
        <w:jc w:val="both"/>
      </w:pPr>
      <w:r>
        <w:t>The Kelvin return is taken from the dedicated source-reference pad rather than through the power-source conductors. This keeps the main source-current inductance outside the gate-return path, although the remaining gate-loop impedance still requires extraction. Symmetry within a pair also does not remove timing differences between the two driver ICs.</w:t>
      </w:r>
    </w:p>
    <w:p>
      <w:pPr>
        <w:keepLines w:val="0"/>
        <w:jc w:val="both"/>
      </w:pPr>
      <w:r>
        <w:t>Fig. 3(b) closes the initial assumptions through KiCad layout, Ansys Q3D extraction, and LTspice switching simulations. Conductor resistance, self-inductance, and mutual coupling are used to assess overshoot, held-off gate voltage, current sharing, and energy distribution. Failure to meet a target feeds back to geometry or drive settings and, where necessary, voltage partition or parallel count.</w:t>
      </w:r>
    </w:p>
    <w:p>
      <w:pPr>
        <w:keepLines w:val="0"/>
        <w:jc w:val="both"/>
      </w:pPr>
      <w:r>
        <w:rPr>
          <w:color w:val="C00000"/>
        </w:rPr>
        <w:t>The full paper will detail gate-loop sensitivity, inter-driver timing, and the layout iterations. Operating-board verification with its corresponding extracted gate network remains required.</w:t>
      </w:r>
    </w:p>
    <w:p>
      <w:r>
        <w:br w:type="page"/>
      </w:r>
    </w:p>
    <w:p>
      <w:pPr>
        <w:pStyle w:val="Heading1"/>
        <w:keepLines w:val="0"/>
        <w:jc w:val="center"/>
      </w:pPr>
      <w:r>
        <w:t>IV. Routed Building Block and Q3D Extraction</w:t>
      </w:r>
    </w:p>
    <w:p>
      <w:pPr>
        <w:keepLines w:val="0"/>
        <w:jc w:val="both"/>
      </w:pPr>
      <w:r>
        <w:t>Fig. 4 retains both physical board variants and their Q3D conductor models. The operating board represents the intended converter leg; the instrumented double-pulse test (DPT) board includes current-measurement provisions. Separating the variants prevents measurement-induced parasitics from being assigned to the intended converter.</w:t>
      </w:r>
    </w:p>
    <w:p>
      <w:pPr>
        <w:keepNext/>
        <w:keepLines w:val="0"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888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est_hardware_q3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8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Fig. 4. (a) Operating-board and (b) DPT-board renderings; corresponding Q3D power networks in (c) and (d). Colors in the extraction models distinguish electrical nets and terminals, not field magnitude. The source-to-shunt path appears only in the DPT model.</w:t>
      </w:r>
    </w:p>
    <w:p>
      <w:pPr>
        <w:keepLines w:val="0"/>
        <w:jc w:val="both"/>
      </w:pPr>
      <w:r>
        <w:t>Table II separates the power-loop contributions. The evaluated operating-board loop supports the compact-loop sizing assumption, while the DPT geometry and shunt increase commutation inductance. The capacitor equivalent series inductance (ESL) is included separately from the extracted conductors.</w:t>
      </w:r>
    </w:p>
    <w:p>
      <w:pPr>
        <w:keepNext/>
        <w:keepLines w:val="0"/>
        <w:ind w:firstLine="0"/>
        <w:jc w:val="center"/>
      </w:pPr>
      <w:r>
        <w:t>TABLE II</w:t>
        <w:br/>
        <w:t>EVALUATED LOOP INDUCTANCES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4422"/>
        <w:gridCol w:w="2324"/>
        <w:gridCol w:w="2324"/>
      </w:tblGrid>
      <w:tr>
        <w:trPr>
          <w:cantSplit/>
          <w:tblHeader/>
        </w:trPr>
        <w:tc>
          <w:tcPr>
            <w:tcW w:type="dxa" w:w="4422"/>
            <w:vAlign w:val="center"/>
            <w:tcBorders>
              <w:bottom w:val="single" w:sz="4"/>
            </w:tcBorders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324"/>
            <w:vAlign w:val="center"/>
            <w:tcBorders>
              <w:bottom w:val="single" w:sz="4"/>
            </w:tcBorders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Operating board (nH)</w:t>
            </w:r>
          </w:p>
        </w:tc>
        <w:tc>
          <w:tcPr>
            <w:tcW w:type="dxa" w:w="2324"/>
            <w:vAlign w:val="center"/>
            <w:tcBorders>
              <w:bottom w:val="single" w:sz="4"/>
            </w:tcBorders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DPT board (nH)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0"/>
              </w:rPr>
              <w:t>Power conductors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0.35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0.47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0"/>
              </w:rPr>
              <w:t>Capacitor ESL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0.06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0.06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0"/>
              </w:rPr>
              <w:t>Shunt contribution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0.12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0"/>
              </w:rPr>
              <w:t>Total commutation loop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0.41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0.65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0"/>
              </w:rPr>
              <w:t>Individual gate loop, HS / LS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Not extracted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12.5 / 7.6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keepNext w:val="0"/>
              <w:spacing w:before="40" w:after="40"/>
              <w:ind w:firstLine="0"/>
              <w:jc w:val="left"/>
            </w:pPr>
            <w:r>
              <w:rPr>
                <w:b w:val="0"/>
                <w:sz w:val="20"/>
              </w:rPr>
              <w:t>Pair-driven gate loop, HS / LS</w:t>
            </w:r>
          </w:p>
        </w:tc>
        <w:tc>
          <w:tcPr>
            <w:tcW w:type="dxa" w:w="2324"/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Not extracted</w:t>
            </w:r>
          </w:p>
        </w:tc>
        <w:tc>
          <w:tcPr>
            <w:tcW w:type="dxa" w:w="2324"/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20.6 / 12.3</w:t>
            </w:r>
          </w:p>
        </w:tc>
      </w:tr>
    </w:tbl>
    <w:p>
      <w:pPr>
        <w:keepLines w:val="0"/>
        <w:jc w:val="both"/>
      </w:pPr>
      <w:r>
        <w:t>The DPT gate network departs substantially from the preliminary 1.7 nH assumption. The pair-driven values include the shared-path effect: matched branches can retain a large common gate inductance. The power-loop result alone therefore cannot establish switching feasibility. DPT simulations include the extracted gate network, whereas the saved operating-board cases retain the preliminary gate model.</w:t>
      </w:r>
    </w:p>
    <w:p>
      <w:pPr>
        <w:keepLines w:val="0"/>
        <w:jc w:val="both"/>
      </w:pPr>
      <w:r>
        <w:rPr>
          <w:color w:val="C00000"/>
        </w:rPr>
        <w:t>The full paper will provide extraction boundaries, branch and mutual-inductance matrices, gate-loop geometry, and correlation with the measurement arrangement. The revised switching energies will also be used to update the initial loss and temperature estimates.</w:t>
      </w:r>
    </w:p>
    <w:p>
      <w:r>
        <w:br w:type="page"/>
      </w:r>
    </w:p>
    <w:p>
      <w:pPr>
        <w:pStyle w:val="Heading1"/>
        <w:keepLines w:val="0"/>
        <w:jc w:val="center"/>
      </w:pPr>
      <w:r>
        <w:t>V. Switching Assessment and Full Paper Validation</w:t>
      </w:r>
    </w:p>
    <w:p>
      <w:pPr>
        <w:keepLines w:val="0"/>
        <w:jc w:val="both"/>
      </w:pPr>
      <w:r>
        <w:t>Fig. 5 compares simulations at 75 V and approximately 316 A. Increasing the extracted-network DPT turn-on resistance from 2.5 Ω to 3.5 Ω reduces peak drain voltage from approximately 105 V to 93 V, while mean turn-on event energy per device increases from 24.3 µJ to 31.2 µJ.</w:t>
      </w:r>
    </w:p>
    <w:p>
      <w:pPr>
        <w:keepNext/>
        <w:keepLines w:val="0"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642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est_switchin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4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Fig. 5. Simulated (a) high-side drain voltage and (b) held-off gate voltage. Operating cases retain the preliminary gate model; DPT cases use the extracted gate network. Cases in (b) differ in both network and bias.</w:t>
      </w:r>
    </w:p>
    <w:p>
      <w:pPr>
        <w:keepLines w:val="0"/>
        <w:jc w:val="both"/>
      </w:pPr>
      <w:r>
        <w:t>The evaluated 3.5 Ω DPT case remains above the project voltage target. Negative turn-off bias improves held-off gate margin in that configuration, but further shared-gate-path refinement is required. The operating-board switching margin must be reassessed with its extracted gate network.</w:t>
      </w:r>
    </w:p>
    <w:p>
      <w:pPr>
        <w:keepLines w:val="0"/>
        <w:jc w:val="both"/>
      </w:pPr>
      <w:r>
        <w:rPr>
          <w:color w:val="C00000"/>
        </w:rPr>
        <w:t>The full paper will report planned DPT correlation of voltage stress, current sharing, and switching energy. Experimental validation remains pending.</w:t>
      </w:r>
    </w:p>
    <w:p>
      <w:pPr>
        <w:pStyle w:val="Heading1"/>
        <w:keepLines w:val="0"/>
        <w:jc w:val="center"/>
      </w:pPr>
      <w:r>
        <w:t>VI. Conclusion</w:t>
      </w:r>
    </w:p>
    <w:p>
      <w:pPr>
        <w:keepLines w:val="0"/>
        <w:jc w:val="both"/>
      </w:pPr>
      <w:r>
        <w:t>Device screening and single-cell sizing support a four-device SPB building block. Paired drive and extracted-network assessment reveal constraints hidden by the initial lumped model, linking voltage partitioning to physical implementation. The remaining voltage-target gap requires gate-network refinement and experimental validation.</w:t>
      </w:r>
    </w:p>
    <w:p>
      <w:pPr>
        <w:pStyle w:val="Heading1"/>
        <w:keepLines w:val="0"/>
        <w:jc w:val="center"/>
      </w:pPr>
      <w:r>
        <w:t>References</w:t>
      </w:r>
    </w:p>
    <w:p>
      <w:pPr>
        <w:keepLines w:val="0"/>
        <w:spacing w:after="0"/>
        <w:ind w:hanging="312" w:left="312"/>
        <w:jc w:val="left"/>
      </w:pPr>
      <w:r>
        <w:t>[1] S. Norrga et al., “A novel inverter topology for compact EV and HEV drive systems,” Proc. IECON, 2013, pp. 6590–6595.</w:t>
      </w:r>
    </w:p>
    <w:p>
      <w:pPr>
        <w:keepLines w:val="0"/>
        <w:spacing w:after="0"/>
        <w:ind w:hanging="312" w:left="312"/>
        <w:jc w:val="left"/>
      </w:pPr>
      <w:r>
        <w:t>[2] L. Jin et al., “Control and modulation of the stacked polyphase bridges inverter,” Proc. IEEE ECCE, 2014.</w:t>
      </w:r>
    </w:p>
    <w:p>
      <w:pPr>
        <w:keepLines w:val="0"/>
        <w:spacing w:after="0"/>
        <w:ind w:hanging="312" w:left="312"/>
        <w:jc w:val="left"/>
      </w:pPr>
      <w:r>
        <w:t>[3] L. Jin et al., “Modulation and power losses of a stacked polyphase bridge converter,” IEEE J. Emerg. Sel. Topics Power Electron., vol. 5, no. 1, pp. 409–418, 2017.</w:t>
      </w:r>
    </w:p>
    <w:p>
      <w:pPr>
        <w:keepLines w:val="0"/>
        <w:spacing w:after="0"/>
        <w:ind w:hanging="312" w:left="312"/>
        <w:jc w:val="left"/>
      </w:pPr>
      <w:r>
        <w:t>[4] M. Nikouie et al., “DC-link stability analysis and controller design for the stacked polyphase bridges converter,” IEEE Trans. Power Electron., vol. 32, no. 2, pp. 1666–1674, 2017.</w:t>
      </w:r>
    </w:p>
    <w:p>
      <w:pPr>
        <w:keepLines w:val="0"/>
        <w:spacing w:after="0"/>
        <w:ind w:hanging="312" w:left="312"/>
        <w:jc w:val="left"/>
      </w:pPr>
      <w:r>
        <w:t>[5] G. Rohner et al., “Comparative evaluation of three-phase three-level flying capacitor and stacked polyphase bridge GaN inverter systems for integrated motor drives,” Electronics, vol. 13, Art. 1259, 2024.</w:t>
      </w:r>
    </w:p>
    <w:p>
      <w:pPr>
        <w:keepLines w:val="0"/>
        <w:spacing w:after="0"/>
        <w:ind w:hanging="312" w:left="312"/>
        <w:jc w:val="left"/>
      </w:pPr>
      <w:r>
        <w:t>[6] J. A. Brothers and T. Beechner, “GaN module design recommendations based on the analysis of a commercial 3-phase GaN module,” Proc. IEEE ECCE, 2019, pp. 4109–4116.</w:t>
      </w:r>
    </w:p>
    <w:p>
      <w:pPr>
        <w:keepLines w:val="0"/>
        <w:spacing w:after="0"/>
        <w:ind w:hanging="312" w:left="312"/>
        <w:jc w:val="left"/>
      </w:pPr>
      <w:r>
        <w:t>[7] J. Lu and D. Chen, “Paralleling GaN E-HEMTs in 10 kW–100 kW systems,” Proc. IEEE APEC, 2017, pp. 3049–3056.</w:t>
      </w:r>
    </w:p>
    <w:p>
      <w:pPr>
        <w:keepLines w:val="0"/>
        <w:spacing w:after="0"/>
        <w:ind w:hanging="312" w:left="312"/>
        <w:jc w:val="left"/>
      </w:pPr>
      <w:r>
        <w:t>[8] M. T. Tran et al., “A high-performance GaN power module with parallel packaging for high-current and low-voltage traction inverter applications,” IEEE J. Emerg. Sel. Topics Power Electron., vol. 13, no. 1, pp. 1188–1209, 2025.</w:t>
      </w:r>
    </w:p>
    <w:p>
      <w:pPr>
        <w:keepLines w:val="0"/>
        <w:spacing w:after="0"/>
        <w:ind w:hanging="312" w:left="312"/>
        <w:jc w:val="left"/>
      </w:pPr>
      <w:r>
        <w:t>[9] J. Azurza Anderson et al., “New figure-of-merit combining semiconductor and multi-level converter properties,” IEEE Open J. Power Electron., vol. 1, pp. 322–338, 2020, doi: 10.1109/OJPEL.2020.3018220.</w:t>
      </w:r>
    </w:p>
    <w:p>
      <w:pPr>
        <w:keepLines w:val="0"/>
        <w:spacing w:after="0"/>
        <w:ind w:hanging="312" w:left="312"/>
        <w:jc w:val="left"/>
      </w:pPr>
      <w:r>
        <w:t>[10] Efficient Power Conversion, “EPC2361 eGaN FET datasheet,” July 20, 2026.</w:t>
      </w:r>
    </w:p>
    <w:p>
      <w:pPr>
        <w:keepLines w:val="0"/>
        <w:spacing w:after="0"/>
        <w:ind w:hanging="312" w:left="312"/>
        <w:jc w:val="left"/>
      </w:pPr>
      <w:r>
        <w:t>[11] Infineon Technologies, “2EDF7275K data sheet,” rev. 2.8.</w:t>
      </w:r>
    </w:p>
    <w:sectPr w:rsidR="0091443D" w:rsidRPr="0091443D" w:rsidSect="007B0CBB">
      <w:footerReference w:type="default" r:id="rId38"/>
      <w:type w:val="continuous"/>
      <w:pgSz w:w="11906" w:h="16838" w:code="9"/>
      <w:pgMar w:top="1701" w:right="1417" w:bottom="1417" w:left="1417" w:header="680" w:footer="680" w:gutter="0"/>
      <w:cols w:space="0" w:num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A7712" w14:textId="77777777" w:rsidR="00C922B9" w:rsidRDefault="00C922B9">
      <w:r>
        <w:separator/>
      </w:r>
    </w:p>
  </w:endnote>
  <w:endnote w:type="continuationSeparator" w:id="0">
    <w:p w14:paraId="6450A2CE" w14:textId="77777777" w:rsidR="00C922B9" w:rsidRDefault="00C92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9403959"/>
      <w:docPartObj>
        <w:docPartGallery w:val="Page Numbers (Bottom of Page)"/>
        <w:docPartUnique/>
      </w:docPartObj>
    </w:sdtPr>
    <w:sdtContent>
      <w:p w14:paraId="72054570" w14:textId="77777777" w:rsidR="00274D91" w:rsidRDefault="00274D9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3653" w:rsidRPr="005A3653">
          <w:rPr>
            <w:noProof/>
            <w:lang w:val="ko-KR" w:eastAsia="ko-KR"/>
          </w:rPr>
          <w:t>1</w:t>
        </w:r>
        <w:r>
          <w:fldChar w:fldCharType="end"/>
        </w:r>
      </w:p>
    </w:sdtContent>
  </w:sdt>
  <w:p w14:paraId="4F45DEE9" w14:textId="77777777" w:rsidR="00274D91" w:rsidRDefault="00274D91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7165D" w14:textId="77777777" w:rsidR="00C922B9" w:rsidRDefault="00C922B9"/>
  </w:footnote>
  <w:footnote w:type="continuationSeparator" w:id="0">
    <w:p w14:paraId="5B81B34E" w14:textId="77777777" w:rsidR="00C922B9" w:rsidRDefault="00C922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0F2F906"/>
    <w:lvl w:ilvl="0">
      <w:start w:val="1"/>
      <w:numFmt w:val="upperRoman"/>
      <w:pStyle w:val="Heading1"/>
      <w:lvlText w:val="%1."/>
      <w:lvlJc w:val="left"/>
      <w:pPr>
        <w:tabs>
          <w:tab w:val="num" w:pos="720"/>
        </w:tabs>
        <w:ind w:left="0" w:firstLine="0"/>
      </w:pPr>
    </w:lvl>
    <w:lvl w:ilvl="1">
      <w:start w:val="2"/>
      <w:numFmt w:val="upperLetter"/>
      <w:pStyle w:val="Heading2"/>
      <w:lvlText w:val="%2."/>
      <w:lvlJc w:val="left"/>
      <w:pPr>
        <w:tabs>
          <w:tab w:val="num" w:pos="360"/>
        </w:tabs>
        <w:ind w:left="0" w:firstLine="0"/>
      </w:pPr>
    </w:lvl>
    <w:lvl w:ilvl="2">
      <w:start w:val="1"/>
      <w:numFmt w:val="decimal"/>
      <w:pStyle w:val="Heading3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lowerLetter"/>
      <w:pStyle w:val="Heading4"/>
      <w:lvlText w:val="%4)"/>
      <w:lvlJc w:val="left"/>
      <w:pPr>
        <w:tabs>
          <w:tab w:val="num" w:pos="0"/>
        </w:tabs>
        <w:ind w:left="1152" w:hanging="720"/>
      </w:pPr>
    </w:lvl>
    <w:lvl w:ilvl="4">
      <w:start w:val="1"/>
      <w:numFmt w:val="decimal"/>
      <w:pStyle w:val="Heading5"/>
      <w:lvlText w:val="(%5)"/>
      <w:lvlJc w:val="left"/>
      <w:pPr>
        <w:tabs>
          <w:tab w:val="num" w:pos="0"/>
        </w:tabs>
        <w:ind w:left="1872" w:hanging="72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0"/>
        </w:tabs>
        <w:ind w:left="2592" w:hanging="7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0"/>
        </w:tabs>
        <w:ind w:left="3312" w:hanging="72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0"/>
        </w:tabs>
        <w:ind w:left="4032" w:hanging="72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0"/>
        </w:tabs>
        <w:ind w:left="4752" w:hanging="720"/>
      </w:pPr>
    </w:lvl>
  </w:abstractNum>
  <w:abstractNum w:abstractNumId="1" w15:restartNumberingAfterBreak="0">
    <w:nsid w:val="13490E5E"/>
    <w:multiLevelType w:val="hybridMultilevel"/>
    <w:tmpl w:val="995C028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" w15:restartNumberingAfterBreak="0">
    <w:nsid w:val="1C49454D"/>
    <w:multiLevelType w:val="hybridMultilevel"/>
    <w:tmpl w:val="76FC454C"/>
    <w:lvl w:ilvl="0" w:tplc="041D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" w15:restartNumberingAfterBreak="0">
    <w:nsid w:val="31AE188F"/>
    <w:multiLevelType w:val="hybridMultilevel"/>
    <w:tmpl w:val="943C602C"/>
    <w:lvl w:ilvl="0" w:tplc="2E8C0D82">
      <w:start w:val="1"/>
      <w:numFmt w:val="upperLetter"/>
      <w:lvlText w:val="%1."/>
      <w:lvlJc w:val="left"/>
      <w:pPr>
        <w:ind w:left="562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282" w:hanging="360"/>
      </w:pPr>
    </w:lvl>
    <w:lvl w:ilvl="2" w:tplc="041D001B" w:tentative="1">
      <w:start w:val="1"/>
      <w:numFmt w:val="lowerRoman"/>
      <w:lvlText w:val="%3."/>
      <w:lvlJc w:val="right"/>
      <w:pPr>
        <w:ind w:left="2002" w:hanging="180"/>
      </w:pPr>
    </w:lvl>
    <w:lvl w:ilvl="3" w:tplc="041D000F" w:tentative="1">
      <w:start w:val="1"/>
      <w:numFmt w:val="decimal"/>
      <w:lvlText w:val="%4."/>
      <w:lvlJc w:val="left"/>
      <w:pPr>
        <w:ind w:left="2722" w:hanging="360"/>
      </w:pPr>
    </w:lvl>
    <w:lvl w:ilvl="4" w:tplc="041D0019" w:tentative="1">
      <w:start w:val="1"/>
      <w:numFmt w:val="lowerLetter"/>
      <w:lvlText w:val="%5."/>
      <w:lvlJc w:val="left"/>
      <w:pPr>
        <w:ind w:left="3442" w:hanging="360"/>
      </w:pPr>
    </w:lvl>
    <w:lvl w:ilvl="5" w:tplc="041D001B" w:tentative="1">
      <w:start w:val="1"/>
      <w:numFmt w:val="lowerRoman"/>
      <w:lvlText w:val="%6."/>
      <w:lvlJc w:val="right"/>
      <w:pPr>
        <w:ind w:left="4162" w:hanging="180"/>
      </w:pPr>
    </w:lvl>
    <w:lvl w:ilvl="6" w:tplc="041D000F" w:tentative="1">
      <w:start w:val="1"/>
      <w:numFmt w:val="decimal"/>
      <w:lvlText w:val="%7."/>
      <w:lvlJc w:val="left"/>
      <w:pPr>
        <w:ind w:left="4882" w:hanging="360"/>
      </w:pPr>
    </w:lvl>
    <w:lvl w:ilvl="7" w:tplc="041D0019" w:tentative="1">
      <w:start w:val="1"/>
      <w:numFmt w:val="lowerLetter"/>
      <w:lvlText w:val="%8."/>
      <w:lvlJc w:val="left"/>
      <w:pPr>
        <w:ind w:left="5602" w:hanging="360"/>
      </w:pPr>
    </w:lvl>
    <w:lvl w:ilvl="8" w:tplc="041D001B" w:tentative="1">
      <w:start w:val="1"/>
      <w:numFmt w:val="lowerRoman"/>
      <w:lvlText w:val="%9."/>
      <w:lvlJc w:val="right"/>
      <w:pPr>
        <w:ind w:left="6322" w:hanging="180"/>
      </w:pPr>
    </w:lvl>
  </w:abstractNum>
  <w:abstractNum w:abstractNumId="8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3" w15:restartNumberingAfterBreak="0">
    <w:nsid w:val="5C364DF0"/>
    <w:multiLevelType w:val="hybridMultilevel"/>
    <w:tmpl w:val="E1F6414A"/>
    <w:lvl w:ilvl="0" w:tplc="23409F7C">
      <w:start w:val="1"/>
      <w:numFmt w:val="upperLetter"/>
      <w:lvlText w:val="%1."/>
      <w:lvlJc w:val="left"/>
      <w:pPr>
        <w:ind w:left="562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282" w:hanging="360"/>
      </w:pPr>
    </w:lvl>
    <w:lvl w:ilvl="2" w:tplc="041D001B" w:tentative="1">
      <w:start w:val="1"/>
      <w:numFmt w:val="lowerRoman"/>
      <w:lvlText w:val="%3."/>
      <w:lvlJc w:val="right"/>
      <w:pPr>
        <w:ind w:left="2002" w:hanging="180"/>
      </w:pPr>
    </w:lvl>
    <w:lvl w:ilvl="3" w:tplc="041D000F" w:tentative="1">
      <w:start w:val="1"/>
      <w:numFmt w:val="decimal"/>
      <w:lvlText w:val="%4."/>
      <w:lvlJc w:val="left"/>
      <w:pPr>
        <w:ind w:left="2722" w:hanging="360"/>
      </w:pPr>
    </w:lvl>
    <w:lvl w:ilvl="4" w:tplc="041D0019" w:tentative="1">
      <w:start w:val="1"/>
      <w:numFmt w:val="lowerLetter"/>
      <w:lvlText w:val="%5."/>
      <w:lvlJc w:val="left"/>
      <w:pPr>
        <w:ind w:left="3442" w:hanging="360"/>
      </w:pPr>
    </w:lvl>
    <w:lvl w:ilvl="5" w:tplc="041D001B" w:tentative="1">
      <w:start w:val="1"/>
      <w:numFmt w:val="lowerRoman"/>
      <w:lvlText w:val="%6."/>
      <w:lvlJc w:val="right"/>
      <w:pPr>
        <w:ind w:left="4162" w:hanging="180"/>
      </w:pPr>
    </w:lvl>
    <w:lvl w:ilvl="6" w:tplc="041D000F" w:tentative="1">
      <w:start w:val="1"/>
      <w:numFmt w:val="decimal"/>
      <w:lvlText w:val="%7."/>
      <w:lvlJc w:val="left"/>
      <w:pPr>
        <w:ind w:left="4882" w:hanging="360"/>
      </w:pPr>
    </w:lvl>
    <w:lvl w:ilvl="7" w:tplc="041D0019" w:tentative="1">
      <w:start w:val="1"/>
      <w:numFmt w:val="lowerLetter"/>
      <w:lvlText w:val="%8."/>
      <w:lvlJc w:val="left"/>
      <w:pPr>
        <w:ind w:left="5602" w:hanging="360"/>
      </w:pPr>
    </w:lvl>
    <w:lvl w:ilvl="8" w:tplc="041D001B" w:tentative="1">
      <w:start w:val="1"/>
      <w:numFmt w:val="lowerRoman"/>
      <w:lvlText w:val="%9."/>
      <w:lvlJc w:val="right"/>
      <w:pPr>
        <w:ind w:left="6322" w:hanging="180"/>
      </w:pPr>
    </w:lvl>
  </w:abstractNum>
  <w:abstractNum w:abstractNumId="14" w15:restartNumberingAfterBreak="0">
    <w:nsid w:val="60614219"/>
    <w:multiLevelType w:val="hybridMultilevel"/>
    <w:tmpl w:val="9A449A54"/>
    <w:lvl w:ilvl="0" w:tplc="041D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C330B"/>
    <w:multiLevelType w:val="hybridMultilevel"/>
    <w:tmpl w:val="763ECACE"/>
    <w:lvl w:ilvl="0" w:tplc="22268D70">
      <w:start w:val="1"/>
      <w:numFmt w:val="upperLetter"/>
      <w:lvlText w:val="%1."/>
      <w:lvlJc w:val="left"/>
      <w:pPr>
        <w:ind w:left="56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2" w:hanging="400"/>
      </w:pPr>
    </w:lvl>
    <w:lvl w:ilvl="2" w:tplc="0409001B" w:tentative="1">
      <w:start w:val="1"/>
      <w:numFmt w:val="lowerRoman"/>
      <w:lvlText w:val="%3."/>
      <w:lvlJc w:val="right"/>
      <w:pPr>
        <w:ind w:left="1402" w:hanging="400"/>
      </w:pPr>
    </w:lvl>
    <w:lvl w:ilvl="3" w:tplc="0409000F" w:tentative="1">
      <w:start w:val="1"/>
      <w:numFmt w:val="decimal"/>
      <w:lvlText w:val="%4."/>
      <w:lvlJc w:val="left"/>
      <w:pPr>
        <w:ind w:left="1802" w:hanging="400"/>
      </w:pPr>
    </w:lvl>
    <w:lvl w:ilvl="4" w:tplc="04090019" w:tentative="1">
      <w:start w:val="1"/>
      <w:numFmt w:val="upperLetter"/>
      <w:lvlText w:val="%5."/>
      <w:lvlJc w:val="left"/>
      <w:pPr>
        <w:ind w:left="2202" w:hanging="400"/>
      </w:pPr>
    </w:lvl>
    <w:lvl w:ilvl="5" w:tplc="0409001B" w:tentative="1">
      <w:start w:val="1"/>
      <w:numFmt w:val="lowerRoman"/>
      <w:lvlText w:val="%6."/>
      <w:lvlJc w:val="right"/>
      <w:pPr>
        <w:ind w:left="2602" w:hanging="400"/>
      </w:pPr>
    </w:lvl>
    <w:lvl w:ilvl="6" w:tplc="0409000F" w:tentative="1">
      <w:start w:val="1"/>
      <w:numFmt w:val="decimal"/>
      <w:lvlText w:val="%7."/>
      <w:lvlJc w:val="left"/>
      <w:pPr>
        <w:ind w:left="3002" w:hanging="400"/>
      </w:pPr>
    </w:lvl>
    <w:lvl w:ilvl="7" w:tplc="04090019" w:tentative="1">
      <w:start w:val="1"/>
      <w:numFmt w:val="upperLetter"/>
      <w:lvlText w:val="%8."/>
      <w:lvlJc w:val="left"/>
      <w:pPr>
        <w:ind w:left="3402" w:hanging="400"/>
      </w:pPr>
    </w:lvl>
    <w:lvl w:ilvl="8" w:tplc="0409001B" w:tentative="1">
      <w:start w:val="1"/>
      <w:numFmt w:val="lowerRoman"/>
      <w:lvlText w:val="%9."/>
      <w:lvlJc w:val="right"/>
      <w:pPr>
        <w:ind w:left="3802" w:hanging="400"/>
      </w:pPr>
    </w:lvl>
  </w:abstractNum>
  <w:abstractNum w:abstractNumId="16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246572257">
    <w:abstractNumId w:val="0"/>
  </w:num>
  <w:num w:numId="2" w16cid:durableId="1239438200">
    <w:abstractNumId w:val="6"/>
  </w:num>
  <w:num w:numId="3" w16cid:durableId="867523258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1938370422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529729400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432238188">
    <w:abstractNumId w:val="10"/>
  </w:num>
  <w:num w:numId="7" w16cid:durableId="26955956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282375398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1434982848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993945883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1860703646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65610694">
    <w:abstractNumId w:val="8"/>
  </w:num>
  <w:num w:numId="13" w16cid:durableId="81033629">
    <w:abstractNumId w:val="2"/>
  </w:num>
  <w:num w:numId="14" w16cid:durableId="1197768108">
    <w:abstractNumId w:val="12"/>
  </w:num>
  <w:num w:numId="15" w16cid:durableId="748190752">
    <w:abstractNumId w:val="11"/>
  </w:num>
  <w:num w:numId="16" w16cid:durableId="130097550">
    <w:abstractNumId w:val="17"/>
  </w:num>
  <w:num w:numId="17" w16cid:durableId="1635714208">
    <w:abstractNumId w:val="5"/>
  </w:num>
  <w:num w:numId="18" w16cid:durableId="2054695642">
    <w:abstractNumId w:val="4"/>
  </w:num>
  <w:num w:numId="19" w16cid:durableId="1646350215">
    <w:abstractNumId w:val="16"/>
  </w:num>
  <w:num w:numId="20" w16cid:durableId="1411587028">
    <w:abstractNumId w:val="9"/>
  </w:num>
  <w:num w:numId="21" w16cid:durableId="477697188">
    <w:abstractNumId w:val="0"/>
  </w:num>
  <w:num w:numId="22" w16cid:durableId="1504978579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24029248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91217356">
    <w:abstractNumId w:val="0"/>
  </w:num>
  <w:num w:numId="25" w16cid:durableId="956721352">
    <w:abstractNumId w:val="0"/>
  </w:num>
  <w:num w:numId="26" w16cid:durableId="1817145002">
    <w:abstractNumId w:val="0"/>
  </w:num>
  <w:num w:numId="27" w16cid:durableId="798690097">
    <w:abstractNumId w:val="1"/>
  </w:num>
  <w:num w:numId="28" w16cid:durableId="1253584373">
    <w:abstractNumId w:val="15"/>
  </w:num>
  <w:num w:numId="29" w16cid:durableId="1392387872">
    <w:abstractNumId w:val="0"/>
  </w:num>
  <w:num w:numId="30" w16cid:durableId="89741295">
    <w:abstractNumId w:val="3"/>
  </w:num>
  <w:num w:numId="31" w16cid:durableId="518589642">
    <w:abstractNumId w:val="14"/>
  </w:num>
  <w:num w:numId="32" w16cid:durableId="1399937764">
    <w:abstractNumId w:val="7"/>
  </w:num>
  <w:num w:numId="33" w16cid:durableId="14956877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2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5F0"/>
    <w:rsid w:val="00013BE4"/>
    <w:rsid w:val="0004011E"/>
    <w:rsid w:val="000450CD"/>
    <w:rsid w:val="00047736"/>
    <w:rsid w:val="00061A01"/>
    <w:rsid w:val="00081E0D"/>
    <w:rsid w:val="00087550"/>
    <w:rsid w:val="000B5869"/>
    <w:rsid w:val="000F2F6B"/>
    <w:rsid w:val="001539A0"/>
    <w:rsid w:val="00173251"/>
    <w:rsid w:val="001735BB"/>
    <w:rsid w:val="0020511C"/>
    <w:rsid w:val="00274D91"/>
    <w:rsid w:val="00282A25"/>
    <w:rsid w:val="00292C53"/>
    <w:rsid w:val="00296375"/>
    <w:rsid w:val="002C2686"/>
    <w:rsid w:val="002C4088"/>
    <w:rsid w:val="002D56D6"/>
    <w:rsid w:val="0030559F"/>
    <w:rsid w:val="00307405"/>
    <w:rsid w:val="00327CEA"/>
    <w:rsid w:val="003501C5"/>
    <w:rsid w:val="00351A09"/>
    <w:rsid w:val="003861B5"/>
    <w:rsid w:val="00393F0F"/>
    <w:rsid w:val="003B2F45"/>
    <w:rsid w:val="003D5889"/>
    <w:rsid w:val="003F0C0A"/>
    <w:rsid w:val="00400923"/>
    <w:rsid w:val="00421641"/>
    <w:rsid w:val="00421C4B"/>
    <w:rsid w:val="004458A0"/>
    <w:rsid w:val="00484003"/>
    <w:rsid w:val="004A5A80"/>
    <w:rsid w:val="004E2956"/>
    <w:rsid w:val="0052771E"/>
    <w:rsid w:val="00545B36"/>
    <w:rsid w:val="00550FB3"/>
    <w:rsid w:val="005517CC"/>
    <w:rsid w:val="00560A69"/>
    <w:rsid w:val="005A3653"/>
    <w:rsid w:val="005F6E49"/>
    <w:rsid w:val="00637BDF"/>
    <w:rsid w:val="00641C9C"/>
    <w:rsid w:val="00666928"/>
    <w:rsid w:val="00666DFE"/>
    <w:rsid w:val="00694599"/>
    <w:rsid w:val="006A2AF5"/>
    <w:rsid w:val="00715DCE"/>
    <w:rsid w:val="0072663C"/>
    <w:rsid w:val="007313FE"/>
    <w:rsid w:val="00731C6C"/>
    <w:rsid w:val="00742EC4"/>
    <w:rsid w:val="007955F0"/>
    <w:rsid w:val="007B0CBB"/>
    <w:rsid w:val="007C1C3A"/>
    <w:rsid w:val="008332B7"/>
    <w:rsid w:val="008624DB"/>
    <w:rsid w:val="008A691C"/>
    <w:rsid w:val="008B364C"/>
    <w:rsid w:val="008F48B4"/>
    <w:rsid w:val="009134B2"/>
    <w:rsid w:val="0091443D"/>
    <w:rsid w:val="0095141B"/>
    <w:rsid w:val="00962B1E"/>
    <w:rsid w:val="00967609"/>
    <w:rsid w:val="00967EC8"/>
    <w:rsid w:val="00987DD7"/>
    <w:rsid w:val="009A18F9"/>
    <w:rsid w:val="009A3CC5"/>
    <w:rsid w:val="00A05B33"/>
    <w:rsid w:val="00A250BB"/>
    <w:rsid w:val="00A322F9"/>
    <w:rsid w:val="00A41123"/>
    <w:rsid w:val="00A72593"/>
    <w:rsid w:val="00A95CA3"/>
    <w:rsid w:val="00AA5AFA"/>
    <w:rsid w:val="00AB5F7C"/>
    <w:rsid w:val="00AE072A"/>
    <w:rsid w:val="00AF4A00"/>
    <w:rsid w:val="00B0087F"/>
    <w:rsid w:val="00B110FF"/>
    <w:rsid w:val="00B20DFE"/>
    <w:rsid w:val="00B62ADF"/>
    <w:rsid w:val="00B83960"/>
    <w:rsid w:val="00B93F5C"/>
    <w:rsid w:val="00BA7519"/>
    <w:rsid w:val="00BC031D"/>
    <w:rsid w:val="00BE7944"/>
    <w:rsid w:val="00C66CBB"/>
    <w:rsid w:val="00C72966"/>
    <w:rsid w:val="00C75F44"/>
    <w:rsid w:val="00C761BF"/>
    <w:rsid w:val="00C922B9"/>
    <w:rsid w:val="00CA2DC3"/>
    <w:rsid w:val="00CC293F"/>
    <w:rsid w:val="00D01A0F"/>
    <w:rsid w:val="00D10ECB"/>
    <w:rsid w:val="00D3066C"/>
    <w:rsid w:val="00D3131A"/>
    <w:rsid w:val="00D54E20"/>
    <w:rsid w:val="00D858FA"/>
    <w:rsid w:val="00DC4C61"/>
    <w:rsid w:val="00E07EB4"/>
    <w:rsid w:val="00E21A1E"/>
    <w:rsid w:val="00E447FC"/>
    <w:rsid w:val="00E91D06"/>
    <w:rsid w:val="00E94290"/>
    <w:rsid w:val="00E9575C"/>
    <w:rsid w:val="00EA1023"/>
    <w:rsid w:val="00ED1BC9"/>
    <w:rsid w:val="00EE57E9"/>
    <w:rsid w:val="00EF60A0"/>
    <w:rsid w:val="00F64E93"/>
    <w:rsid w:val="00F7616F"/>
    <w:rsid w:val="00F9131A"/>
    <w:rsid w:val="00F92076"/>
    <w:rsid w:val="00F93D1F"/>
    <w:rsid w:val="00F962A8"/>
    <w:rsid w:val="00FA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0BEA8C"/>
  <w15:docId w15:val="{063A8087-D2FC-4C47-B409-6B316377B4BD}"/>
  <w:updateField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50CD"/>
    <w:pPr>
      <w:pageBreakBefore w:val="0"/>
      <w:widowControl/>
      <w:autoSpaceDE w:val="0"/>
      <w:autoSpaceDN w:val="0"/>
      <w:spacing w:line="240" w:lineRule="auto" w:before="0" w:after="50"/>
      <w:ind w:firstLine="198"/>
    </w:pPr>
    <w:rPr>
      <w:rFonts w:ascii="Times New Roman" w:hAnsi="Times New Roman"/>
      <w:color w:val="000000"/>
      <w:sz w:val="20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07EB4"/>
    <w:pPr>
      <w:keepNext/>
      <w:pageBreakBefore w:val="0"/>
      <w:spacing w:before="160" w:after="80" w:line="240" w:lineRule="auto"/>
      <w:ind w:firstLine="0"/>
      <w:jc w:val="center"/>
      <w:outlineLvl w:val="0"/>
    </w:pPr>
    <w:rPr>
      <w:rFonts w:ascii="Times New Roman" w:hAnsi="Times New Roman"/>
      <w:b/>
      <w:i w:val="0"/>
      <w:smallCaps/>
      <w:color w:val="000000"/>
      <w:kern w:val="28"/>
      <w:sz w:val="20"/>
    </w:rPr>
  </w:style>
  <w:style w:type="paragraph" w:styleId="Heading2">
    <w:name w:val="heading 2"/>
    <w:basedOn w:val="Normal"/>
    <w:next w:val="Normal"/>
    <w:link w:val="Heading2Char"/>
    <w:qFormat/>
    <w:rsid w:val="00E07EB4"/>
    <w:pPr>
      <w:keepNext/>
      <w:pageBreakBefore w:val="0"/>
      <w:spacing w:before="100" w:after="60" w:line="240" w:lineRule="auto"/>
      <w:ind w:firstLine="0"/>
      <w:outlineLvl w:val="1"/>
    </w:pPr>
    <w:rPr>
      <w:rFonts w:ascii="Times New Roman" w:hAnsi="Times New Roman"/>
      <w:b w:val="0"/>
      <w:i/>
      <w:iCs/>
      <w:color w:val="000000"/>
      <w:sz w:val="20"/>
    </w:rPr>
  </w:style>
  <w:style w:type="paragraph" w:styleId="Heading3">
    <w:name w:val="heading 3"/>
    <w:basedOn w:val="Normal"/>
    <w:next w:val="Normal"/>
    <w:qFormat/>
    <w:rsid w:val="00E07EB4"/>
    <w:pPr>
      <w:keepNext/>
      <w:pageBreakBefore w:val="0"/>
      <w:outlineLvl w:val="2"/>
    </w:pPr>
    <w:rPr>
      <w:rFonts w:ascii="Times New Roman" w:hAnsi="Times New Roman"/>
      <w:i/>
      <w:iCs/>
      <w:color w:val="000000"/>
    </w:rPr>
  </w:style>
  <w:style w:type="paragraph" w:styleId="Heading4">
    <w:name w:val="heading 4"/>
    <w:basedOn w:val="Normal"/>
    <w:next w:val="Normal"/>
    <w:qFormat/>
    <w:rsid w:val="00E07EB4"/>
    <w:pPr>
      <w:keepNext/>
      <w:pageBreakBefore w:val="0"/>
      <w:spacing w:before="240" w:after="60"/>
      <w:outlineLvl w:val="3"/>
    </w:pPr>
    <w:rPr>
      <w:rFonts w:ascii="Times New Roman" w:hAnsi="Times New Roman"/>
      <w:i/>
      <w:iCs/>
      <w:color w:val="000000"/>
      <w:sz w:val="18"/>
      <w:szCs w:val="18"/>
    </w:rPr>
  </w:style>
  <w:style w:type="paragraph" w:styleId="Heading5">
    <w:name w:val="heading 5"/>
    <w:basedOn w:val="Normal"/>
    <w:next w:val="Normal"/>
    <w:qFormat/>
    <w:rsid w:val="00E07EB4"/>
    <w:pPr>
      <w:pageBreakBefore w:val="0"/>
      <w:spacing w:before="240" w:after="60"/>
      <w:outlineLvl w:val="4"/>
    </w:pPr>
    <w:rPr>
      <w:rFonts w:ascii="Times New Roman" w:hAnsi="Times New Roman"/>
      <w:color w:val="000000"/>
      <w:sz w:val="18"/>
      <w:szCs w:val="18"/>
    </w:rPr>
  </w:style>
  <w:style w:type="paragraph" w:styleId="Heading6">
    <w:name w:val="heading 6"/>
    <w:basedOn w:val="Normal"/>
    <w:next w:val="Normal"/>
    <w:qFormat/>
    <w:rsid w:val="00E07EB4"/>
    <w:pPr>
      <w:pageBreakBefore w:val="0"/>
      <w:spacing w:before="240" w:after="60"/>
      <w:outlineLvl w:val="5"/>
    </w:pPr>
    <w:rPr>
      <w:rFonts w:ascii="Times New Roman" w:hAnsi="Times New Roman"/>
      <w:i/>
      <w:iCs/>
      <w:color w:val="000000"/>
      <w:sz w:val="16"/>
      <w:szCs w:val="16"/>
    </w:rPr>
  </w:style>
  <w:style w:type="paragraph" w:styleId="Heading7">
    <w:name w:val="heading 7"/>
    <w:basedOn w:val="Normal"/>
    <w:next w:val="Normal"/>
    <w:qFormat/>
    <w:rsid w:val="00E07EB4"/>
    <w:pPr>
      <w:pageBreakBefore w:val="0"/>
      <w:spacing w:before="240" w:after="60"/>
      <w:outlineLvl w:val="6"/>
    </w:pPr>
    <w:rPr>
      <w:rFonts w:ascii="Times New Roman" w:hAnsi="Times New Roman"/>
      <w:color w:val="000000"/>
      <w:sz w:val="16"/>
      <w:szCs w:val="16"/>
    </w:rPr>
  </w:style>
  <w:style w:type="paragraph" w:styleId="Heading8">
    <w:name w:val="heading 8"/>
    <w:basedOn w:val="Normal"/>
    <w:next w:val="Normal"/>
    <w:qFormat/>
    <w:rsid w:val="00E07EB4"/>
    <w:pPr>
      <w:pageBreakBefore w:val="0"/>
      <w:spacing w:before="240" w:after="60"/>
      <w:outlineLvl w:val="7"/>
    </w:pPr>
    <w:rPr>
      <w:rFonts w:ascii="Times New Roman" w:hAnsi="Times New Roman"/>
      <w:i/>
      <w:iCs/>
      <w:color w:val="000000"/>
      <w:sz w:val="16"/>
      <w:szCs w:val="16"/>
    </w:rPr>
  </w:style>
  <w:style w:type="paragraph" w:styleId="Heading9">
    <w:name w:val="heading 9"/>
    <w:basedOn w:val="Normal"/>
    <w:next w:val="Normal"/>
    <w:qFormat/>
    <w:rsid w:val="00E07EB4"/>
    <w:pPr>
      <w:pageBreakBefore w:val="0"/>
      <w:spacing w:before="240" w:after="60"/>
      <w:outlineLvl w:val="8"/>
    </w:pPr>
    <w:rPr>
      <w:rFonts w:ascii="Times New Roman" w:hAnsi="Times New Roman"/>
      <w:color w:val="000000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rsid w:val="00E07EB4"/>
    <w:pPr>
      <w:pageBreakBefore w:val="0"/>
      <w:spacing w:before="20"/>
      <w:ind w:firstLine="202"/>
      <w:jc w:val="both"/>
    </w:pPr>
    <w:rPr>
      <w:rFonts w:ascii="Times New Roman" w:hAnsi="Times New Roman"/>
      <w:b/>
      <w:bCs/>
      <w:color w:val="000000"/>
      <w:sz w:val="18"/>
      <w:szCs w:val="18"/>
    </w:rPr>
  </w:style>
  <w:style w:type="paragraph" w:customStyle="1" w:styleId="Authors">
    <w:name w:val="Authors"/>
    <w:basedOn w:val="Normal"/>
    <w:next w:val="Normal"/>
    <w:rsid w:val="00E07EB4"/>
    <w:pPr>
      <w:pageBreakBefore w:val="0"/>
      <w:spacing w:after="320"/>
      <w:jc w:val="center"/>
    </w:pPr>
    <w:rPr>
      <w:rFonts w:ascii="Times New Roman" w:hAnsi="Times New Roman"/>
      <w:color w:val="000000"/>
      <w:sz w:val="22"/>
      <w:szCs w:val="22"/>
    </w:rPr>
  </w:style>
  <w:style w:type="character" w:customStyle="1" w:styleId="MemberType">
    <w:name w:val="MemberType"/>
    <w:basedOn w:val="DefaultParagraphFont"/>
    <w:rsid w:val="00E07EB4"/>
    <w:rPr>
      <w:rFonts w:ascii="Times New Roman" w:hAnsi="Times New Roman" w:cs="Times New Roman"/>
      <w:i/>
      <w:iCs/>
      <w:sz w:val="22"/>
      <w:szCs w:val="22"/>
    </w:rPr>
  </w:style>
  <w:style w:type="paragraph" w:styleId="Title">
    <w:name w:val="Title"/>
    <w:basedOn w:val="Normal"/>
    <w:next w:val="Normal"/>
    <w:qFormat/>
    <w:rsid w:val="00E07EB4"/>
    <w:pPr>
      <w:pageBreakBefore w:val="0"/>
      <w:spacing w:line="240" w:lineRule="auto" w:after="180"/>
      <w:ind w:firstLine="0"/>
      <w:jc w:val="center"/>
    </w:pPr>
    <w:rPr>
      <w:rFonts w:ascii="Times New Roman" w:hAnsi="Times New Roman"/>
      <w:b/>
      <w:color w:val="000000"/>
      <w:kern w:val="28"/>
      <w:sz w:val="32"/>
      <w:szCs w:val="48"/>
    </w:rPr>
  </w:style>
  <w:style w:type="paragraph" w:styleId="FootnoteText">
    <w:name w:val="footnote text"/>
    <w:basedOn w:val="Normal"/>
    <w:semiHidden/>
    <w:rsid w:val="00E07EB4"/>
    <w:pPr>
      <w:pageBreakBefore w:val="0"/>
      <w:ind w:firstLine="202"/>
      <w:jc w:val="both"/>
    </w:pPr>
    <w:rPr>
      <w:rFonts w:ascii="Times New Roman" w:hAnsi="Times New Roman"/>
      <w:color w:val="000000"/>
      <w:sz w:val="16"/>
      <w:szCs w:val="16"/>
    </w:rPr>
  </w:style>
  <w:style w:type="paragraph" w:customStyle="1" w:styleId="References">
    <w:name w:val="References"/>
    <w:basedOn w:val="Normal"/>
    <w:rsid w:val="00E07EB4"/>
    <w:pPr>
      <w:pageBreakBefore w:val="0"/>
      <w:jc w:val="both"/>
    </w:pPr>
    <w:rPr>
      <w:rFonts w:ascii="Times New Roman" w:hAnsi="Times New Roman"/>
      <w:color w:val="000000"/>
      <w:sz w:val="16"/>
      <w:szCs w:val="16"/>
    </w:rPr>
  </w:style>
  <w:style w:type="paragraph" w:customStyle="1" w:styleId="IndexTerms">
    <w:name w:val="IndexTerms"/>
    <w:basedOn w:val="Normal"/>
    <w:next w:val="Normal"/>
    <w:rsid w:val="00E07EB4"/>
    <w:pPr>
      <w:pageBreakBefore w:val="0"/>
      <w:ind w:firstLine="202"/>
      <w:jc w:val="both"/>
    </w:pPr>
    <w:rPr>
      <w:rFonts w:ascii="Times New Roman" w:hAnsi="Times New Roman"/>
      <w:b/>
      <w:bCs/>
      <w:color w:val="000000"/>
      <w:sz w:val="18"/>
      <w:szCs w:val="18"/>
    </w:rPr>
  </w:style>
  <w:style w:type="character" w:styleId="FootnoteReference">
    <w:name w:val="footnote reference"/>
    <w:basedOn w:val="DefaultParagraphFont"/>
    <w:semiHidden/>
    <w:rsid w:val="00E07EB4"/>
    <w:rPr>
      <w:vertAlign w:val="superscript"/>
    </w:rPr>
  </w:style>
  <w:style w:type="paragraph" w:styleId="Footer">
    <w:name w:val="footer"/>
    <w:basedOn w:val="Normal"/>
    <w:link w:val="FooterChar"/>
    <w:uiPriority w:val="99"/>
    <w:rsid w:val="00E07EB4"/>
    <w:pPr>
      <w:pageBreakBefore w:val="0"/>
      <w:tabs>
        <w:tab w:val="center" w:pos="4320"/>
        <w:tab w:val="right" w:pos="8640"/>
      </w:tabs>
    </w:pPr>
    <w:rPr>
      <w:rFonts w:ascii="Times New Roman" w:hAnsi="Times New Roman"/>
      <w:color w:val="000000"/>
    </w:rPr>
  </w:style>
  <w:style w:type="paragraph" w:customStyle="1" w:styleId="Text">
    <w:name w:val="Text"/>
    <w:basedOn w:val="Normal"/>
    <w:rsid w:val="00E07EB4"/>
    <w:pPr>
      <w:pageBreakBefore w:val="0"/>
      <w:widowControl w:val="0"/>
      <w:spacing w:line="252" w:lineRule="auto"/>
      <w:ind w:firstLine="202"/>
      <w:jc w:val="both"/>
    </w:pPr>
    <w:rPr>
      <w:rFonts w:ascii="Times New Roman" w:hAnsi="Times New Roman"/>
      <w:color w:val="000000"/>
    </w:rPr>
  </w:style>
  <w:style w:type="paragraph" w:customStyle="1" w:styleId="FigureCaption">
    <w:name w:val="Figure Caption"/>
    <w:basedOn w:val="Normal"/>
    <w:rsid w:val="00E07EB4"/>
    <w:pPr>
      <w:pageBreakBefore w:val="0"/>
      <w:jc w:val="both"/>
    </w:pPr>
    <w:rPr>
      <w:rFonts w:ascii="Times New Roman" w:hAnsi="Times New Roman"/>
      <w:color w:val="000000"/>
      <w:sz w:val="16"/>
      <w:szCs w:val="16"/>
    </w:rPr>
  </w:style>
  <w:style w:type="paragraph" w:customStyle="1" w:styleId="TableTitle">
    <w:name w:val="Table Title"/>
    <w:basedOn w:val="Normal"/>
    <w:rsid w:val="00E07EB4"/>
    <w:pPr>
      <w:pageBreakBefore w:val="0"/>
      <w:jc w:val="center"/>
    </w:pPr>
    <w:rPr>
      <w:rFonts w:ascii="Times New Roman" w:hAnsi="Times New Roman"/>
      <w:smallCaps/>
      <w:color w:val="000000"/>
      <w:sz w:val="16"/>
      <w:szCs w:val="16"/>
    </w:rPr>
  </w:style>
  <w:style w:type="paragraph" w:customStyle="1" w:styleId="ReferenceHead">
    <w:name w:val="Reference Head"/>
    <w:basedOn w:val="Heading1"/>
    <w:rsid w:val="00E07EB4"/>
    <w:pPr>
      <w:pageBreakBefore w:val="0"/>
    </w:pPr>
    <w:rPr>
      <w:rFonts w:ascii="Times New Roman" w:hAnsi="Times New Roman"/>
      <w:color w:val="000000"/>
    </w:rPr>
  </w:style>
  <w:style w:type="paragraph" w:styleId="Header">
    <w:name w:val="header"/>
    <w:basedOn w:val="Normal"/>
    <w:rsid w:val="00E07EB4"/>
    <w:pPr>
      <w:pageBreakBefore w:val="0"/>
      <w:tabs>
        <w:tab w:val="center" w:pos="4320"/>
        <w:tab w:val="right" w:pos="8640"/>
      </w:tabs>
    </w:pPr>
    <w:rPr>
      <w:rFonts w:ascii="Times New Roman" w:hAnsi="Times New Roman"/>
      <w:color w:val="000000"/>
    </w:rPr>
  </w:style>
  <w:style w:type="paragraph" w:customStyle="1" w:styleId="Equation">
    <w:name w:val="Equation"/>
    <w:basedOn w:val="Normal"/>
    <w:next w:val="Normal"/>
    <w:rsid w:val="00E07EB4"/>
    <w:pPr>
      <w:pageBreakBefore w:val="0"/>
      <w:widowControl w:val="0"/>
      <w:tabs>
        <w:tab w:val="right" w:pos="5040"/>
      </w:tabs>
      <w:spacing w:line="252" w:lineRule="auto"/>
      <w:jc w:val="both"/>
    </w:pPr>
    <w:rPr>
      <w:rFonts w:ascii="Times New Roman" w:hAnsi="Times New Roman"/>
      <w:color w:val="000000"/>
    </w:rPr>
  </w:style>
  <w:style w:type="character" w:styleId="Hyperlink">
    <w:name w:val="Hyperlink"/>
    <w:basedOn w:val="DefaultParagraphFont"/>
    <w:rsid w:val="00E07EB4"/>
    <w:rPr>
      <w:color w:val="0000FF"/>
      <w:u w:val="single"/>
    </w:rPr>
  </w:style>
  <w:style w:type="character" w:styleId="FollowedHyperlink">
    <w:name w:val="FollowedHyperlink"/>
    <w:basedOn w:val="DefaultParagraphFont"/>
    <w:rsid w:val="00E07EB4"/>
    <w:rPr>
      <w:color w:val="800080"/>
      <w:u w:val="single"/>
    </w:rPr>
  </w:style>
  <w:style w:type="paragraph" w:styleId="BodyTextIndent">
    <w:name w:val="Body Text Indent"/>
    <w:basedOn w:val="Normal"/>
    <w:rsid w:val="00E07EB4"/>
    <w:pPr>
      <w:pageBreakBefore w:val="0"/>
      <w:ind w:left="630" w:hanging="630"/>
    </w:pPr>
    <w:rPr>
      <w:rFonts w:ascii="Times New Roman" w:hAnsi="Times New Roman"/>
      <w:color w:val="000000"/>
      <w:szCs w:val="24"/>
    </w:rPr>
  </w:style>
  <w:style w:type="paragraph" w:styleId="Caption">
    <w:name w:val="caption"/>
    <w:basedOn w:val="Normal"/>
    <w:next w:val="Normal"/>
    <w:qFormat/>
    <w:rsid w:val="00E07EB4"/>
    <w:pPr>
      <w:pageBreakBefore w:val="0"/>
      <w:spacing w:before="120" w:after="120" w:line="240" w:lineRule="auto"/>
      <w:ind w:firstLine="0"/>
    </w:pPr>
    <w:rPr>
      <w:rFonts w:ascii="Times New Roman" w:hAnsi="Times New Roman"/>
      <w:b w:val="0"/>
      <w:color w:val="000000"/>
      <w:sz w:val="20"/>
    </w:rPr>
  </w:style>
  <w:style w:type="paragraph" w:styleId="DocumentMap">
    <w:name w:val="Document Map"/>
    <w:basedOn w:val="Normal"/>
    <w:semiHidden/>
    <w:rsid w:val="00E07EB4"/>
    <w:pPr>
      <w:pageBreakBefore w:val="0"/>
      <w:shd w:val="clear" w:color="auto" w:fill="000080"/>
    </w:pPr>
    <w:rPr>
      <w:rFonts w:ascii="Times New Roman" w:hAnsi="Times New Roman"/>
      <w:color w:val="000000"/>
    </w:rPr>
  </w:style>
  <w:style w:type="table" w:styleId="TableGrid">
    <w:name w:val="Table Grid"/>
    <w:basedOn w:val="TableNormal"/>
    <w:rsid w:val="00BA751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D56D6"/>
    <w:pPr>
      <w:pageBreakBefore w:val="0"/>
    </w:pPr>
    <w:rPr>
      <w:rFonts w:cstheme="majorBidi" w:ascii="Times New Roman" w:hAnsi="Times New Roman"/>
      <w:color w:val="000000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D56D6"/>
    <w:rPr>
      <w:rFonts w:asciiTheme="majorHAnsi" w:eastAsiaTheme="majorEastAsia" w:hAnsiTheme="majorHAnsi" w:cstheme="majorBidi"/>
      <w:sz w:val="18"/>
      <w:szCs w:val="18"/>
      <w:lang w:eastAsia="en-US"/>
    </w:rPr>
  </w:style>
  <w:style w:type="paragraph" w:styleId="Revision">
    <w:name w:val="Revision"/>
    <w:hidden/>
    <w:uiPriority w:val="99"/>
    <w:semiHidden/>
    <w:rsid w:val="00F92076"/>
    <w:pPr>
      <w:pageBreakBefore w:val="0"/>
    </w:pPr>
    <w:rPr>
      <w:rFonts w:ascii="Times New Roman" w:hAnsi="Times New Roman"/>
      <w:color w:val="000000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4D91"/>
    <w:rPr>
      <w:lang w:eastAsia="en-US"/>
    </w:rPr>
  </w:style>
  <w:style w:type="paragraph" w:styleId="ListParagraph">
    <w:name w:val="List Paragraph"/>
    <w:basedOn w:val="Normal"/>
    <w:uiPriority w:val="34"/>
    <w:qFormat/>
    <w:rsid w:val="00AF4A00"/>
    <w:pPr>
      <w:pageBreakBefore w:val="0"/>
      <w:ind w:leftChars="400" w:left="800"/>
    </w:pPr>
    <w:rPr>
      <w:rFonts w:ascii="Times New Roman" w:hAnsi="Times New Roman"/>
      <w:color w:val="000000"/>
    </w:rPr>
  </w:style>
  <w:style w:type="paragraph" w:styleId="NormalWeb">
    <w:name w:val="Normal (Web)"/>
    <w:basedOn w:val="Normal"/>
    <w:semiHidden/>
    <w:unhideWhenUsed/>
    <w:rsid w:val="00013BE4"/>
    <w:pPr>
      <w:pageBreakBefore w:val="0"/>
    </w:pPr>
    <w:rPr>
      <w:rFonts w:ascii="Times New Roman" w:hAnsi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F7616F"/>
    <w:rPr>
      <w:smallCaps/>
      <w:kern w:val="28"/>
      <w:lang w:eastAsia="en-US"/>
    </w:rPr>
  </w:style>
  <w:style w:type="character" w:customStyle="1" w:styleId="Heading2Char">
    <w:name w:val="Heading 2 Char"/>
    <w:basedOn w:val="DefaultParagraphFont"/>
    <w:link w:val="Heading2"/>
    <w:rsid w:val="00C75F44"/>
    <w:rPr>
      <w:i/>
      <w:i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03793">
                      <w:marLeft w:val="-99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6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2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655191">
                      <w:marLeft w:val="-99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2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1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6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svg"/><Relationship Id="rId3" Type="http://schemas.openxmlformats.org/officeDocument/2006/relationships/styles" Target="styles.xml"/><Relationship Id="rId21" Type="http://schemas.openxmlformats.org/officeDocument/2006/relationships/oleObject" Target="embeddings/oleObject2.bin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svg"/><Relationship Id="rId20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svg"/><Relationship Id="rId19" Type="http://schemas.openxmlformats.org/officeDocument/2006/relationships/image" Target="media/image11.wmf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svg"/><Relationship Id="rId22" Type="http://schemas.openxmlformats.org/officeDocument/2006/relationships/fontTable" Target="fontTable.xml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footer" Target="footer2.xml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266BC-BE5F-4EF7-9C03-71C572016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1978</TotalTime>
  <Pages>10</Pages>
  <Words>4431</Words>
  <Characters>23488</Characters>
  <Application>Microsoft Office Word</Application>
  <DocSecurity>0</DocSecurity>
  <Lines>195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</vt:lpstr>
      <vt:lpstr></vt:lpstr>
    </vt:vector>
  </TitlesOfParts>
  <Company>IEEE</Company>
  <LinksUpToDate>false</LinksUpToDate>
  <CharactersWithSpaces>27864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Parasitic Aware Building Block Design for Stacked Polyphase Bridge Traction Inverters</dc:title>
  <dc:subject>Five-page ICPE digest with red full-paper expansion notes</dc:subject>
  <dc:creator/>
  <cp:lastModifiedBy/>
  <cp:revision>21</cp:revision>
  <cp:lastPrinted>2010-10-08T02:14:00Z</cp:lastPrinted>
  <dcterms:created xsi:type="dcterms:W3CDTF">2022-05-12T02:29:00Z</dcterms:created>
  <dcterms:modified xsi:type="dcterms:W3CDTF">2026-10-29T14:13:00Z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71996aab6eab9e5a964254daf62cf807bf515f30947c7276c37156870c841f1c</vt:lpwstr>
  </property>
</Properties>
</file>