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shd w:fill="1B3A6B" w:val="clear"/>
            <w:tcMar>
              <w:top w:type="dxa" w:w="700"/>
              <w:left w:type="dxa" w:w="500"/>
              <w:bottom w:type="dxa" w:w="700"/>
              <w:right w:type="dxa" w:w="500"/>
            </w:tcMar>
          </w:tcPr>
          <w:p>
            <w:pPr>
              <w:jc w:val="center"/>
            </w:pPr>
            <w:r>
              <w:rPr>
                <w:rFonts w:ascii="Calibri" w:cs="Calibri" w:eastAsia="Calibri" w:hAnsi="Calibri"/>
                <w:color w:val="9BBDD6"/>
                <w:sz w:val="24"/>
                <w:szCs w:val="24"/>
              </w:rPr>
              <w:t xml:space="preserve">Accounting Consultant Reference</w:t>
            </w:r>
          </w:p>
          <w:p>
            <w:pPr>
              <w:spacing w:before="140"/>
              <w:jc w:val="center"/>
            </w:pPr>
            <w:r>
              <w:rPr>
                <w:rFonts w:ascii="Calibri" w:cs="Calibri" w:eastAsia="Calibri" w:hAnsi="Calibri"/>
                <w:b/>
                <w:bCs/>
                <w:color w:val="FFFFFF"/>
                <w:sz w:val="44"/>
                <w:szCs w:val="44"/>
              </w:rPr>
              <w:t xml:space="preserve">COGS Reconciliation Report</w:t>
            </w:r>
          </w:p>
          <w:p>
            <w:pPr>
              <w:spacing w:before="100"/>
              <w:jc w:val="center"/>
            </w:pPr>
            <w:r>
              <w:rPr>
                <w:rFonts w:ascii="Calibri" w:cs="Calibri" w:eastAsia="Calibri" w:hAnsi="Calibri"/>
                <w:i/>
                <w:iCs/>
                <w:color w:val="A8C8E0"/>
                <w:sz w:val="21"/>
                <w:szCs w:val="21"/>
              </w:rPr>
              <w:t xml:space="preserve">What the Report Shows, Why Each Number Matters, and How to Read It</w:t>
            </w:r>
          </w:p>
          <w:p>
            <w:pPr>
              <w:spacing w:before="140"/>
              <w:jc w:val="center"/>
            </w:pPr>
            <w:r>
              <w:rPr>
                <w:rFonts w:ascii="Calibri" w:cs="Calibri" w:eastAsia="Calibri" w:hAnsi="Calibri"/>
                <w:color w:val="6A9FBF"/>
                <w:sz w:val="19"/>
                <w:szCs w:val="19"/>
              </w:rPr>
              <w:t xml:space="preserve">Perpetual Inventory  ·  ERPNext v15  ·  Enfono Technologies  ·  July 2026</w:t>
            </w:r>
          </w:p>
        </w:tc>
      </w:tr>
    </w:tbl>
    <w:p>
      <w:pPr>
        <w:spacing w:after="0" w:before="0" w:line="320"/>
      </w:pPr>
    </w:p>
    <w:p>
      <w:pPr>
        <w:pBdr>
          <w:bottom w:val="single" w:color="1B3A6B" w:sz="12"/>
        </w:pBdr>
        <w:spacing w:after="100" w:before="60"/>
      </w:pPr>
    </w:p>
    <w:p>
      <w:pPr>
        <w:spacing w:after="0" w:before="0" w:line="120"/>
      </w:pPr>
    </w:p>
    <w:p>
      <w:pPr>
        <w:pStyle w:val="Heading1"/>
        <w:spacing w:after="100" w:before="360"/>
      </w:pPr>
      <w:r>
        <w:rPr>
          <w:rFonts w:ascii="Calibri" w:cs="Calibri" w:eastAsia="Calibri" w:hAnsi="Calibri"/>
          <w:b/>
          <w:bCs/>
          <w:color w:val="1B3A6B"/>
          <w:sz w:val="30"/>
          <w:szCs w:val="30"/>
        </w:rPr>
        <w:t xml:space="preserve">1.  What Is This Report?</w:t>
      </w:r>
    </w:p>
    <w:p>
      <w:pPr>
        <w:spacing w:after="100" w:before="40"/>
      </w:pPr>
      <w:r>
        <w:rPr>
          <w:rFonts w:ascii="Calibri" w:cs="Calibri" w:eastAsia="Calibri" w:hAnsi="Calibri"/>
          <w:i w:val="false"/>
          <w:iCs w:val="false"/>
          <w:color w:val="222222"/>
          <w:sz w:val="20"/>
          <w:szCs w:val="20"/>
        </w:rPr>
        <w:t xml:space="preserve">The COGS Reconciliation Report answers one simple question: </w:t>
      </w:r>
      <w:r>
        <w:rPr>
          <w:rFonts w:ascii="Calibri" w:cs="Calibri" w:eastAsia="Calibri" w:hAnsi="Calibri"/>
          <w:b/>
          <w:bCs/>
          <w:color w:val="111111"/>
          <w:sz w:val="20"/>
          <w:szCs w:val="20"/>
        </w:rPr>
        <w:t xml:space="preserve">does the stock movement on paper match what the accounting system has actually posted?</w:t>
      </w:r>
    </w:p>
    <w:p>
      <w:pPr>
        <w:spacing w:after="0" w:before="0" w:line="80"/>
      </w:pPr>
    </w:p>
    <w:p>
      <w:pPr>
        <w:spacing w:after="100" w:before="40"/>
      </w:pPr>
      <w:r>
        <w:rPr>
          <w:rFonts w:ascii="Calibri" w:cs="Calibri" w:eastAsia="Calibri" w:hAnsi="Calibri"/>
          <w:i w:val="false"/>
          <w:iCs w:val="false"/>
          <w:color w:val="222222"/>
          <w:sz w:val="20"/>
          <w:szCs w:val="20"/>
        </w:rPr>
        <w:t xml:space="preserve">Every business that buys and sells goods knows this century-old trading formula:</w:t>
      </w:r>
    </w:p>
    <w:p>
      <w:pPr>
        <w:spacing w:after="0" w:before="0" w:lin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single" w:color="0E6B75" w:sz="12"/>
              <w:left w:val="single" w:color="0E6B75" w:sz="12"/>
              <w:bottom w:val="single" w:color="0E6B75" w:sz="12"/>
              <w:right w:val="single" w:color="0E6B75" w:sz="12"/>
            </w:tcBorders>
            <w:shd w:fill="EAF2FB" w:val="clear"/>
            <w:tcMar>
              <w:top w:type="dxa" w:w="180"/>
              <w:left w:type="dxa" w:w="300"/>
              <w:bottom w:type="dxa" w:w="180"/>
              <w:right w:type="dxa" w:w="300"/>
            </w:tcMar>
          </w:tcPr>
          <w:p>
            <w:pPr>
              <w:spacing w:after="60" w:before="0"/>
              <w:jc w:val="center"/>
            </w:pPr>
            <w:r>
              <w:rPr>
                <w:rFonts w:ascii="Calibri" w:cs="Calibri" w:eastAsia="Calibri" w:hAnsi="Calibri"/>
                <w:b/>
                <w:bCs/>
                <w:color w:val="0E6B75"/>
                <w:sz w:val="20"/>
                <w:szCs w:val="20"/>
              </w:rPr>
              <w:t xml:space="preserve">The Trading Formula</w:t>
            </w:r>
          </w:p>
          <w:p>
            <w:pPr>
              <w:jc w:val="center"/>
            </w:pPr>
            <w:r>
              <w:rPr>
                <w:rFonts w:ascii="Calibri" w:cs="Calibri" w:eastAsia="Calibri" w:hAnsi="Calibri"/>
                <w:b/>
                <w:bCs/>
                <w:color w:val="1B3A6B"/>
                <w:sz w:val="24"/>
                <w:szCs w:val="24"/>
              </w:rPr>
              <w:t xml:space="preserve">COGS  =  Opening Stock  +  Purchases  −  Purchase Returns  −  Closing Stock</w:t>
            </w:r>
          </w:p>
          <w:p>
            <w:pPr>
              <w:spacing w:after="0" w:before="60"/>
              <w:jc w:val="center"/>
            </w:pPr>
            <w:r>
              <w:rPr>
                <w:rFonts w:ascii="Calibri" w:cs="Calibri" w:eastAsia="Calibri" w:hAnsi="Calibri"/>
                <w:i/>
                <w:iCs/>
                <w:color w:val="444444"/>
                <w:sz w:val="19"/>
                <w:szCs w:val="19"/>
              </w:rPr>
              <w:t xml:space="preserve">This formula has been used by accountants for over a century. The report simply confirms that ERPNext’s automatic postings produce the same answer.</w:t>
            </w:r>
          </w:p>
        </w:tc>
      </w:tr>
    </w:tbl>
    <w:p>
      <w:pPr>
        <w:spacing w:after="0" w:before="0" w:line="200"/>
      </w:pPr>
    </w:p>
    <w:p>
      <w:pPr>
        <w:spacing w:after="100" w:before="40"/>
      </w:pPr>
      <w:r>
        <w:rPr>
          <w:rFonts w:ascii="Calibri" w:cs="Calibri" w:eastAsia="Calibri" w:hAnsi="Calibri"/>
          <w:i w:val="false"/>
          <w:iCs w:val="false"/>
          <w:color w:val="222222"/>
          <w:sz w:val="20"/>
          <w:szCs w:val="20"/>
        </w:rPr>
        <w:t xml:space="preserve">In a manual accounting environment, an accountant would calculate this formula at month-end and post a journal. Under ERPNext's Perpetual Inventory, the system posts the Cost of Goods Sold (COGS) entry automatically the moment a sale is made — there is no manual journal.</w:t>
      </w:r>
    </w:p>
    <w:p>
      <w:pPr>
        <w:spacing w:after="0" w:before="0" w:line="80"/>
      </w:pPr>
    </w:p>
    <w:p>
      <w:pPr>
        <w:spacing w:after="100" w:before="40"/>
      </w:pPr>
      <w:r>
        <w:rPr>
          <w:rFonts w:ascii="Calibri" w:cs="Calibri" w:eastAsia="Calibri" w:hAnsi="Calibri"/>
          <w:i w:val="false"/>
          <w:iCs w:val="false"/>
          <w:color w:val="222222"/>
          <w:sz w:val="20"/>
          <w:szCs w:val="20"/>
        </w:rPr>
        <w:t xml:space="preserve">This report verifies that the automatic postings are complete. It calculates COGS using the trading formula, then compares it to what the system actually posted to the GL. The bottom line — the Difference row — should always be zero.</w:t>
      </w:r>
    </w:p>
    <w:p>
      <w:pPr>
        <w:spacing w:after="0" w:before="0" w:lin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shd w:fill="E8F5E9" w:val="clear"/>
            <w:tcMar>
              <w:top w:type="dxa" w:w="140"/>
              <w:left w:type="dxa" w:w="220"/>
              <w:bottom w:type="dxa" w:w="140"/>
              <w:right w:type="dxa" w:w="220"/>
            </w:tcMar>
          </w:tcPr>
          <w:p>
            <w:pPr>
              <w:spacing w:after="40" w:before="0"/>
            </w:pPr>
            <w:r>
              <w:rPr>
                <w:rFonts w:ascii="Calibri" w:cs="Calibri" w:eastAsia="Calibri" w:hAnsi="Calibri"/>
                <w:sz w:val="20"/>
                <w:szCs w:val="20"/>
              </w:rPr>
              <w:t xml:space="preserve">✅  </w:t>
            </w:r>
            <w:r>
              <w:rPr>
                <w:rFonts w:ascii="Calibri" w:cs="Calibri" w:eastAsia="Calibri" w:hAnsi="Calibri"/>
                <w:b/>
                <w:bCs/>
                <w:color w:val="1B5E20"/>
                <w:sz w:val="20"/>
                <w:szCs w:val="20"/>
              </w:rPr>
              <w:t xml:space="preserve">Healthy result:  </w:t>
            </w:r>
          </w:p>
          <w:p>
            <w:pPr>
              <w:spacing w:after="0" w:before="0"/>
            </w:pPr>
            <w:r>
              <w:rPr>
                <w:rFonts w:ascii="Calibri" w:cs="Calibri" w:eastAsia="Calibri" w:hAnsi="Calibri"/>
                <w:color w:val="333333"/>
                <w:sz w:val="20"/>
                <w:szCs w:val="20"/>
              </w:rPr>
              <w:t xml:space="preserve">Difference = SAR 0.00. The trading formula and the GL agree. No action needed.</w:t>
            </w:r>
          </w:p>
        </w:tc>
      </w:tr>
    </w:tbl>
    <w:p>
      <w:pPr>
        <w:spacing w:after="0" w:before="0" w:lin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shd w:fill="FFEBEE" w:val="clear"/>
            <w:tcMar>
              <w:top w:type="dxa" w:w="140"/>
              <w:left w:type="dxa" w:w="220"/>
              <w:bottom w:type="dxa" w:w="140"/>
              <w:right w:type="dxa" w:w="220"/>
            </w:tcMar>
          </w:tcPr>
          <w:p>
            <w:pPr>
              <w:spacing w:after="40" w:before="0"/>
            </w:pPr>
            <w:r>
              <w:rPr>
                <w:rFonts w:ascii="Calibri" w:cs="Calibri" w:eastAsia="Calibri" w:hAnsi="Calibri"/>
                <w:sz w:val="20"/>
                <w:szCs w:val="20"/>
              </w:rPr>
              <w:t xml:space="preserve">🚨  </w:t>
            </w:r>
            <w:r>
              <w:rPr>
                <w:rFonts w:ascii="Calibri" w:cs="Calibri" w:eastAsia="Calibri" w:hAnsi="Calibri"/>
                <w:b/>
                <w:bCs/>
                <w:color w:val="B71C1C"/>
                <w:sz w:val="20"/>
                <w:szCs w:val="20"/>
              </w:rPr>
              <w:t xml:space="preserve">Action required:  </w:t>
            </w:r>
          </w:p>
          <w:p>
            <w:pPr>
              <w:spacing w:after="0" w:before="0"/>
            </w:pPr>
            <w:r>
              <w:rPr>
                <w:rFonts w:ascii="Calibri" w:cs="Calibri" w:eastAsia="Calibri" w:hAnsi="Calibri"/>
                <w:color w:val="333333"/>
                <w:sz w:val="20"/>
                <w:szCs w:val="20"/>
              </w:rPr>
              <w:t xml:space="preserve">Difference ≠ 0. Something was posted incorrectly or is missing. The accountant must investigate before closing the period.</w:t>
            </w:r>
          </w:p>
        </w:tc>
      </w:tr>
    </w:tbl>
    <w:p>
      <w:pPr>
        <w:spacing w:after="0" w:before="0" w:line="200"/>
      </w:pPr>
    </w:p>
    <w:p>
      <w:pPr>
        <w:pStyle w:val="Heading1"/>
        <w:spacing w:after="100" w:before="360"/>
      </w:pPr>
      <w:r>
        <w:rPr>
          <w:rFonts w:ascii="Calibri" w:cs="Calibri" w:eastAsia="Calibri" w:hAnsi="Calibri"/>
          <w:b/>
          <w:bCs/>
          <w:color w:val="1B3A6B"/>
          <w:sz w:val="30"/>
          <w:szCs w:val="30"/>
        </w:rPr>
        <w:t xml:space="preserve">2.  The Report Layout</w:t>
      </w:r>
    </w:p>
    <w:p>
      <w:pPr>
        <w:spacing w:after="100" w:before="40"/>
      </w:pPr>
      <w:r>
        <w:rPr>
          <w:rFonts w:ascii="Calibri" w:cs="Calibri" w:eastAsia="Calibri" w:hAnsi="Calibri"/>
          <w:i w:val="false"/>
          <w:iCs w:val="false"/>
          <w:color w:val="222222"/>
          <w:sz w:val="20"/>
          <w:szCs w:val="20"/>
        </w:rPr>
        <w:t xml:space="preserve">When you run the report for a period, it looks like this:</w:t>
      </w:r>
    </w:p>
    <w:p>
      <w:pPr>
        <w:spacing w:after="0" w:before="0" w:lin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27"/>
        <w:gridCol w:w="3119"/>
      </w:tblGrid>
      <w:tr>
        <w:tc>
          <w:tcPr>
            <w:tcW w:type="dxa" w:w="9746"/>
            <w:gridSpan w:val="2"/>
            <w:shd w:fill="1B3A6B" w:val="clear"/>
            <w:tcMar>
              <w:top w:type="dxa" w:w="120"/>
              <w:left w:type="dxa" w:w="200"/>
              <w:bottom w:type="dxa" w:w="120"/>
              <w:right w:type="dxa" w:w="200"/>
            </w:tcMar>
          </w:tcPr>
          <w:p>
            <w:r>
              <w:rPr>
                <w:rFonts w:ascii="Calibri" w:cs="Calibri" w:eastAsia="Calibri" w:hAnsi="Calibri"/>
                <w:b/>
                <w:bCs/>
                <w:color w:val="FFFFFF"/>
                <w:sz w:val="22"/>
                <w:szCs w:val="22"/>
              </w:rPr>
              <w:t xml:space="preserve">COGS Reconciliation Report</w:t>
            </w:r>
          </w:p>
        </w:tc>
      </w:tr>
      <w:tr>
        <w:tc>
          <w:tcPr>
            <w:tcW w:type="dxa" w:w="6627"/>
            <w:shd w:fill="FFFFFF" w:val="clear"/>
            <w:tcMar>
              <w:top w:type="dxa" w:w="100"/>
              <w:left w:type="dxa" w:w="200"/>
              <w:bottom w:type="dxa" w:w="100"/>
              <w:right w:type="dxa" w:w="80"/>
            </w:tcMar>
          </w:tcPr>
          <w:p>
            <w:r>
              <w:rPr>
                <w:rFonts w:ascii="Calibri" w:cs="Calibri" w:eastAsia="Calibri" w:hAnsi="Calibri"/>
                <w:b w:val="false"/>
                <w:bCs w:val="false"/>
                <w:color w:val="222222"/>
                <w:sz w:val="20"/>
                <w:szCs w:val="20"/>
              </w:rPr>
              <w:t xml:space="preserve">Opening Stock Value</w:t>
            </w:r>
          </w:p>
        </w:tc>
        <w:tc>
          <w:tcPr>
            <w:tcW w:type="dxa" w:w="3119"/>
            <w:shd w:fill="FFFFFF" w:val="clear"/>
            <w:tcMar>
              <w:top w:type="dxa" w:w="100"/>
              <w:left w:type="dxa" w:w="80"/>
              <w:bottom w:type="dxa" w:w="100"/>
              <w:right w:type="dxa" w:w="200"/>
            </w:tcMar>
          </w:tcPr>
          <w:p>
            <w:pPr>
              <w:jc w:val="right"/>
            </w:pPr>
            <w:r>
              <w:rPr>
                <w:rFonts w:ascii="Calibri" w:cs="Calibri" w:eastAsia="Calibri" w:hAnsi="Calibri"/>
                <w:b w:val="false"/>
                <w:bCs w:val="false"/>
                <w:color w:val="222222"/>
                <w:sz w:val="20"/>
                <w:szCs w:val="20"/>
              </w:rPr>
              <w:t xml:space="preserve">SAR XXX,XXX</w:t>
            </w:r>
          </w:p>
        </w:tc>
      </w:tr>
      <w:tr>
        <w:tc>
          <w:tcPr>
            <w:tcW w:type="dxa" w:w="6627"/>
            <w:shd w:fill="FFFFFF" w:val="clear"/>
            <w:tcMar>
              <w:top w:type="dxa" w:w="100"/>
              <w:left w:type="dxa" w:w="200"/>
              <w:bottom w:type="dxa" w:w="100"/>
              <w:right w:type="dxa" w:w="80"/>
            </w:tcMar>
          </w:tcPr>
          <w:p>
            <w:r>
              <w:rPr>
                <w:rFonts w:ascii="Calibri" w:cs="Calibri" w:eastAsia="Calibri" w:hAnsi="Calibri"/>
                <w:b w:val="false"/>
                <w:bCs w:val="false"/>
                <w:color w:val="222222"/>
                <w:sz w:val="20"/>
                <w:szCs w:val="20"/>
              </w:rPr>
              <w:t xml:space="preserve">Add: Purchases / Receipts</w:t>
            </w:r>
          </w:p>
        </w:tc>
        <w:tc>
          <w:tcPr>
            <w:tcW w:type="dxa" w:w="3119"/>
            <w:shd w:fill="FFFFFF" w:val="clear"/>
            <w:tcMar>
              <w:top w:type="dxa" w:w="100"/>
              <w:left w:type="dxa" w:w="80"/>
              <w:bottom w:type="dxa" w:w="100"/>
              <w:right w:type="dxa" w:w="200"/>
            </w:tcMar>
          </w:tcPr>
          <w:p>
            <w:pPr>
              <w:jc w:val="right"/>
            </w:pPr>
            <w:r>
              <w:rPr>
                <w:rFonts w:ascii="Calibri" w:cs="Calibri" w:eastAsia="Calibri" w:hAnsi="Calibri"/>
                <w:b w:val="false"/>
                <w:bCs w:val="false"/>
                <w:color w:val="222222"/>
                <w:sz w:val="20"/>
                <w:szCs w:val="20"/>
              </w:rPr>
              <w:t xml:space="preserve">SAR XXX,XXX</w:t>
            </w:r>
          </w:p>
        </w:tc>
      </w:tr>
      <w:tr>
        <w:tc>
          <w:tcPr>
            <w:tcW w:type="dxa" w:w="6627"/>
            <w:shd w:fill="FFFFFF" w:val="clear"/>
            <w:tcMar>
              <w:top w:type="dxa" w:w="100"/>
              <w:left w:type="dxa" w:w="200"/>
              <w:bottom w:type="dxa" w:w="100"/>
              <w:right w:type="dxa" w:w="80"/>
            </w:tcMar>
          </w:tcPr>
          <w:p>
            <w:r>
              <w:rPr>
                <w:rFonts w:ascii="Calibri" w:cs="Calibri" w:eastAsia="Calibri" w:hAnsi="Calibri"/>
                <w:b w:val="false"/>
                <w:bCs w:val="false"/>
                <w:color w:val="222222"/>
                <w:sz w:val="20"/>
                <w:szCs w:val="20"/>
              </w:rPr>
              <w:t xml:space="preserve">Less: Purchase Returns</w:t>
            </w:r>
          </w:p>
        </w:tc>
        <w:tc>
          <w:tcPr>
            <w:tcW w:type="dxa" w:w="3119"/>
            <w:shd w:fill="FFFFFF" w:val="clear"/>
            <w:tcMar>
              <w:top w:type="dxa" w:w="100"/>
              <w:left w:type="dxa" w:w="80"/>
              <w:bottom w:type="dxa" w:w="100"/>
              <w:right w:type="dxa" w:w="200"/>
            </w:tcMar>
          </w:tcPr>
          <w:p>
            <w:pPr>
              <w:jc w:val="right"/>
            </w:pPr>
            <w:r>
              <w:rPr>
                <w:rFonts w:ascii="Calibri" w:cs="Calibri" w:eastAsia="Calibri" w:hAnsi="Calibri"/>
                <w:b w:val="false"/>
                <w:bCs w:val="false"/>
                <w:color w:val="222222"/>
                <w:sz w:val="20"/>
                <w:szCs w:val="20"/>
              </w:rPr>
              <w:t xml:space="preserve">SAR XXX,XXX</w:t>
            </w:r>
          </w:p>
        </w:tc>
      </w:tr>
      <w:tr>
        <w:tc>
          <w:tcPr>
            <w:tcW w:type="dxa" w:w="6627"/>
            <w:shd w:fill="FFFFFF" w:val="clear"/>
            <w:tcMar>
              <w:top w:type="dxa" w:w="100"/>
              <w:left w:type="dxa" w:w="200"/>
              <w:bottom w:type="dxa" w:w="100"/>
              <w:right w:type="dxa" w:w="80"/>
            </w:tcMar>
          </w:tcPr>
          <w:p>
            <w:r>
              <w:rPr>
                <w:rFonts w:ascii="Calibri" w:cs="Calibri" w:eastAsia="Calibri" w:hAnsi="Calibri"/>
                <w:b w:val="false"/>
                <w:bCs w:val="false"/>
                <w:color w:val="222222"/>
                <w:sz w:val="20"/>
                <w:szCs w:val="20"/>
              </w:rPr>
              <w:t xml:space="preserve">Less: Closing Stock Value</w:t>
            </w:r>
          </w:p>
        </w:tc>
        <w:tc>
          <w:tcPr>
            <w:tcW w:type="dxa" w:w="3119"/>
            <w:shd w:fill="FFFFFF" w:val="clear"/>
            <w:tcMar>
              <w:top w:type="dxa" w:w="100"/>
              <w:left w:type="dxa" w:w="80"/>
              <w:bottom w:type="dxa" w:w="100"/>
              <w:right w:type="dxa" w:w="200"/>
            </w:tcMar>
          </w:tcPr>
          <w:p>
            <w:pPr>
              <w:jc w:val="right"/>
            </w:pPr>
            <w:r>
              <w:rPr>
                <w:rFonts w:ascii="Calibri" w:cs="Calibri" w:eastAsia="Calibri" w:hAnsi="Calibri"/>
                <w:b w:val="false"/>
                <w:bCs w:val="false"/>
                <w:color w:val="222222"/>
                <w:sz w:val="20"/>
                <w:szCs w:val="20"/>
              </w:rPr>
              <w:t xml:space="preserve">SAR XXX,XXX</w:t>
            </w:r>
          </w:p>
        </w:tc>
      </w:tr>
      <w:tr>
        <w:tc>
          <w:tcPr>
            <w:tcW w:type="dxa" w:w="6627"/>
            <w:shd w:fill="EAF2FB" w:val="clear"/>
            <w:tcMar>
              <w:top w:type="dxa" w:w="100"/>
              <w:left w:type="dxa" w:w="200"/>
              <w:bottom w:type="dxa" w:w="100"/>
              <w:right w:type="dxa" w:w="80"/>
            </w:tcMar>
          </w:tcPr>
          <w:p>
            <w:r>
              <w:rPr>
                <w:rFonts w:ascii="Calibri" w:cs="Calibri" w:eastAsia="Calibri" w:hAnsi="Calibri"/>
                <w:b/>
                <w:bCs/>
                <w:color w:val="1B3A6B"/>
                <w:sz w:val="20"/>
                <w:szCs w:val="20"/>
              </w:rPr>
              <w:t xml:space="preserve">Calculated COGS  (Trading Formula)</w:t>
            </w:r>
          </w:p>
        </w:tc>
        <w:tc>
          <w:tcPr>
            <w:tcW w:type="dxa" w:w="3119"/>
            <w:shd w:fill="EAF2FB" w:val="clear"/>
            <w:tcMar>
              <w:top w:type="dxa" w:w="100"/>
              <w:left w:type="dxa" w:w="80"/>
              <w:bottom w:type="dxa" w:w="100"/>
              <w:right w:type="dxa" w:w="200"/>
            </w:tcMar>
          </w:tcPr>
          <w:p>
            <w:pPr>
              <w:jc w:val="right"/>
            </w:pPr>
            <w:r>
              <w:rPr>
                <w:rFonts w:ascii="Calibri" w:cs="Calibri" w:eastAsia="Calibri" w:hAnsi="Calibri"/>
                <w:b/>
                <w:bCs/>
                <w:color w:val="1B3A6B"/>
                <w:sz w:val="20"/>
                <w:szCs w:val="20"/>
              </w:rPr>
              <w:t xml:space="preserve">SAR XXX,XXX</w:t>
            </w:r>
          </w:p>
        </w:tc>
      </w:tr>
      <w:tr>
        <w:tc>
          <w:tcPr>
            <w:tcW w:type="dxa" w:w="6627"/>
            <w:shd w:fill="EAF2FB" w:val="clear"/>
            <w:tcMar>
              <w:top w:type="dxa" w:w="100"/>
              <w:left w:type="dxa" w:w="200"/>
              <w:bottom w:type="dxa" w:w="100"/>
              <w:right w:type="dxa" w:w="80"/>
            </w:tcMar>
          </w:tcPr>
          <w:p>
            <w:r>
              <w:rPr>
                <w:rFonts w:ascii="Calibri" w:cs="Calibri" w:eastAsia="Calibri" w:hAnsi="Calibri"/>
                <w:b/>
                <w:bCs/>
                <w:color w:val="1B3A6B"/>
                <w:sz w:val="20"/>
                <w:szCs w:val="20"/>
              </w:rPr>
              <w:t xml:space="preserve">GL COGS  (Auto-posted by ERPNext)</w:t>
            </w:r>
          </w:p>
        </w:tc>
        <w:tc>
          <w:tcPr>
            <w:tcW w:type="dxa" w:w="3119"/>
            <w:shd w:fill="EAF2FB" w:val="clear"/>
            <w:tcMar>
              <w:top w:type="dxa" w:w="100"/>
              <w:left w:type="dxa" w:w="80"/>
              <w:bottom w:type="dxa" w:w="100"/>
              <w:right w:type="dxa" w:w="200"/>
            </w:tcMar>
          </w:tcPr>
          <w:p>
            <w:pPr>
              <w:jc w:val="right"/>
            </w:pPr>
            <w:r>
              <w:rPr>
                <w:rFonts w:ascii="Calibri" w:cs="Calibri" w:eastAsia="Calibri" w:hAnsi="Calibri"/>
                <w:b/>
                <w:bCs/>
                <w:color w:val="1B3A6B"/>
                <w:sz w:val="20"/>
                <w:szCs w:val="20"/>
              </w:rPr>
              <w:t xml:space="preserve">SAR XXX,XXX</w:t>
            </w:r>
          </w:p>
        </w:tc>
      </w:tr>
      <w:tr>
        <w:tc>
          <w:tcPr>
            <w:tcW w:type="dxa" w:w="6627"/>
            <w:shd w:fill="E8F5E9" w:val="clear"/>
            <w:tcMar>
              <w:top w:type="dxa" w:w="100"/>
              <w:left w:type="dxa" w:w="200"/>
              <w:bottom w:type="dxa" w:w="100"/>
              <w:right w:type="dxa" w:w="80"/>
            </w:tcMar>
          </w:tcPr>
          <w:p>
            <w:r>
              <w:rPr>
                <w:rFonts w:ascii="Calibri" w:cs="Calibri" w:eastAsia="Calibri" w:hAnsi="Calibri"/>
                <w:b/>
                <w:bCs/>
                <w:color w:val="1B5E20"/>
                <w:sz w:val="20"/>
                <w:szCs w:val="20"/>
              </w:rPr>
              <w:t xml:space="preserve">Difference</w:t>
            </w:r>
          </w:p>
        </w:tc>
        <w:tc>
          <w:tcPr>
            <w:tcW w:type="dxa" w:w="3119"/>
            <w:shd w:fill="E8F5E9" w:val="clear"/>
            <w:tcMar>
              <w:top w:type="dxa" w:w="100"/>
              <w:left w:type="dxa" w:w="80"/>
              <w:bottom w:type="dxa" w:w="100"/>
              <w:right w:type="dxa" w:w="200"/>
            </w:tcMar>
          </w:tcPr>
          <w:p>
            <w:pPr>
              <w:jc w:val="right"/>
            </w:pPr>
            <w:r>
              <w:rPr>
                <w:rFonts w:ascii="Calibri" w:cs="Calibri" w:eastAsia="Calibri" w:hAnsi="Calibri"/>
                <w:b/>
                <w:bCs/>
                <w:color w:val="1B5E20"/>
                <w:sz w:val="20"/>
                <w:szCs w:val="20"/>
              </w:rPr>
              <w:t xml:space="preserve">SAR 0.00</w:t>
            </w:r>
          </w:p>
        </w:tc>
      </w:tr>
    </w:tbl>
    <w:p>
      <w:pPr>
        <w:spacing w:after="0" w:before="0" w:line="200"/>
      </w:pPr>
    </w:p>
    <w:p>
      <w:pPr>
        <w:spacing w:after="100" w:before="40"/>
      </w:pPr>
      <w:r>
        <w:rPr>
          <w:rFonts w:ascii="Calibri" w:cs="Calibri" w:eastAsia="Calibri" w:hAnsi="Calibri"/>
          <w:i w:val="false"/>
          <w:iCs w:val="false"/>
          <w:color w:val="222222"/>
          <w:sz w:val="20"/>
          <w:szCs w:val="20"/>
        </w:rPr>
        <w:t xml:space="preserve">Each line is explained in detail in Section 3. The key points to understand about the layout:</w:t>
      </w:r>
    </w:p>
    <w:p>
      <w:pPr>
        <w:spacing w:after="0" w:before="0" w:line="80"/>
      </w:pPr>
    </w:p>
    <w:p>
      <w:pPr>
        <w:spacing w:after="80" w:before="40"/>
        <w:ind w:left="360" w:hanging="300"/>
      </w:pPr>
      <w:r>
        <w:rPr>
          <w:rFonts w:ascii="Calibri" w:cs="Calibri" w:eastAsia="Calibri" w:hAnsi="Calibri"/>
          <w:b/>
          <w:bCs/>
          <w:color w:val="0E6B75"/>
          <w:sz w:val="20"/>
          <w:szCs w:val="20"/>
        </w:rPr>
        <w:t xml:space="preserve">• </w:t>
      </w:r>
      <w:r>
        <w:rPr>
          <w:rFonts w:ascii="Calibri" w:cs="Calibri" w:eastAsia="Calibri" w:hAnsi="Calibri"/>
          <w:b/>
          <w:bCs/>
          <w:color w:val="111111"/>
          <w:sz w:val="20"/>
          <w:szCs w:val="20"/>
        </w:rPr>
        <w:t xml:space="preserve">Opening and Closing Stock</w:t>
      </w:r>
      <w:r>
        <w:rPr>
          <w:rFonts w:ascii="Calibri" w:cs="Calibri" w:eastAsia="Calibri" w:hAnsi="Calibri"/>
          <w:i w:val="false"/>
          <w:iCs w:val="false"/>
          <w:color w:val="222222"/>
          <w:sz w:val="20"/>
          <w:szCs w:val="20"/>
        </w:rPr>
        <w:t xml:space="preserve"> are taken from the actual inventory valuation in the system — not typed in manually.</w:t>
      </w:r>
    </w:p>
    <w:p>
      <w:pPr>
        <w:spacing w:after="80" w:before="40"/>
        <w:ind w:left="360" w:hanging="300"/>
      </w:pPr>
      <w:r>
        <w:rPr>
          <w:rFonts w:ascii="Calibri" w:cs="Calibri" w:eastAsia="Calibri" w:hAnsi="Calibri"/>
          <w:b/>
          <w:bCs/>
          <w:color w:val="0E6B75"/>
          <w:sz w:val="20"/>
          <w:szCs w:val="20"/>
        </w:rPr>
        <w:t xml:space="preserve">• </w:t>
      </w:r>
      <w:r>
        <w:rPr>
          <w:rFonts w:ascii="Calibri" w:cs="Calibri" w:eastAsia="Calibri" w:hAnsi="Calibri"/>
          <w:b/>
          <w:bCs/>
          <w:color w:val="111111"/>
          <w:sz w:val="20"/>
          <w:szCs w:val="20"/>
        </w:rPr>
        <w:t xml:space="preserve">Purchases and Purchase Returns</w:t>
      </w:r>
      <w:r>
        <w:rPr>
          <w:rFonts w:ascii="Calibri" w:cs="Calibri" w:eastAsia="Calibri" w:hAnsi="Calibri"/>
          <w:i w:val="false"/>
          <w:iCs w:val="false"/>
          <w:color w:val="222222"/>
          <w:sz w:val="20"/>
          <w:szCs w:val="20"/>
        </w:rPr>
        <w:t xml:space="preserve"> are only the amounts for stocked goods. Service items, freight charges, and VAT are excluded.</w:t>
      </w:r>
    </w:p>
    <w:p>
      <w:pPr>
        <w:spacing w:after="80" w:before="40"/>
        <w:ind w:left="360" w:hanging="300"/>
      </w:pPr>
      <w:r>
        <w:rPr>
          <w:rFonts w:ascii="Calibri" w:cs="Calibri" w:eastAsia="Calibri" w:hAnsi="Calibri"/>
          <w:b/>
          <w:bCs/>
          <w:color w:val="0E6B75"/>
          <w:sz w:val="20"/>
          <w:szCs w:val="20"/>
        </w:rPr>
        <w:t xml:space="preserve">• </w:t>
      </w:r>
      <w:r>
        <w:rPr>
          <w:rFonts w:ascii="Calibri" w:cs="Calibri" w:eastAsia="Calibri" w:hAnsi="Calibri"/>
          <w:b/>
          <w:bCs/>
          <w:color w:val="111111"/>
          <w:sz w:val="20"/>
          <w:szCs w:val="20"/>
        </w:rPr>
        <w:t xml:space="preserve">Calculated COGS</w:t>
      </w:r>
      <w:r>
        <w:rPr>
          <w:rFonts w:ascii="Calibri" w:cs="Calibri" w:eastAsia="Calibri" w:hAnsi="Calibri"/>
          <w:i w:val="false"/>
          <w:iCs w:val="false"/>
          <w:color w:val="222222"/>
          <w:sz w:val="20"/>
          <w:szCs w:val="20"/>
        </w:rPr>
        <w:t xml:space="preserve"> is what the formula says COGS should be.</w:t>
      </w:r>
    </w:p>
    <w:p>
      <w:pPr>
        <w:spacing w:after="80" w:before="40"/>
        <w:ind w:left="360" w:hanging="300"/>
      </w:pPr>
      <w:r>
        <w:rPr>
          <w:rFonts w:ascii="Calibri" w:cs="Calibri" w:eastAsia="Calibri" w:hAnsi="Calibri"/>
          <w:b/>
          <w:bCs/>
          <w:color w:val="0E6B75"/>
          <w:sz w:val="20"/>
          <w:szCs w:val="20"/>
        </w:rPr>
        <w:t xml:space="preserve">• </w:t>
      </w:r>
      <w:r>
        <w:rPr>
          <w:rFonts w:ascii="Calibri" w:cs="Calibri" w:eastAsia="Calibri" w:hAnsi="Calibri"/>
          <w:b/>
          <w:bCs/>
          <w:color w:val="111111"/>
          <w:sz w:val="20"/>
          <w:szCs w:val="20"/>
        </w:rPr>
        <w:t xml:space="preserve">GL COGS</w:t>
      </w:r>
      <w:r>
        <w:rPr>
          <w:rFonts w:ascii="Calibri" w:cs="Calibri" w:eastAsia="Calibri" w:hAnsi="Calibri"/>
          <w:i w:val="false"/>
          <w:iCs w:val="false"/>
          <w:color w:val="222222"/>
          <w:sz w:val="20"/>
          <w:szCs w:val="20"/>
        </w:rPr>
        <w:t xml:space="preserve"> is what the system actually posted to the Profit &amp; Loss account.</w:t>
      </w:r>
    </w:p>
    <w:p>
      <w:pPr>
        <w:spacing w:after="80" w:before="40"/>
        <w:ind w:left="360" w:hanging="300"/>
      </w:pPr>
      <w:r>
        <w:rPr>
          <w:rFonts w:ascii="Calibri" w:cs="Calibri" w:eastAsia="Calibri" w:hAnsi="Calibri"/>
          <w:b/>
          <w:bCs/>
          <w:color w:val="0E6B75"/>
          <w:sz w:val="20"/>
          <w:szCs w:val="20"/>
        </w:rPr>
        <w:t xml:space="preserve">• </w:t>
      </w:r>
      <w:r>
        <w:rPr>
          <w:rFonts w:ascii="Calibri" w:cs="Calibri" w:eastAsia="Calibri" w:hAnsi="Calibri"/>
          <w:b/>
          <w:bCs/>
          <w:color w:val="111111"/>
          <w:sz w:val="20"/>
          <w:szCs w:val="20"/>
        </w:rPr>
        <w:t xml:space="preserve">Difference</w:t>
      </w:r>
      <w:r>
        <w:rPr>
          <w:rFonts w:ascii="Calibri" w:cs="Calibri" w:eastAsia="Calibri" w:hAnsi="Calibri"/>
          <w:i w:val="false"/>
          <w:iCs w:val="false"/>
          <w:color w:val="222222"/>
          <w:sz w:val="20"/>
          <w:szCs w:val="20"/>
        </w:rPr>
        <w:t xml:space="preserve"> is the gap between the two. Green = clean. Red = investigate.</w:t>
      </w:r>
    </w:p>
    <w:p>
      <w:pPr>
        <w:spacing w:after="0" w:before="0" w:line="200"/>
      </w:pPr>
    </w:p>
    <w:p>
      <w:pPr>
        <w:pStyle w:val="Heading1"/>
        <w:spacing w:after="100" w:before="360"/>
      </w:pPr>
      <w:r>
        <w:rPr>
          <w:rFonts w:ascii="Calibri" w:cs="Calibri" w:eastAsia="Calibri" w:hAnsi="Calibri"/>
          <w:b/>
          <w:bCs/>
          <w:color w:val="1B3A6B"/>
          <w:sz w:val="30"/>
          <w:szCs w:val="30"/>
        </w:rPr>
        <w:t xml:space="preserve">3.  Each Line — What It Is and Why We Use It</w:t>
      </w:r>
    </w:p>
    <w:p>
      <w:pPr>
        <w:spacing w:after="80" w:before="260"/>
      </w:pPr>
      <w:r>
        <w:rPr>
          <w:rFonts w:ascii="Calibri" w:cs="Calibri" w:eastAsia="Calibri" w:hAnsi="Calibri"/>
          <w:b/>
          <w:bCs/>
          <w:color w:val="0E6B75"/>
          <w:sz w:val="24"/>
          <w:szCs w:val="24"/>
          <w:u w:val="single"/>
        </w:rPr>
        <w:t xml:space="preserve">3.1  Opening Stock Value</w:t>
      </w:r>
    </w:p>
    <w:p>
      <w:pPr>
        <w:spacing w:after="100" w:before="40"/>
      </w:pPr>
      <w:r>
        <w:rPr>
          <w:rFonts w:ascii="Calibri" w:cs="Calibri" w:eastAsia="Calibri" w:hAnsi="Calibri"/>
          <w:b/>
          <w:bCs/>
          <w:color w:val="111111"/>
          <w:sz w:val="20"/>
          <w:szCs w:val="20"/>
        </w:rPr>
        <w:t xml:space="preserve">What it is:  </w:t>
      </w:r>
      <w:r>
        <w:rPr>
          <w:rFonts w:ascii="Calibri" w:cs="Calibri" w:eastAsia="Calibri" w:hAnsi="Calibri"/>
          <w:i w:val="false"/>
          <w:iCs w:val="false"/>
          <w:color w:val="222222"/>
          <w:sz w:val="20"/>
          <w:szCs w:val="20"/>
        </w:rPr>
        <w:t xml:space="preserve">The total monetary value of all inventory held at the start of the period — specifically, the closing position as at the end of the day before the From Date.</w:t>
      </w:r>
    </w:p>
    <w:p>
      <w:pPr>
        <w:spacing w:after="0" w:before="0" w:line="80"/>
      </w:pPr>
    </w:p>
    <w:p>
      <w:pPr>
        <w:spacing w:after="100" w:before="40"/>
      </w:pPr>
      <w:r>
        <w:rPr>
          <w:rFonts w:ascii="Calibri" w:cs="Calibri" w:eastAsia="Calibri" w:hAnsi="Calibri"/>
          <w:b/>
          <w:bCs/>
          <w:color w:val="111111"/>
          <w:sz w:val="20"/>
          <w:szCs w:val="20"/>
        </w:rPr>
        <w:t xml:space="preserve">Why this date:  </w:t>
      </w:r>
      <w:r>
        <w:rPr>
          <w:rFonts w:ascii="Calibri" w:cs="Calibri" w:eastAsia="Calibri" w:hAnsi="Calibri"/>
          <w:i w:val="false"/>
          <w:iCs w:val="false"/>
          <w:color w:val="222222"/>
          <w:sz w:val="20"/>
          <w:szCs w:val="20"/>
        </w:rPr>
        <w:t xml:space="preserve">If your period is 1 June to 30 June, the opening stock is what you held at midnight on 31 May. Using the day before the From Date ensures there is no overlap or gap with the prior period's closing stock.</w:t>
      </w:r>
    </w:p>
    <w:p>
      <w:pPr>
        <w:spacing w:after="0" w:before="0" w:line="80"/>
      </w:pPr>
    </w:p>
    <w:p>
      <w:pPr>
        <w:spacing w:after="100" w:before="40"/>
      </w:pPr>
      <w:r>
        <w:rPr>
          <w:rFonts w:ascii="Calibri" w:cs="Calibri" w:eastAsia="Calibri" w:hAnsi="Calibri"/>
          <w:b/>
          <w:bCs/>
          <w:color w:val="111111"/>
          <w:sz w:val="20"/>
          <w:szCs w:val="20"/>
        </w:rPr>
        <w:t xml:space="preserve">How the value is calculated:  </w:t>
      </w:r>
      <w:r>
        <w:rPr>
          <w:rFonts w:ascii="Calibri" w:cs="Calibri" w:eastAsia="Calibri" w:hAnsi="Calibri"/>
          <w:i w:val="false"/>
          <w:iCs w:val="false"/>
          <w:color w:val="222222"/>
          <w:sz w:val="20"/>
          <w:szCs w:val="20"/>
        </w:rPr>
        <w:t xml:space="preserve">ERPNext uses the valuation method configured for each item (FIFO or Moving Average). The figure shown is not the quantity — it is the cost value of the inventory, in SAR, at that point in time.</w:t>
      </w:r>
    </w:p>
    <w:p>
      <w:pPr>
        <w:spacing w:after="0" w:before="0" w:line="80"/>
      </w:pPr>
    </w:p>
    <w:p>
      <w:pPr>
        <w:spacing w:after="100" w:before="40"/>
      </w:pPr>
      <w:r>
        <w:rPr>
          <w:rFonts w:ascii="Calibri" w:cs="Calibri" w:eastAsia="Calibri" w:hAnsi="Calibri"/>
          <w:b/>
          <w:bCs/>
          <w:color w:val="111111"/>
          <w:sz w:val="20"/>
          <w:szCs w:val="20"/>
        </w:rPr>
        <w:t xml:space="preserve">What is included:  </w:t>
      </w:r>
      <w:r>
        <w:rPr>
          <w:rFonts w:ascii="Calibri" w:cs="Calibri" w:eastAsia="Calibri" w:hAnsi="Calibri"/>
          <w:i w:val="false"/>
          <w:iCs w:val="false"/>
          <w:color w:val="222222"/>
          <w:sz w:val="20"/>
          <w:szCs w:val="20"/>
        </w:rPr>
        <w:t xml:space="preserve">All warehouses belonging to the selected company (unless you filter by a specific warehouse). All stocked items.</w:t>
      </w:r>
    </w:p>
    <w:p>
      <w:pPr>
        <w:spacing w:after="0" w:before="0" w:lin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shd w:fill="EAF2FB" w:val="clear"/>
            <w:tcMar>
              <w:top w:type="dxa" w:w="140"/>
              <w:left w:type="dxa" w:w="220"/>
              <w:bottom w:type="dxa" w:w="140"/>
              <w:right w:type="dxa" w:w="220"/>
            </w:tcMar>
          </w:tcPr>
          <w:p>
            <w:pPr>
              <w:spacing w:after="40" w:before="0"/>
            </w:pPr>
            <w:r>
              <w:rPr>
                <w:rFonts w:ascii="Calibri" w:cs="Calibri" w:eastAsia="Calibri" w:hAnsi="Calibri"/>
                <w:sz w:val="20"/>
                <w:szCs w:val="20"/>
              </w:rPr>
              <w:t xml:space="preserve">📌  </w:t>
            </w:r>
            <w:r>
              <w:rPr>
                <w:rFonts w:ascii="Calibri" w:cs="Calibri" w:eastAsia="Calibri" w:hAnsi="Calibri"/>
                <w:b/>
                <w:bCs/>
                <w:color w:val="0E6B75"/>
                <w:sz w:val="20"/>
                <w:szCs w:val="20"/>
              </w:rPr>
              <w:t xml:space="preserve">Cross-check tip:  </w:t>
            </w:r>
          </w:p>
          <w:p>
            <w:pPr>
              <w:spacing w:after="0" w:before="0"/>
            </w:pPr>
            <w:r>
              <w:rPr>
                <w:rFonts w:ascii="Calibri" w:cs="Calibri" w:eastAsia="Calibri" w:hAnsi="Calibri"/>
                <w:color w:val="333333"/>
                <w:sz w:val="20"/>
                <w:szCs w:val="20"/>
              </w:rPr>
              <w:t xml:space="preserve">You can verify this figure independently by running the ERPNext Stock Balance report with the same company, set to the date one day before your From Date. The total stock value should match.</w:t>
            </w:r>
          </w:p>
        </w:tc>
      </w:tr>
    </w:tbl>
    <w:p>
      <w:pPr>
        <w:spacing w:after="0" w:before="0" w:line="160"/>
      </w:pPr>
    </w:p>
    <w:p>
      <w:pPr>
        <w:spacing w:after="80" w:before="260"/>
      </w:pPr>
      <w:r>
        <w:rPr>
          <w:rFonts w:ascii="Calibri" w:cs="Calibri" w:eastAsia="Calibri" w:hAnsi="Calibri"/>
          <w:b/>
          <w:bCs/>
          <w:color w:val="0E6B75"/>
          <w:sz w:val="24"/>
          <w:szCs w:val="24"/>
          <w:u w:val="single"/>
        </w:rPr>
        <w:t xml:space="preserve">3.2  Add: Purchases / Receipts</w:t>
      </w:r>
    </w:p>
    <w:p>
      <w:pPr>
        <w:spacing w:after="100" w:before="40"/>
      </w:pPr>
      <w:r>
        <w:rPr>
          <w:rFonts w:ascii="Calibri" w:cs="Calibri" w:eastAsia="Calibri" w:hAnsi="Calibri"/>
          <w:b/>
          <w:bCs/>
          <w:color w:val="111111"/>
          <w:sz w:val="20"/>
          <w:szCs w:val="20"/>
        </w:rPr>
        <w:t xml:space="preserve">What it is:  </w:t>
      </w:r>
      <w:r>
        <w:rPr>
          <w:rFonts w:ascii="Calibri" w:cs="Calibri" w:eastAsia="Calibri" w:hAnsi="Calibri"/>
          <w:i w:val="false"/>
          <w:iCs w:val="false"/>
          <w:color w:val="222222"/>
          <w:sz w:val="20"/>
          <w:szCs w:val="20"/>
        </w:rPr>
        <w:t xml:space="preserve">The total cost of stocked goods purchased and billed during the period, excluding VAT.</w:t>
      </w:r>
    </w:p>
    <w:p>
      <w:pPr>
        <w:spacing w:after="0" w:before="0" w:line="80"/>
      </w:pPr>
    </w:p>
    <w:p>
      <w:pPr>
        <w:spacing w:after="100" w:before="40"/>
      </w:pPr>
      <w:r>
        <w:rPr>
          <w:rFonts w:ascii="Calibri" w:cs="Calibri" w:eastAsia="Calibri" w:hAnsi="Calibri"/>
          <w:b/>
          <w:bCs/>
          <w:color w:val="111111"/>
          <w:sz w:val="20"/>
          <w:szCs w:val="20"/>
        </w:rPr>
        <w:t xml:space="preserve">Source documents:  </w:t>
      </w:r>
      <w:r>
        <w:rPr>
          <w:rFonts w:ascii="Calibri" w:cs="Calibri" w:eastAsia="Calibri" w:hAnsi="Calibri"/>
          <w:i w:val="false"/>
          <w:iCs w:val="false"/>
          <w:color w:val="222222"/>
          <w:sz w:val="20"/>
          <w:szCs w:val="20"/>
        </w:rPr>
        <w:t xml:space="preserve">Submitted Purchase Invoices within the date range, for the selected company. Only line items where the item is a stocked/inventoried product are included. Non-stocked items (services, freight, maintenance, etc.) are excluded.</w:t>
      </w:r>
    </w:p>
    <w:p>
      <w:pPr>
        <w:spacing w:after="0" w:before="0" w:line="80"/>
      </w:pPr>
    </w:p>
    <w:p>
      <w:pPr>
        <w:spacing w:after="100" w:before="40"/>
      </w:pPr>
      <w:r>
        <w:rPr>
          <w:rFonts w:ascii="Calibri" w:cs="Calibri" w:eastAsia="Calibri" w:hAnsi="Calibri"/>
          <w:b/>
          <w:bCs/>
          <w:color w:val="111111"/>
          <w:sz w:val="20"/>
          <w:szCs w:val="20"/>
        </w:rPr>
        <w:t xml:space="preserve">Why exclude VAT:  </w:t>
      </w:r>
      <w:r>
        <w:rPr>
          <w:rFonts w:ascii="Calibri" w:cs="Calibri" w:eastAsia="Calibri" w:hAnsi="Calibri"/>
          <w:i w:val="false"/>
          <w:iCs w:val="false"/>
          <w:color w:val="222222"/>
          <w:sz w:val="20"/>
          <w:szCs w:val="20"/>
        </w:rPr>
        <w:t xml:space="preserve">VAT is a recoverable tax and never forms part of the cost of goods. Including it would overstate COGS. The figure used is the net invoice amount — the price agreed with the supplier before tax.</w:t>
      </w:r>
    </w:p>
    <w:p>
      <w:pPr>
        <w:spacing w:after="0" w:before="0" w:line="80"/>
      </w:pPr>
    </w:p>
    <w:p>
      <w:pPr>
        <w:spacing w:after="100" w:before="40"/>
      </w:pPr>
      <w:r>
        <w:rPr>
          <w:rFonts w:ascii="Calibri" w:cs="Calibri" w:eastAsia="Calibri" w:hAnsi="Calibri"/>
          <w:b/>
          <w:bCs/>
          <w:color w:val="111111"/>
          <w:sz w:val="20"/>
          <w:szCs w:val="20"/>
        </w:rPr>
        <w:t xml:space="preserve">Important clarification:  </w:t>
      </w:r>
      <w:r>
        <w:rPr>
          <w:rFonts w:ascii="Calibri" w:cs="Calibri" w:eastAsia="Calibri" w:hAnsi="Calibri"/>
          <w:i w:val="false"/>
          <w:iCs w:val="false"/>
          <w:color w:val="222222"/>
          <w:sz w:val="20"/>
          <w:szCs w:val="20"/>
        </w:rPr>
        <w:t xml:space="preserve">This line represents goods billed, not just goods received. If a Purchase Receipt has been posted but the Purchase Invoice has not yet been raised, that purchase will NOT appear here yet. This is consistent with the accrual basis of the trading account.</w:t>
      </w:r>
    </w:p>
    <w:p>
      <w:pPr>
        <w:spacing w:after="0" w:before="0" w:lin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shd w:fill="EAF2FB" w:val="clear"/>
            <w:tcMar>
              <w:top w:type="dxa" w:w="140"/>
              <w:left w:type="dxa" w:w="220"/>
              <w:bottom w:type="dxa" w:w="140"/>
              <w:right w:type="dxa" w:w="220"/>
            </w:tcMar>
          </w:tcPr>
          <w:p>
            <w:pPr>
              <w:spacing w:after="40" w:before="0"/>
            </w:pPr>
            <w:r>
              <w:rPr>
                <w:rFonts w:ascii="Calibri" w:cs="Calibri" w:eastAsia="Calibri" w:hAnsi="Calibri"/>
                <w:sz w:val="20"/>
                <w:szCs w:val="20"/>
              </w:rPr>
              <w:t xml:space="preserve">📌  </w:t>
            </w:r>
            <w:r>
              <w:rPr>
                <w:rFonts w:ascii="Calibri" w:cs="Calibri" w:eastAsia="Calibri" w:hAnsi="Calibri"/>
                <w:b/>
                <w:bCs/>
                <w:color w:val="0E6B75"/>
                <w:sz w:val="20"/>
                <w:szCs w:val="20"/>
              </w:rPr>
              <w:t xml:space="preserve">Cross-check tip:  </w:t>
            </w:r>
          </w:p>
          <w:p>
            <w:pPr>
              <w:spacing w:after="0" w:before="0"/>
            </w:pPr>
            <w:r>
              <w:rPr>
                <w:rFonts w:ascii="Calibri" w:cs="Calibri" w:eastAsia="Calibri" w:hAnsi="Calibri"/>
                <w:color w:val="333333"/>
                <w:sz w:val="20"/>
                <w:szCs w:val="20"/>
              </w:rPr>
              <w:t xml:space="preserve">Run a Purchase Invoice List filtered to the same company, date range, submitted status, and non-return. Sum the Net Total column for stocked items. It should match this figure.</w:t>
            </w:r>
          </w:p>
        </w:tc>
      </w:tr>
    </w:tbl>
    <w:p>
      <w:pPr>
        <w:spacing w:after="0" w:before="0" w:line="160"/>
      </w:pPr>
    </w:p>
    <w:p>
      <w:pPr>
        <w:spacing w:after="80" w:before="260"/>
      </w:pPr>
      <w:r>
        <w:rPr>
          <w:rFonts w:ascii="Calibri" w:cs="Calibri" w:eastAsia="Calibri" w:hAnsi="Calibri"/>
          <w:b/>
          <w:bCs/>
          <w:color w:val="0E6B75"/>
          <w:sz w:val="24"/>
          <w:szCs w:val="24"/>
          <w:u w:val="single"/>
        </w:rPr>
        <w:t xml:space="preserve">3.3  Less: Purchase Returns</w:t>
      </w:r>
    </w:p>
    <w:p>
      <w:pPr>
        <w:spacing w:after="100" w:before="40"/>
      </w:pPr>
      <w:r>
        <w:rPr>
          <w:rFonts w:ascii="Calibri" w:cs="Calibri" w:eastAsia="Calibri" w:hAnsi="Calibri"/>
          <w:b/>
          <w:bCs/>
          <w:color w:val="111111"/>
          <w:sz w:val="20"/>
          <w:szCs w:val="20"/>
        </w:rPr>
        <w:t xml:space="preserve">What it is:  </w:t>
      </w:r>
      <w:r>
        <w:rPr>
          <w:rFonts w:ascii="Calibri" w:cs="Calibri" w:eastAsia="Calibri" w:hAnsi="Calibri"/>
          <w:i w:val="false"/>
          <w:iCs w:val="false"/>
          <w:color w:val="222222"/>
          <w:sz w:val="20"/>
          <w:szCs w:val="20"/>
        </w:rPr>
        <w:t xml:space="preserve">The total value of stocked goods returned to suppliers during the period, as reflected in Return Purchase Invoices.</w:t>
      </w:r>
    </w:p>
    <w:p>
      <w:pPr>
        <w:spacing w:after="0" w:before="0" w:line="80"/>
      </w:pPr>
    </w:p>
    <w:p>
      <w:pPr>
        <w:spacing w:after="100" w:before="40"/>
      </w:pPr>
      <w:r>
        <w:rPr>
          <w:rFonts w:ascii="Calibri" w:cs="Calibri" w:eastAsia="Calibri" w:hAnsi="Calibri"/>
          <w:b/>
          <w:bCs/>
          <w:color w:val="111111"/>
          <w:sz w:val="20"/>
          <w:szCs w:val="20"/>
        </w:rPr>
        <w:t xml:space="preserve">Why it is deducted:  </w:t>
      </w:r>
      <w:r>
        <w:rPr>
          <w:rFonts w:ascii="Calibri" w:cs="Calibri" w:eastAsia="Calibri" w:hAnsi="Calibri"/>
          <w:i w:val="false"/>
          <w:iCs w:val="false"/>
          <w:color w:val="222222"/>
          <w:sz w:val="20"/>
          <w:szCs w:val="20"/>
        </w:rPr>
        <w:t xml:space="preserve">Goods returned to the supplier leave the warehouse and reduce the total stock available for sale. If we did not deduct returns, the Purchases line would overstate the goods actually available, and COGS would be inflated.</w:t>
      </w:r>
    </w:p>
    <w:p>
      <w:pPr>
        <w:spacing w:after="0" w:before="0" w:line="80"/>
      </w:pPr>
    </w:p>
    <w:p>
      <w:pPr>
        <w:spacing w:after="100" w:before="40"/>
      </w:pPr>
      <w:r>
        <w:rPr>
          <w:rFonts w:ascii="Calibri" w:cs="Calibri" w:eastAsia="Calibri" w:hAnsi="Calibri"/>
          <w:b/>
          <w:bCs/>
          <w:color w:val="111111"/>
          <w:sz w:val="20"/>
          <w:szCs w:val="20"/>
        </w:rPr>
        <w:t xml:space="preserve">Source documents:  </w:t>
      </w:r>
      <w:r>
        <w:rPr>
          <w:rFonts w:ascii="Calibri" w:cs="Calibri" w:eastAsia="Calibri" w:hAnsi="Calibri"/>
          <w:i w:val="false"/>
          <w:iCs w:val="false"/>
          <w:color w:val="222222"/>
          <w:sz w:val="20"/>
          <w:szCs w:val="20"/>
        </w:rPr>
        <w:t xml:space="preserve">Submitted Purchase Invoices marked as Return (credit notes to the supplier), within the date range. Same exclusions apply — VAT excluded, stocked items only.</w:t>
      </w:r>
    </w:p>
    <w:p>
      <w:pPr>
        <w:spacing w:after="0" w:before="0" w:line="80"/>
      </w:pPr>
    </w:p>
    <w:p>
      <w:pPr>
        <w:spacing w:after="100" w:before="40"/>
      </w:pPr>
      <w:r>
        <w:rPr>
          <w:rFonts w:ascii="Calibri" w:cs="Calibri" w:eastAsia="Calibri" w:hAnsi="Calibri"/>
          <w:b/>
          <w:bCs/>
          <w:color w:val="111111"/>
          <w:sz w:val="20"/>
          <w:szCs w:val="20"/>
        </w:rPr>
        <w:t xml:space="preserve">How it is shown:  </w:t>
      </w:r>
      <w:r>
        <w:rPr>
          <w:rFonts w:ascii="Calibri" w:cs="Calibri" w:eastAsia="Calibri" w:hAnsi="Calibri"/>
          <w:i w:val="false"/>
          <w:iCs w:val="false"/>
          <w:color w:val="222222"/>
          <w:sz w:val="20"/>
          <w:szCs w:val="20"/>
        </w:rPr>
        <w:t xml:space="preserve">The value is displayed as a positive number with the label "Less:" to make the formula readable. The system subtracts it in the calculation.</w:t>
      </w:r>
    </w:p>
    <w:p>
      <w:pPr>
        <w:spacing w:after="0" w:before="0" w:lin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shd w:fill="FFF8E1" w:val="clear"/>
            <w:tcMar>
              <w:top w:type="dxa" w:w="140"/>
              <w:left w:type="dxa" w:w="220"/>
              <w:bottom w:type="dxa" w:w="140"/>
              <w:right w:type="dxa" w:w="220"/>
            </w:tcMar>
          </w:tcPr>
          <w:p>
            <w:pPr>
              <w:spacing w:after="40" w:before="0"/>
            </w:pPr>
            <w:r>
              <w:rPr>
                <w:rFonts w:ascii="Calibri" w:cs="Calibri" w:eastAsia="Calibri" w:hAnsi="Calibri"/>
                <w:sz w:val="20"/>
                <w:szCs w:val="20"/>
              </w:rPr>
              <w:t xml:space="preserve">⚠️  </w:t>
            </w:r>
            <w:r>
              <w:rPr>
                <w:rFonts w:ascii="Calibri" w:cs="Calibri" w:eastAsia="Calibri" w:hAnsi="Calibri"/>
                <w:b/>
                <w:bCs/>
                <w:color w:val="B8860B"/>
                <w:sz w:val="20"/>
                <w:szCs w:val="20"/>
              </w:rPr>
              <w:t xml:space="preserve">Note:  </w:t>
            </w:r>
          </w:p>
          <w:p>
            <w:pPr>
              <w:spacing w:after="0" w:before="0"/>
            </w:pPr>
            <w:r>
              <w:rPr>
                <w:rFonts w:ascii="Calibri" w:cs="Calibri" w:eastAsia="Calibri" w:hAnsi="Calibri"/>
                <w:color w:val="333333"/>
                <w:sz w:val="20"/>
                <w:szCs w:val="20"/>
              </w:rPr>
              <w:t xml:space="preserve">If your team processes supplier returns as Debit Notes rather than Return Purchase Invoices, those amounts will NOT appear here. Ensure the correct document type is used consistently.</w:t>
            </w:r>
          </w:p>
        </w:tc>
      </w:tr>
    </w:tbl>
    <w:p>
      <w:pPr>
        <w:spacing w:after="0" w:before="0" w:line="160"/>
      </w:pPr>
    </w:p>
    <w:p>
      <w:pPr>
        <w:spacing w:after="80" w:before="260"/>
      </w:pPr>
      <w:r>
        <w:rPr>
          <w:rFonts w:ascii="Calibri" w:cs="Calibri" w:eastAsia="Calibri" w:hAnsi="Calibri"/>
          <w:b/>
          <w:bCs/>
          <w:color w:val="0E6B75"/>
          <w:sz w:val="24"/>
          <w:szCs w:val="24"/>
          <w:u w:val="single"/>
        </w:rPr>
        <w:t xml:space="preserve">3.4  Less: Closing Stock Value</w:t>
      </w:r>
    </w:p>
    <w:p>
      <w:pPr>
        <w:spacing w:after="100" w:before="40"/>
      </w:pPr>
      <w:r>
        <w:rPr>
          <w:rFonts w:ascii="Calibri" w:cs="Calibri" w:eastAsia="Calibri" w:hAnsi="Calibri"/>
          <w:b/>
          <w:bCs/>
          <w:color w:val="111111"/>
          <w:sz w:val="20"/>
          <w:szCs w:val="20"/>
        </w:rPr>
        <w:t xml:space="preserve">What it is:  </w:t>
      </w:r>
      <w:r>
        <w:rPr>
          <w:rFonts w:ascii="Calibri" w:cs="Calibri" w:eastAsia="Calibri" w:hAnsi="Calibri"/>
          <w:i w:val="false"/>
          <w:iCs w:val="false"/>
          <w:color w:val="222222"/>
          <w:sz w:val="20"/>
          <w:szCs w:val="20"/>
        </w:rPr>
        <w:t xml:space="preserve">The total monetary value of all inventory still held at the end of the period — the stock balance as at the To Date.</w:t>
      </w:r>
    </w:p>
    <w:p>
      <w:pPr>
        <w:spacing w:after="0" w:before="0" w:line="80"/>
      </w:pPr>
    </w:p>
    <w:p>
      <w:pPr>
        <w:spacing w:after="100" w:before="40"/>
      </w:pPr>
      <w:r>
        <w:rPr>
          <w:rFonts w:ascii="Calibri" w:cs="Calibri" w:eastAsia="Calibri" w:hAnsi="Calibri"/>
          <w:b/>
          <w:bCs/>
          <w:color w:val="111111"/>
          <w:sz w:val="20"/>
          <w:szCs w:val="20"/>
        </w:rPr>
        <w:t xml:space="preserve">Why it is deducted:  </w:t>
      </w:r>
      <w:r>
        <w:rPr>
          <w:rFonts w:ascii="Calibri" w:cs="Calibri" w:eastAsia="Calibri" w:hAnsi="Calibri"/>
          <w:i w:val="false"/>
          <w:iCs w:val="false"/>
          <w:color w:val="222222"/>
          <w:sz w:val="20"/>
          <w:szCs w:val="20"/>
        </w:rPr>
        <w:t xml:space="preserve">Not everything purchased in the period was sold. The closing stock represents goods that were bought but are still sitting in the warehouse — they have not been consumed or sold, so their cost should not be charged to COGS this period.</w:t>
      </w:r>
    </w:p>
    <w:p>
      <w:pPr>
        <w:spacing w:after="0" w:before="0" w:line="80"/>
      </w:pPr>
    </w:p>
    <w:p>
      <w:pPr>
        <w:spacing w:after="100" w:before="40"/>
      </w:pPr>
      <w:r>
        <w:rPr>
          <w:rFonts w:ascii="Calibri" w:cs="Calibri" w:eastAsia="Calibri" w:hAnsi="Calibri"/>
          <w:b/>
          <w:bCs/>
          <w:color w:val="111111"/>
          <w:sz w:val="20"/>
          <w:szCs w:val="20"/>
        </w:rPr>
        <w:t xml:space="preserve">Perpetual inventory advantage:  </w:t>
      </w:r>
      <w:r>
        <w:rPr>
          <w:rFonts w:ascii="Calibri" w:cs="Calibri" w:eastAsia="Calibri" w:hAnsi="Calibri"/>
          <w:i w:val="false"/>
          <w:iCs w:val="false"/>
          <w:color w:val="222222"/>
          <w:sz w:val="20"/>
          <w:szCs w:val="20"/>
        </w:rPr>
        <w:t xml:space="preserve">Under periodic inventory, a physical stock count is required to determine closing stock, and this is a manual estimate. Under perpetual inventory (which this system uses), every movement is recorded in real time. The closing stock figure is always accurate without a count, because the system knows exactly what came in and what went out.</w:t>
      </w:r>
    </w:p>
    <w:p>
      <w:pPr>
        <w:spacing w:after="0" w:before="0" w:lin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1B5E20" w:sz="24"/>
              <w:bottom w:val="none" w:color="FFFFFF" w:sz="0"/>
              <w:right w:val="none" w:color="FFFFFF" w:sz="0"/>
            </w:tcBorders>
            <w:shd w:fill="E8F5E9" w:val="clear"/>
            <w:tcMar>
              <w:top w:type="dxa" w:w="160"/>
              <w:left w:type="dxa" w:w="240"/>
              <w:bottom w:type="dxa" w:w="160"/>
              <w:right w:type="dxa" w:w="240"/>
            </w:tcMar>
          </w:tcPr>
          <w:p>
            <w:pPr>
              <w:spacing w:after="60" w:before="0"/>
            </w:pPr>
            <w:r>
              <w:rPr>
                <w:rFonts w:ascii="Calibri" w:cs="Calibri" w:eastAsia="Calibri" w:hAnsi="Calibri"/>
                <w:b/>
                <w:bCs/>
                <w:color w:val="1B5E20"/>
                <w:sz w:val="20"/>
                <w:szCs w:val="20"/>
              </w:rPr>
              <w:t xml:space="preserve">How Landed Cost Vouchers (LCV) affect Closing Stock</w:t>
            </w:r>
          </w:p>
          <w:p>
            <w:pPr>
              <w:spacing w:after="60" w:before="0"/>
            </w:pPr>
            <w:r>
              <w:rPr>
                <w:rFonts w:ascii="Calibri" w:cs="Calibri" w:eastAsia="Calibri" w:hAnsi="Calibri"/>
                <w:i w:val="false"/>
                <w:iCs w:val="false"/>
                <w:color w:val="222222"/>
                <w:sz w:val="20"/>
                <w:szCs w:val="20"/>
              </w:rPr>
              <w:t xml:space="preserve">A Landed Cost Voucher is used to add import duties, shipping charges, customs clearance, or other procurement costs onto the value of received goods. When an LCV is posted in ERPNext, it increases the inventory value of the affected items in the stock ledger.</w:t>
            </w:r>
          </w:p>
          <w:p>
            <w:pPr>
              <w:spacing w:after="60" w:before="0"/>
            </w:pPr>
            <w:r>
              <w:rPr>
                <w:rFonts w:ascii="Calibri" w:cs="Calibri" w:eastAsia="Calibri" w:hAnsi="Calibri"/>
                <w:i w:val="false"/>
                <w:iCs w:val="false"/>
                <w:color w:val="222222"/>
                <w:sz w:val="20"/>
                <w:szCs w:val="20"/>
              </w:rPr>
              <w:t xml:space="preserve">Because the Closing Stock figure in this report is read directly from the stock ledger as at the To Date, </w:t>
            </w:r>
            <w:r>
              <w:rPr>
                <w:rFonts w:ascii="Calibri" w:cs="Calibri" w:eastAsia="Calibri" w:hAnsi="Calibri"/>
                <w:b/>
                <w:bCs/>
                <w:color w:val="1B5E20"/>
                <w:sz w:val="20"/>
                <w:szCs w:val="20"/>
              </w:rPr>
              <w:t xml:space="preserve">any LCV posted on or before the To Date is automatically included in the closing stock value</w:t>
            </w:r>
            <w:r>
              <w:rPr>
                <w:rFonts w:ascii="Calibri" w:cs="Calibri" w:eastAsia="Calibri" w:hAnsi="Calibri"/>
                <w:i w:val="false"/>
                <w:iCs w:val="false"/>
                <w:color w:val="222222"/>
                <w:sz w:val="20"/>
                <w:szCs w:val="20"/>
              </w:rPr>
              <w:t xml:space="preserve">. No separate entry or adjustment is needed.</w:t>
            </w:r>
          </w:p>
          <w:p>
            <w:pPr>
              <w:spacing w:after="60" w:before="0"/>
            </w:pPr>
            <w:r>
              <w:rPr>
                <w:rFonts w:ascii="Calibri" w:cs="Calibri" w:eastAsia="Calibri" w:hAnsi="Calibri"/>
                <w:b/>
                <w:bCs/>
                <w:color w:val="B8860B"/>
                <w:sz w:val="20"/>
                <w:szCs w:val="20"/>
              </w:rPr>
              <w:t xml:space="preserve">Practical implication:  </w:t>
            </w:r>
            <w:r>
              <w:rPr>
                <w:rFonts w:ascii="Calibri" w:cs="Calibri" w:eastAsia="Calibri" w:hAnsi="Calibri"/>
                <w:i w:val="false"/>
                <w:iCs w:val="false"/>
                <w:color w:val="222222"/>
                <w:sz w:val="20"/>
                <w:szCs w:val="20"/>
              </w:rPr>
              <w:t xml:space="preserve">If an LCV is posted after the period closes (e.g., the freight invoice arrives late in the following month but relates to goods received in the current period), the closing stock for the current period will be understated by the LCV amount until the report is re-run. </w:t>
            </w:r>
            <w:r>
              <w:rPr>
                <w:rFonts w:ascii="Calibri" w:cs="Calibri" w:eastAsia="Calibri" w:hAnsi="Calibri"/>
                <w:b/>
                <w:bCs/>
                <w:color w:val="111111"/>
                <w:sz w:val="20"/>
                <w:szCs w:val="20"/>
              </w:rPr>
              <w:t xml:space="preserve">Best practice is to post all LCVs for a period before running this report for that period.</w:t>
            </w:r>
          </w:p>
          <w:p>
            <w:pPr>
              <w:spacing w:after="0" w:before="0"/>
            </w:pPr>
            <w:r>
              <w:rPr>
                <w:rFonts w:ascii="Calibri" w:cs="Calibri" w:eastAsia="Calibri" w:hAnsi="Calibri"/>
                <w:b/>
                <w:bCs/>
                <w:color w:val="B8860B"/>
                <w:sz w:val="20"/>
                <w:szCs w:val="20"/>
              </w:rPr>
              <w:t xml:space="preserve">Effect on the Difference row:  </w:t>
            </w:r>
            <w:r>
              <w:rPr>
                <w:rFonts w:ascii="Calibri" w:cs="Calibri" w:eastAsia="Calibri" w:hAnsi="Calibri"/>
                <w:i w:val="false"/>
                <w:iCs w:val="false"/>
                <w:color w:val="222222"/>
                <w:sz w:val="20"/>
                <w:szCs w:val="20"/>
              </w:rPr>
              <w:t xml:space="preserve">A late LCV that increases stock value will reduce the Closing Stock deduction, which increases the Calculated COGS. But GL COGS will not change (the LCV adjusts the stock account, not the COGS account directly). This will cause a positive Difference that disappears once the LCV is within the report period.</w:t>
            </w:r>
          </w:p>
        </w:tc>
      </w:tr>
    </w:tbl>
    <w:p>
      <w:pPr>
        <w:spacing w:after="0" w:before="0" w:line="200"/>
      </w:pPr>
    </w:p>
    <w:p>
      <w:pPr>
        <w:spacing w:after="80" w:before="260"/>
      </w:pPr>
      <w:r>
        <w:rPr>
          <w:rFonts w:ascii="Calibri" w:cs="Calibri" w:eastAsia="Calibri" w:hAnsi="Calibri"/>
          <w:b/>
          <w:bCs/>
          <w:color w:val="0E6B75"/>
          <w:sz w:val="24"/>
          <w:szCs w:val="24"/>
          <w:u w:val="single"/>
        </w:rPr>
        <w:t xml:space="preserve">3.5  Calculated COGS  (Trading Formula)</w:t>
      </w:r>
    </w:p>
    <w:p>
      <w:pPr>
        <w:spacing w:after="100" w:before="40"/>
      </w:pPr>
      <w:r>
        <w:rPr>
          <w:rFonts w:ascii="Calibri" w:cs="Calibri" w:eastAsia="Calibri" w:hAnsi="Calibri"/>
          <w:b/>
          <w:bCs/>
          <w:color w:val="111111"/>
          <w:sz w:val="20"/>
          <w:szCs w:val="20"/>
        </w:rPr>
        <w:t xml:space="preserve">What it is:  </w:t>
      </w:r>
      <w:r>
        <w:rPr>
          <w:rFonts w:ascii="Calibri" w:cs="Calibri" w:eastAsia="Calibri" w:hAnsi="Calibri"/>
          <w:i w:val="false"/>
          <w:iCs w:val="false"/>
          <w:color w:val="222222"/>
          <w:sz w:val="20"/>
          <w:szCs w:val="20"/>
        </w:rPr>
        <w:t xml:space="preserve">The result of applying the trading formula to the four values above.</w:t>
      </w:r>
    </w:p>
    <w:p>
      <w:pPr>
        <w:spacing w:after="0" w:before="0" w:line="80"/>
      </w:pPr>
    </w:p>
    <w:p>
      <w:pPr>
        <w:spacing w:after="60" w:before="40"/>
      </w:pPr>
      <w:r>
        <w:rPr>
          <w:rFonts w:ascii="Calibri" w:cs="Calibri" w:eastAsia="Calibri" w:hAnsi="Calibri"/>
          <w:i w:val="false"/>
          <w:iCs w:val="false"/>
          <w:color w:val="222222"/>
          <w:sz w:val="20"/>
          <w:szCs w:val="20"/>
        </w:rPr>
        <w:t xml:space="preserve">  Calculated COGS  =  Opening Stock  +  Purchases  −  Purchase Returns  −  Closing Stock</w:t>
      </w:r>
    </w:p>
    <w:p>
      <w:pPr>
        <w:spacing w:after="0" w:before="0" w:line="80"/>
      </w:pPr>
    </w:p>
    <w:p>
      <w:pPr>
        <w:spacing w:after="100" w:before="40"/>
      </w:pPr>
      <w:r>
        <w:rPr>
          <w:rFonts w:ascii="Calibri" w:cs="Calibri" w:eastAsia="Calibri" w:hAnsi="Calibri"/>
          <w:b/>
          <w:bCs/>
          <w:color w:val="111111"/>
          <w:sz w:val="20"/>
          <w:szCs w:val="20"/>
        </w:rPr>
        <w:t xml:space="preserve">What it represents:  </w:t>
      </w:r>
      <w:r>
        <w:rPr>
          <w:rFonts w:ascii="Calibri" w:cs="Calibri" w:eastAsia="Calibri" w:hAnsi="Calibri"/>
          <w:i w:val="false"/>
          <w:iCs w:val="false"/>
          <w:color w:val="222222"/>
          <w:sz w:val="20"/>
          <w:szCs w:val="20"/>
        </w:rPr>
        <w:t xml:space="preserve">This is the cost of goods that must have been sold or consumed during the period. Every unit of stock that came in but is no longer sitting in the warehouse at period-end has been sold, consumed, or written off. This formula captures all of that cost.</w:t>
      </w:r>
    </w:p>
    <w:p>
      <w:pPr>
        <w:spacing w:after="0" w:before="0" w:line="80"/>
      </w:pPr>
    </w:p>
    <w:p>
      <w:pPr>
        <w:spacing w:after="100" w:before="40"/>
      </w:pPr>
      <w:r>
        <w:rPr>
          <w:rFonts w:ascii="Calibri" w:cs="Calibri" w:eastAsia="Calibri" w:hAnsi="Calibri"/>
          <w:b/>
          <w:bCs/>
          <w:color w:val="111111"/>
          <w:sz w:val="20"/>
          <w:szCs w:val="20"/>
        </w:rPr>
        <w:t xml:space="preserve">This is a derived figure</w:t>
      </w:r>
      <w:r>
        <w:rPr>
          <w:rFonts w:ascii="Calibri" w:cs="Calibri" w:eastAsia="Calibri" w:hAnsi="Calibri"/>
          <w:i w:val="false"/>
          <w:iCs w:val="false"/>
          <w:color w:val="222222"/>
          <w:sz w:val="20"/>
          <w:szCs w:val="20"/>
        </w:rPr>
        <w:t xml:space="preserve"> — the system computes it from the four inputs. It does not read a GL account. It is the accounting truth that the GL should reflect.</w:t>
      </w:r>
    </w:p>
    <w:p>
      <w:pPr>
        <w:spacing w:after="0" w:before="0" w:line="160"/>
      </w:pPr>
    </w:p>
    <w:p>
      <w:pPr>
        <w:spacing w:after="80" w:before="260"/>
      </w:pPr>
      <w:r>
        <w:rPr>
          <w:rFonts w:ascii="Calibri" w:cs="Calibri" w:eastAsia="Calibri" w:hAnsi="Calibri"/>
          <w:b/>
          <w:bCs/>
          <w:color w:val="0E6B75"/>
          <w:sz w:val="24"/>
          <w:szCs w:val="24"/>
          <w:u w:val="single"/>
        </w:rPr>
        <w:t xml:space="preserve">3.6  GL COGS  (Auto-posted by ERPNext)</w:t>
      </w:r>
    </w:p>
    <w:p>
      <w:pPr>
        <w:spacing w:after="100" w:before="40"/>
      </w:pPr>
      <w:r>
        <w:rPr>
          <w:rFonts w:ascii="Calibri" w:cs="Calibri" w:eastAsia="Calibri" w:hAnsi="Calibri"/>
          <w:b/>
          <w:bCs/>
          <w:color w:val="111111"/>
          <w:sz w:val="20"/>
          <w:szCs w:val="20"/>
        </w:rPr>
        <w:t xml:space="preserve">What it is:  </w:t>
      </w:r>
      <w:r>
        <w:rPr>
          <w:rFonts w:ascii="Calibri" w:cs="Calibri" w:eastAsia="Calibri" w:hAnsi="Calibri"/>
          <w:i w:val="false"/>
          <w:iCs w:val="false"/>
          <w:color w:val="222222"/>
          <w:sz w:val="20"/>
          <w:szCs w:val="20"/>
        </w:rPr>
        <w:t xml:space="preserve">The net movement on the Cost of Goods Sold account in the General Ledger during the period — as posted automatically by ERPNext at the time of each sale.</w:t>
      </w:r>
    </w:p>
    <w:p>
      <w:pPr>
        <w:spacing w:after="0" w:before="0" w:line="80"/>
      </w:pPr>
    </w:p>
    <w:p>
      <w:pPr>
        <w:spacing w:after="100" w:before="40"/>
      </w:pPr>
      <w:r>
        <w:rPr>
          <w:rFonts w:ascii="Calibri" w:cs="Calibri" w:eastAsia="Calibri" w:hAnsi="Calibri"/>
          <w:b/>
          <w:bCs/>
          <w:color w:val="111111"/>
          <w:sz w:val="20"/>
          <w:szCs w:val="20"/>
        </w:rPr>
        <w:t xml:space="preserve">How it is posted:  </w:t>
      </w:r>
      <w:r>
        <w:rPr>
          <w:rFonts w:ascii="Calibri" w:cs="Calibri" w:eastAsia="Calibri" w:hAnsi="Calibri"/>
          <w:i w:val="false"/>
          <w:iCs w:val="false"/>
          <w:color w:val="222222"/>
          <w:sz w:val="20"/>
          <w:szCs w:val="20"/>
        </w:rPr>
        <w:t xml:space="preserve">Every time a Delivery Note or Sales Invoice is submitted for a stocked item, ERPNext posts two entries simultaneously: a credit to the Stock / Inventory asset account and a debit to the COGS expense account. The amount is based on the item's current valuation rate at the time of sale.</w:t>
      </w:r>
    </w:p>
    <w:p>
      <w:pPr>
        <w:spacing w:after="0" w:before="0" w:line="80"/>
      </w:pPr>
    </w:p>
    <w:p>
      <w:pPr>
        <w:spacing w:after="100" w:before="40"/>
      </w:pPr>
      <w:r>
        <w:rPr>
          <w:rFonts w:ascii="Calibri" w:cs="Calibri" w:eastAsia="Calibri" w:hAnsi="Calibri"/>
          <w:b/>
          <w:bCs/>
          <w:color w:val="111111"/>
          <w:sz w:val="20"/>
          <w:szCs w:val="20"/>
        </w:rPr>
        <w:t xml:space="preserve">What this figure represents:  </w:t>
      </w:r>
      <w:r>
        <w:rPr>
          <w:rFonts w:ascii="Calibri" w:cs="Calibri" w:eastAsia="Calibri" w:hAnsi="Calibri"/>
          <w:i w:val="false"/>
          <w:iCs w:val="false"/>
          <w:color w:val="222222"/>
          <w:sz w:val="20"/>
          <w:szCs w:val="20"/>
        </w:rPr>
        <w:t xml:space="preserve">The total of all those automatic debits to COGS, net of any reversals, for the selected period. This is the GL reality.</w:t>
      </w:r>
    </w:p>
    <w:p>
      <w:pPr>
        <w:spacing w:after="0" w:before="0" w:line="80"/>
      </w:pPr>
    </w:p>
    <w:p>
      <w:pPr>
        <w:spacing w:after="100" w:before="40"/>
      </w:pPr>
      <w:r>
        <w:rPr>
          <w:rFonts w:ascii="Calibri" w:cs="Calibri" w:eastAsia="Calibri" w:hAnsi="Calibri"/>
          <w:b/>
          <w:bCs/>
          <w:color w:val="111111"/>
          <w:sz w:val="20"/>
          <w:szCs w:val="20"/>
        </w:rPr>
        <w:t xml:space="preserve">Why it might differ from Calculated COGS:  </w:t>
      </w:r>
      <w:r>
        <w:rPr>
          <w:rFonts w:ascii="Calibri" w:cs="Calibri" w:eastAsia="Calibri" w:hAnsi="Calibri"/>
          <w:i w:val="false"/>
          <w:iCs w:val="false"/>
          <w:color w:val="222222"/>
          <w:sz w:val="20"/>
          <w:szCs w:val="20"/>
        </w:rPr>
        <w:t xml:space="preserve">In a perfectly functioning system with no manual interventions, the two always agree. Differences arise from specific scenarios described in Section 4.</w:t>
      </w:r>
    </w:p>
    <w:p>
      <w:pPr>
        <w:spacing w:after="0" w:before="0" w:line="200"/>
      </w:pPr>
    </w:p>
    <w:p>
      <w:pPr>
        <w:pStyle w:val="Heading1"/>
        <w:spacing w:after="100" w:before="360"/>
      </w:pPr>
      <w:r>
        <w:rPr>
          <w:rFonts w:ascii="Calibri" w:cs="Calibri" w:eastAsia="Calibri" w:hAnsi="Calibri"/>
          <w:b/>
          <w:bCs/>
          <w:color w:val="1B3A6B"/>
          <w:sz w:val="30"/>
          <w:szCs w:val="30"/>
        </w:rPr>
        <w:t xml:space="preserve">4.  Understanding the Difference Row</w:t>
      </w:r>
    </w:p>
    <w:p>
      <w:pPr>
        <w:spacing w:after="100" w:before="40"/>
      </w:pPr>
      <w:r>
        <w:rPr>
          <w:rFonts w:ascii="Calibri" w:cs="Calibri" w:eastAsia="Calibri" w:hAnsi="Calibri"/>
          <w:i w:val="false"/>
          <w:iCs w:val="false"/>
          <w:color w:val="222222"/>
          <w:sz w:val="20"/>
          <w:szCs w:val="20"/>
        </w:rPr>
        <w:t xml:space="preserve">The Difference is the most important line in the report. It is the gap between what the formula says COGS should be and what the system actually posted.</w:t>
      </w:r>
    </w:p>
    <w:p>
      <w:pPr>
        <w:spacing w:after="0" w:before="0" w:lin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9"/>
        <w:gridCol w:w="2924"/>
        <w:gridCol w:w="4093"/>
      </w:tblGrid>
      <w:tr>
        <w:tc>
          <w:tcPr>
            <w:tcW w:type="dxa" w:w="2729"/>
            <w:shd w:fill="1B3A6B" w:val="clear"/>
            <w:tcMar>
              <w:top w:type="dxa" w:w="100"/>
              <w:left w:type="dxa" w:w="160"/>
              <w:bottom w:type="dxa" w:w="100"/>
              <w:right w:type="dxa" w:w="160"/>
            </w:tcMar>
          </w:tcPr>
          <w:p>
            <w:r>
              <w:rPr>
                <w:rFonts w:ascii="Calibri" w:cs="Calibri" w:eastAsia="Calibri" w:hAnsi="Calibri"/>
                <w:b/>
                <w:bCs/>
                <w:color w:val="FFFFFF"/>
                <w:sz w:val="19"/>
                <w:szCs w:val="19"/>
              </w:rPr>
              <w:t xml:space="preserve">Scenario</w:t>
            </w:r>
          </w:p>
        </w:tc>
        <w:tc>
          <w:tcPr>
            <w:tcW w:type="dxa" w:w="2924"/>
            <w:shd w:fill="1B3A6B" w:val="clear"/>
            <w:tcMar>
              <w:top w:type="dxa" w:w="100"/>
              <w:left w:type="dxa" w:w="160"/>
              <w:bottom w:type="dxa" w:w="100"/>
              <w:right w:type="dxa" w:w="160"/>
            </w:tcMar>
          </w:tcPr>
          <w:p>
            <w:r>
              <w:rPr>
                <w:rFonts w:ascii="Calibri" w:cs="Calibri" w:eastAsia="Calibri" w:hAnsi="Calibri"/>
                <w:b/>
                <w:bCs/>
                <w:color w:val="FFFFFF"/>
                <w:sz w:val="19"/>
                <w:szCs w:val="19"/>
              </w:rPr>
              <w:t xml:space="preserve">What the Difference Shows</w:t>
            </w:r>
          </w:p>
        </w:tc>
        <w:tc>
          <w:tcPr>
            <w:tcW w:type="dxa" w:w="4093"/>
            <w:shd w:fill="1B3A6B" w:val="clear"/>
            <w:tcMar>
              <w:top w:type="dxa" w:w="100"/>
              <w:left w:type="dxa" w:w="160"/>
              <w:bottom w:type="dxa" w:w="100"/>
              <w:right w:type="dxa" w:w="160"/>
            </w:tcMar>
          </w:tcPr>
          <w:p>
            <w:r>
              <w:rPr>
                <w:rFonts w:ascii="Calibri" w:cs="Calibri" w:eastAsia="Calibri" w:hAnsi="Calibri"/>
                <w:b/>
                <w:bCs/>
                <w:color w:val="FFFFFF"/>
                <w:sz w:val="19"/>
                <w:szCs w:val="19"/>
              </w:rPr>
              <w:t xml:space="preserve">Action</w:t>
            </w:r>
          </w:p>
        </w:tc>
      </w:tr>
      <w:tr>
        <w:tc>
          <w:tcPr>
            <w:tcW w:type="dxa" w:w="2729"/>
            <w:shd w:fill="F4F5F7"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Difference = 0</w:t>
            </w:r>
          </w:p>
        </w:tc>
        <w:tc>
          <w:tcPr>
            <w:tcW w:type="dxa" w:w="2924"/>
            <w:shd w:fill="F4F5F7"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None — system is healthy</w:t>
            </w:r>
          </w:p>
        </w:tc>
        <w:tc>
          <w:tcPr>
            <w:tcW w:type="dxa" w:w="4093"/>
            <w:shd w:fill="F4F5F7"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No action. Close the period with confidence.</w:t>
            </w:r>
          </w:p>
        </w:tc>
      </w:tr>
      <w:tr>
        <w:tc>
          <w:tcPr>
            <w:tcW w:type="dxa" w:w="2729"/>
            <w:shd w:fill="FFFFFF"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Positive Difference
(Calculated &gt; GL)</w:t>
            </w:r>
          </w:p>
        </w:tc>
        <w:tc>
          <w:tcPr>
            <w:tcW w:type="dxa" w:w="2924"/>
            <w:shd w:fill="FFFFFF"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The formula says more was consumed than the GL recorded. COGS is understated in the P&amp;L.</w:t>
            </w:r>
          </w:p>
        </w:tc>
        <w:tc>
          <w:tcPr>
            <w:tcW w:type="dxa" w:w="4093"/>
            <w:shd w:fill="FFFFFF"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Investigate: likely a direct PI to COGS, a goods write-off not posted through the system, or an LCV posted after the period.</w:t>
            </w:r>
          </w:p>
        </w:tc>
      </w:tr>
      <w:tr>
        <w:tc>
          <w:tcPr>
            <w:tcW w:type="dxa" w:w="2729"/>
            <w:shd w:fill="F4F5F7"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Negative Difference
(Calculated &lt; GL)</w:t>
            </w:r>
          </w:p>
        </w:tc>
        <w:tc>
          <w:tcPr>
            <w:tcW w:type="dxa" w:w="2924"/>
            <w:shd w:fill="F4F5F7"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The GL has more COGS than the formula accounts for. COGS is overstated in the P&amp;L.</w:t>
            </w:r>
          </w:p>
        </w:tc>
        <w:tc>
          <w:tcPr>
            <w:tcW w:type="dxa" w:w="4093"/>
            <w:shd w:fill="F4F5F7"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Investigate: likely a manual Journal Entry to the COGS account, or a sales return not processed correctly.</w:t>
            </w:r>
          </w:p>
        </w:tc>
      </w:tr>
      <w:tr>
        <w:tc>
          <w:tcPr>
            <w:tcW w:type="dxa" w:w="2729"/>
            <w:shd w:fill="FFFFFF"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Large Difference in the first period after go-live</w:t>
            </w:r>
          </w:p>
        </w:tc>
        <w:tc>
          <w:tcPr>
            <w:tcW w:type="dxa" w:w="2924"/>
            <w:shd w:fill="FFFFFF"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Opening stock may not have been entered at correct valuation.</w:t>
            </w:r>
          </w:p>
        </w:tc>
        <w:tc>
          <w:tcPr>
            <w:tcW w:type="dxa" w:w="4093"/>
            <w:shd w:fill="FFFFFF"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Verify that the opening stock entry in ERPNext matches the audited closing stock from the legacy system.</w:t>
            </w:r>
          </w:p>
        </w:tc>
      </w:tr>
      <w:tr>
        <w:tc>
          <w:tcPr>
            <w:tcW w:type="dxa" w:w="2729"/>
            <w:shd w:fill="F4F5F7"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Difference matches a specific LCV amount</w:t>
            </w:r>
          </w:p>
        </w:tc>
        <w:tc>
          <w:tcPr>
            <w:tcW w:type="dxa" w:w="2924"/>
            <w:shd w:fill="F4F5F7"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An LCV was posted after the To Date for goods received within the period.</w:t>
            </w:r>
          </w:p>
        </w:tc>
        <w:tc>
          <w:tcPr>
            <w:tcW w:type="dxa" w:w="4093"/>
            <w:shd w:fill="F4F5F7"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Re-run the report after the LCV is posted, or note the timing difference in the period-end working papers.</w:t>
            </w:r>
          </w:p>
        </w:tc>
      </w:tr>
    </w:tbl>
    <w:p>
      <w:pPr>
        <w:spacing w:after="0" w:before="0" w:line="200"/>
      </w:pPr>
    </w:p>
    <w:p>
      <w:pPr>
        <w:pStyle w:val="Heading1"/>
        <w:spacing w:after="100" w:before="360"/>
      </w:pPr>
      <w:r>
        <w:rPr>
          <w:rFonts w:ascii="Calibri" w:cs="Calibri" w:eastAsia="Calibri" w:hAnsi="Calibri"/>
          <w:b/>
          <w:bCs/>
          <w:color w:val="1B3A6B"/>
          <w:sz w:val="30"/>
          <w:szCs w:val="30"/>
        </w:rPr>
        <w:t xml:space="preserve">5.  When to Run This Report</w:t>
      </w:r>
    </w:p>
    <w:p>
      <w:pPr>
        <w:spacing w:after="100" w:before="40"/>
      </w:pPr>
      <w:r>
        <w:rPr>
          <w:rFonts w:ascii="Calibri" w:cs="Calibri" w:eastAsia="Calibri" w:hAnsi="Calibri"/>
          <w:i w:val="false"/>
          <w:iCs w:val="false"/>
          <w:color w:val="222222"/>
          <w:sz w:val="20"/>
          <w:szCs w:val="20"/>
        </w:rPr>
        <w:t xml:space="preserve">This report is a period-end control check. It is most useful as part of the monthly close process.</w:t>
      </w:r>
    </w:p>
    <w:p>
      <w:pPr>
        <w:spacing w:after="0" w:before="0" w:lin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946"/>
      </w:tblGrid>
      <w:tr>
        <w:tc>
          <w:tcPr>
            <w:tcW w:type="dxa" w:w="2800"/>
            <w:shd w:fill="1B3A6B" w:val="clear"/>
            <w:tcMar>
              <w:top w:type="dxa" w:w="100"/>
              <w:left w:type="dxa" w:w="160"/>
              <w:bottom w:type="dxa" w:w="100"/>
              <w:right w:type="dxa" w:w="160"/>
            </w:tcMar>
          </w:tcPr>
          <w:p>
            <w:r>
              <w:rPr>
                <w:rFonts w:ascii="Calibri" w:cs="Calibri" w:eastAsia="Calibri" w:hAnsi="Calibri"/>
                <w:b/>
                <w:bCs/>
                <w:color w:val="FFFFFF"/>
                <w:sz w:val="19"/>
                <w:szCs w:val="19"/>
              </w:rPr>
              <w:t xml:space="preserve">Timing</w:t>
            </w:r>
          </w:p>
        </w:tc>
        <w:tc>
          <w:tcPr>
            <w:tcW w:type="dxa" w:w="6946"/>
            <w:shd w:fill="1B3A6B" w:val="clear"/>
            <w:tcMar>
              <w:top w:type="dxa" w:w="100"/>
              <w:left w:type="dxa" w:w="160"/>
              <w:bottom w:type="dxa" w:w="100"/>
              <w:right w:type="dxa" w:w="160"/>
            </w:tcMar>
          </w:tcPr>
          <w:p>
            <w:r>
              <w:rPr>
                <w:rFonts w:ascii="Calibri" w:cs="Calibri" w:eastAsia="Calibri" w:hAnsi="Calibri"/>
                <w:b/>
                <w:bCs/>
                <w:color w:val="FFFFFF"/>
                <w:sz w:val="19"/>
                <w:szCs w:val="19"/>
              </w:rPr>
              <w:t xml:space="preserve">What to do</w:t>
            </w:r>
          </w:p>
        </w:tc>
      </w:tr>
      <w:tr>
        <w:tc>
          <w:tcPr>
            <w:tcW w:type="dxa" w:w="2800"/>
            <w:shd w:fill="F4F5F7" w:val="clear"/>
            <w:tcMar>
              <w:top w:type="dxa" w:w="100"/>
              <w:left w:type="dxa" w:w="160"/>
              <w:bottom w:type="dxa" w:w="100"/>
              <w:right w:type="dxa" w:w="160"/>
            </w:tcMar>
          </w:tcPr>
          <w:p>
            <w:r>
              <w:rPr>
                <w:rFonts w:ascii="Calibri" w:cs="Calibri" w:eastAsia="Calibri" w:hAnsi="Calibri"/>
                <w:i w:val="false"/>
                <w:iCs w:val="false"/>
                <w:color w:val="222222"/>
                <w:sz w:val="19"/>
                <w:szCs w:val="19"/>
              </w:rPr>
              <w:t xml:space="preserve">During the month</w:t>
            </w:r>
          </w:p>
        </w:tc>
        <w:tc>
          <w:tcPr>
            <w:tcW w:type="dxa" w:w="6946"/>
            <w:shd w:fill="F4F5F7"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Can be run at any time to do an interim check. Values are live and will change as transactions are posted.</w:t>
            </w:r>
          </w:p>
        </w:tc>
      </w:tr>
      <w:tr>
        <w:tc>
          <w:tcPr>
            <w:tcW w:type="dxa" w:w="2800"/>
            <w:shd w:fill="FFFFFF" w:val="clear"/>
            <w:tcMar>
              <w:top w:type="dxa" w:w="100"/>
              <w:left w:type="dxa" w:w="160"/>
              <w:bottom w:type="dxa" w:w="100"/>
              <w:right w:type="dxa" w:w="160"/>
            </w:tcMar>
          </w:tcPr>
          <w:p>
            <w:r>
              <w:rPr>
                <w:rFonts w:ascii="Calibri" w:cs="Calibri" w:eastAsia="Calibri" w:hAnsi="Calibri"/>
                <w:i w:val="false"/>
                <w:iCs w:val="false"/>
                <w:color w:val="222222"/>
                <w:sz w:val="19"/>
                <w:szCs w:val="19"/>
              </w:rPr>
              <w:t xml:space="preserve">Before period close</w:t>
            </w:r>
          </w:p>
        </w:tc>
        <w:tc>
          <w:tcPr>
            <w:tcW w:type="dxa" w:w="6946"/>
            <w:shd w:fill="FFFFFF"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Run once all Purchase Invoices, Sales transactions, and Landed Cost Vouchers for the period have been submitted. Difference should be zero.</w:t>
            </w:r>
          </w:p>
        </w:tc>
      </w:tr>
      <w:tr>
        <w:tc>
          <w:tcPr>
            <w:tcW w:type="dxa" w:w="2800"/>
            <w:shd w:fill="F4F5F7" w:val="clear"/>
            <w:tcMar>
              <w:top w:type="dxa" w:w="100"/>
              <w:left w:type="dxa" w:w="160"/>
              <w:bottom w:type="dxa" w:w="100"/>
              <w:right w:type="dxa" w:w="160"/>
            </w:tcMar>
          </w:tcPr>
          <w:p>
            <w:r>
              <w:rPr>
                <w:rFonts w:ascii="Calibri" w:cs="Calibri" w:eastAsia="Calibri" w:hAnsi="Calibri"/>
                <w:i w:val="false"/>
                <w:iCs w:val="false"/>
                <w:color w:val="222222"/>
                <w:sz w:val="19"/>
                <w:szCs w:val="19"/>
              </w:rPr>
              <w:t xml:space="preserve">After period close</w:t>
            </w:r>
          </w:p>
        </w:tc>
        <w:tc>
          <w:tcPr>
            <w:tcW w:type="dxa" w:w="6946"/>
            <w:shd w:fill="F4F5F7"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Run as a final confirmation. If the period is locked in ERPNext, the numbers will not change and serve as an audit-ready record.</w:t>
            </w:r>
          </w:p>
        </w:tc>
      </w:tr>
      <w:tr>
        <w:tc>
          <w:tcPr>
            <w:tcW w:type="dxa" w:w="2800"/>
            <w:shd w:fill="FFFFFF" w:val="clear"/>
            <w:tcMar>
              <w:top w:type="dxa" w:w="100"/>
              <w:left w:type="dxa" w:w="160"/>
              <w:bottom w:type="dxa" w:w="100"/>
              <w:right w:type="dxa" w:w="160"/>
            </w:tcMar>
          </w:tcPr>
          <w:p>
            <w:r>
              <w:rPr>
                <w:rFonts w:ascii="Calibri" w:cs="Calibri" w:eastAsia="Calibri" w:hAnsi="Calibri"/>
                <w:i w:val="false"/>
                <w:iCs w:val="false"/>
                <w:color w:val="222222"/>
                <w:sz w:val="19"/>
                <w:szCs w:val="19"/>
              </w:rPr>
              <w:t xml:space="preserve">When the P&amp;L looks wrong</w:t>
            </w:r>
          </w:p>
        </w:tc>
        <w:tc>
          <w:tcPr>
            <w:tcW w:type="dxa" w:w="6946"/>
            <w:shd w:fill="FFFFFF"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Use this report to quickly determine whether a COGS anomaly is a stock movement issue or a GL posting issue.</w:t>
            </w:r>
          </w:p>
        </w:tc>
      </w:tr>
    </w:tbl>
    <w:p>
      <w:pPr>
        <w:spacing w:after="0" w:before="0" w:line="200"/>
      </w:pPr>
    </w:p>
    <w:p>
      <w:pPr>
        <w:pStyle w:val="Heading1"/>
        <w:spacing w:after="100" w:before="360"/>
      </w:pPr>
      <w:r>
        <w:rPr>
          <w:rFonts w:ascii="Calibri" w:cs="Calibri" w:eastAsia="Calibri" w:hAnsi="Calibri"/>
          <w:b/>
          <w:bCs/>
          <w:color w:val="1B3A6B"/>
          <w:sz w:val="30"/>
          <w:szCs w:val="30"/>
        </w:rPr>
        <w:t xml:space="preserve">6.  Report Filters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346"/>
      </w:tblGrid>
      <w:tr>
        <w:tc>
          <w:tcPr>
            <w:tcW w:type="dxa" w:w="2400"/>
            <w:shd w:fill="1B3A6B" w:val="clear"/>
            <w:tcMar>
              <w:top w:type="dxa" w:w="100"/>
              <w:left w:type="dxa" w:w="160"/>
              <w:bottom w:type="dxa" w:w="100"/>
              <w:right w:type="dxa" w:w="160"/>
            </w:tcMar>
          </w:tcPr>
          <w:p>
            <w:r>
              <w:rPr>
                <w:rFonts w:ascii="Calibri" w:cs="Calibri" w:eastAsia="Calibri" w:hAnsi="Calibri"/>
                <w:b/>
                <w:bCs/>
                <w:color w:val="FFFFFF"/>
                <w:sz w:val="19"/>
                <w:szCs w:val="19"/>
              </w:rPr>
              <w:t xml:space="preserve">Filter</w:t>
            </w:r>
          </w:p>
        </w:tc>
        <w:tc>
          <w:tcPr>
            <w:tcW w:type="dxa" w:w="7346"/>
            <w:shd w:fill="1B3A6B" w:val="clear"/>
            <w:tcMar>
              <w:top w:type="dxa" w:w="100"/>
              <w:left w:type="dxa" w:w="160"/>
              <w:bottom w:type="dxa" w:w="100"/>
              <w:right w:type="dxa" w:w="160"/>
            </w:tcMar>
          </w:tcPr>
          <w:p>
            <w:r>
              <w:rPr>
                <w:rFonts w:ascii="Calibri" w:cs="Calibri" w:eastAsia="Calibri" w:hAnsi="Calibri"/>
                <w:b/>
                <w:bCs/>
                <w:color w:val="FFFFFF"/>
                <w:sz w:val="19"/>
                <w:szCs w:val="19"/>
              </w:rPr>
              <w:t xml:space="preserve">Purpose and Notes</w:t>
            </w:r>
          </w:p>
        </w:tc>
      </w:tr>
      <w:tr>
        <w:tc>
          <w:tcPr>
            <w:tcW w:type="dxa" w:w="2400"/>
            <w:shd w:fill="F4F5F7" w:val="clear"/>
            <w:tcMar>
              <w:top w:type="dxa" w:w="100"/>
              <w:left w:type="dxa" w:w="160"/>
              <w:bottom w:type="dxa" w:w="100"/>
              <w:right w:type="dxa" w:w="160"/>
            </w:tcMar>
          </w:tcPr>
          <w:p>
            <w:r>
              <w:rPr>
                <w:rFonts w:ascii="Calibri" w:cs="Calibri" w:eastAsia="Calibri" w:hAnsi="Calibri"/>
                <w:i w:val="false"/>
                <w:iCs w:val="false"/>
                <w:color w:val="222222"/>
                <w:sz w:val="19"/>
                <w:szCs w:val="19"/>
              </w:rPr>
              <w:t xml:space="preserve">Company</w:t>
            </w:r>
          </w:p>
        </w:tc>
        <w:tc>
          <w:tcPr>
            <w:tcW w:type="dxa" w:w="7346"/>
            <w:shd w:fill="F4F5F7"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Required. In a multi-company setup, run separately for each company. Stock and GL values are company-specific.</w:t>
            </w:r>
          </w:p>
        </w:tc>
      </w:tr>
      <w:tr>
        <w:tc>
          <w:tcPr>
            <w:tcW w:type="dxa" w:w="2400"/>
            <w:shd w:fill="FFFFFF" w:val="clear"/>
            <w:tcMar>
              <w:top w:type="dxa" w:w="100"/>
              <w:left w:type="dxa" w:w="160"/>
              <w:bottom w:type="dxa" w:w="100"/>
              <w:right w:type="dxa" w:w="160"/>
            </w:tcMar>
          </w:tcPr>
          <w:p>
            <w:r>
              <w:rPr>
                <w:rFonts w:ascii="Calibri" w:cs="Calibri" w:eastAsia="Calibri" w:hAnsi="Calibri"/>
                <w:i w:val="false"/>
                <w:iCs w:val="false"/>
                <w:color w:val="222222"/>
                <w:sz w:val="19"/>
                <w:szCs w:val="19"/>
              </w:rPr>
              <w:t xml:space="preserve">From Date</w:t>
            </w:r>
          </w:p>
        </w:tc>
        <w:tc>
          <w:tcPr>
            <w:tcW w:type="dxa" w:w="7346"/>
            <w:shd w:fill="FFFFFF"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Required. The first day of the period you are reviewing. Opening stock will be taken as at the day before this date.</w:t>
            </w:r>
          </w:p>
        </w:tc>
      </w:tr>
      <w:tr>
        <w:tc>
          <w:tcPr>
            <w:tcW w:type="dxa" w:w="2400"/>
            <w:shd w:fill="F4F5F7" w:val="clear"/>
            <w:tcMar>
              <w:top w:type="dxa" w:w="100"/>
              <w:left w:type="dxa" w:w="160"/>
              <w:bottom w:type="dxa" w:w="100"/>
              <w:right w:type="dxa" w:w="160"/>
            </w:tcMar>
          </w:tcPr>
          <w:p>
            <w:r>
              <w:rPr>
                <w:rFonts w:ascii="Calibri" w:cs="Calibri" w:eastAsia="Calibri" w:hAnsi="Calibri"/>
                <w:i w:val="false"/>
                <w:iCs w:val="false"/>
                <w:color w:val="222222"/>
                <w:sz w:val="19"/>
                <w:szCs w:val="19"/>
              </w:rPr>
              <w:t xml:space="preserve">To Date</w:t>
            </w:r>
          </w:p>
        </w:tc>
        <w:tc>
          <w:tcPr>
            <w:tcW w:type="dxa" w:w="7346"/>
            <w:shd w:fill="F4F5F7"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Required. The last day of the period. Closing stock and all transactions are measured up to and including this date.</w:t>
            </w:r>
          </w:p>
        </w:tc>
      </w:tr>
      <w:tr>
        <w:tc>
          <w:tcPr>
            <w:tcW w:type="dxa" w:w="2400"/>
            <w:shd w:fill="FFFFFF" w:val="clear"/>
            <w:tcMar>
              <w:top w:type="dxa" w:w="100"/>
              <w:left w:type="dxa" w:w="160"/>
              <w:bottom w:type="dxa" w:w="100"/>
              <w:right w:type="dxa" w:w="160"/>
            </w:tcMar>
          </w:tcPr>
          <w:p>
            <w:r>
              <w:rPr>
                <w:rFonts w:ascii="Calibri" w:cs="Calibri" w:eastAsia="Calibri" w:hAnsi="Calibri"/>
                <w:i w:val="false"/>
                <w:iCs w:val="false"/>
                <w:color w:val="222222"/>
                <w:sz w:val="19"/>
                <w:szCs w:val="19"/>
              </w:rPr>
              <w:t xml:space="preserve">Warehouse</w:t>
            </w:r>
          </w:p>
        </w:tc>
        <w:tc>
          <w:tcPr>
            <w:tcW w:type="dxa" w:w="7346"/>
            <w:shd w:fill="FFFFFF" w:val="clear"/>
            <w:tcMar>
              <w:top w:type="dxa" w:w="100"/>
              <w:left w:type="dxa" w:w="160"/>
              <w:bottom w:type="dxa" w:w="100"/>
              <w:right w:type="dxa" w:w="160"/>
            </w:tcMar>
          </w:tcPr>
          <w:p>
            <w:r>
              <w:rPr>
                <w:rFonts w:ascii="Calibri" w:cs="Calibri" w:eastAsia="Calibri" w:hAnsi="Calibri"/>
                <w:i w:val="false"/>
                <w:iCs w:val="false"/>
                <w:color w:val="222222"/>
                <w:sz w:val="18"/>
                <w:szCs w:val="18"/>
              </w:rPr>
              <w:t xml:space="preserve">Optional. Leave blank to see the full company position across all warehouses. Select a warehouse to narrow down to a single location — useful for branch-level analysis.</w:t>
            </w:r>
          </w:p>
        </w:tc>
      </w:tr>
    </w:tbl>
    <w:p>
      <w:pPr>
        <w:spacing w:after="0" w:before="0" w:line="200"/>
      </w:pPr>
    </w:p>
    <w:p>
      <w:pPr>
        <w:pStyle w:val="Heading1"/>
        <w:spacing w:after="100" w:before="360"/>
      </w:pPr>
      <w:r>
        <w:rPr>
          <w:rFonts w:ascii="Calibri" w:cs="Calibri" w:eastAsia="Calibri" w:hAnsi="Calibri"/>
          <w:b/>
          <w:bCs/>
          <w:color w:val="1B3A6B"/>
          <w:sz w:val="30"/>
          <w:szCs w:val="30"/>
        </w:rPr>
        <w:t xml:space="preserve">7.  Common Questions</w:t>
      </w:r>
    </w:p>
    <w:p>
      <w:pPr>
        <w:spacing w:after="80" w:before="260"/>
      </w:pPr>
      <w:r>
        <w:rPr>
          <w:rFonts w:ascii="Calibri" w:cs="Calibri" w:eastAsia="Calibri" w:hAnsi="Calibri"/>
          <w:b/>
          <w:bCs/>
          <w:color w:val="0E6B75"/>
          <w:sz w:val="24"/>
          <w:szCs w:val="24"/>
          <w:u w:val="single"/>
        </w:rPr>
        <w:t xml:space="preserve">Why does this report not show individual item details?</w:t>
      </w:r>
    </w:p>
    <w:p>
      <w:pPr>
        <w:spacing w:after="100" w:before="40"/>
      </w:pPr>
      <w:r>
        <w:rPr>
          <w:rFonts w:ascii="Calibri" w:cs="Calibri" w:eastAsia="Calibri" w:hAnsi="Calibri"/>
          <w:i w:val="false"/>
          <w:iCs w:val="false"/>
          <w:color w:val="222222"/>
          <w:sz w:val="20"/>
          <w:szCs w:val="20"/>
        </w:rPr>
        <w:t xml:space="preserve">This is a control-level summary report, designed to give the accountant a quick yes/no answer on the health of the period. If the Difference is non-zero, the investigation of specific items is done using supporting reports such as the Stock Ledger, Purchase Invoice List, and GL Transaction report for the COGS account.</w:t>
      </w:r>
    </w:p>
    <w:p>
      <w:pPr>
        <w:spacing w:after="0" w:before="0" w:line="120"/>
      </w:pPr>
    </w:p>
    <w:p>
      <w:pPr>
        <w:spacing w:after="80" w:before="260"/>
      </w:pPr>
      <w:r>
        <w:rPr>
          <w:rFonts w:ascii="Calibri" w:cs="Calibri" w:eastAsia="Calibri" w:hAnsi="Calibri"/>
          <w:b/>
          <w:bCs/>
          <w:color w:val="0E6B75"/>
          <w:sz w:val="24"/>
          <w:szCs w:val="24"/>
          <w:u w:val="single"/>
        </w:rPr>
        <w:t xml:space="preserve">My company uses periodic inventory in the old system. How is this different?</w:t>
      </w:r>
    </w:p>
    <w:p>
      <w:pPr>
        <w:spacing w:after="100" w:before="40"/>
      </w:pPr>
      <w:r>
        <w:rPr>
          <w:rFonts w:ascii="Calibri" w:cs="Calibri" w:eastAsia="Calibri" w:hAnsi="Calibri"/>
          <w:i w:val="false"/>
          <w:iCs w:val="false"/>
          <w:color w:val="222222"/>
          <w:sz w:val="20"/>
          <w:szCs w:val="20"/>
        </w:rPr>
        <w:t xml:space="preserve">Under periodic inventory, closing stock is estimated by physical count, and COGS is calculated as a single manual journal at month-end. Under perpetual inventory, ERPNext records every movement as it happens. This report simply confirms that all those real-time movements add up to the same answer the periodic formula would give. The formula is identical — only the mechanism changes.</w:t>
      </w:r>
    </w:p>
    <w:p>
      <w:pPr>
        <w:spacing w:after="0" w:before="0" w:line="120"/>
      </w:pPr>
    </w:p>
    <w:p>
      <w:pPr>
        <w:spacing w:after="80" w:before="260"/>
      </w:pPr>
      <w:r>
        <w:rPr>
          <w:rFonts w:ascii="Calibri" w:cs="Calibri" w:eastAsia="Calibri" w:hAnsi="Calibri"/>
          <w:b/>
          <w:bCs/>
          <w:color w:val="0E6B75"/>
          <w:sz w:val="24"/>
          <w:szCs w:val="24"/>
          <w:u w:val="single"/>
        </w:rPr>
        <w:t xml:space="preserve">Does the Purchases line include goods received but not yet invoiced?</w:t>
      </w:r>
    </w:p>
    <w:p>
      <w:pPr>
        <w:spacing w:after="100" w:before="40"/>
      </w:pPr>
      <w:r>
        <w:rPr>
          <w:rFonts w:ascii="Calibri" w:cs="Calibri" w:eastAsia="Calibri" w:hAnsi="Calibri"/>
          <w:i w:val="false"/>
          <w:iCs w:val="false"/>
          <w:color w:val="222222"/>
          <w:sz w:val="20"/>
          <w:szCs w:val="20"/>
        </w:rPr>
        <w:t xml:space="preserve">No. This report uses </w:t>
      </w:r>
      <w:r>
        <w:rPr>
          <w:rFonts w:ascii="Calibri" w:cs="Calibri" w:eastAsia="Calibri" w:hAnsi="Calibri"/>
          <w:b/>
          <w:bCs/>
          <w:color w:val="111111"/>
          <w:sz w:val="20"/>
          <w:szCs w:val="20"/>
        </w:rPr>
        <w:t xml:space="preserve">Purchase Invoices</w:t>
      </w:r>
      <w:r>
        <w:rPr>
          <w:rFonts w:ascii="Calibri" w:cs="Calibri" w:eastAsia="Calibri" w:hAnsi="Calibri"/>
          <w:i w:val="false"/>
          <w:iCs w:val="false"/>
          <w:color w:val="222222"/>
          <w:sz w:val="20"/>
          <w:szCs w:val="20"/>
        </w:rPr>
        <w:t xml:space="preserve"> as the source for Purchases. Goods that have been received (Purchase Receipt posted) but for which no invoice has been raised are not included. This is intentional and consistent with how COGS is posted in ERPNext — the COGS entry is triggered at invoice or delivery, not at receipt. If your company has a significant goods-received-not-invoiced (GRNI) balance, this should be tracked separately.</w:t>
      </w:r>
    </w:p>
    <w:p>
      <w:pPr>
        <w:spacing w:after="0" w:before="0" w:line="120"/>
      </w:pPr>
    </w:p>
    <w:p>
      <w:pPr>
        <w:spacing w:after="80" w:before="260"/>
      </w:pPr>
      <w:r>
        <w:rPr>
          <w:rFonts w:ascii="Calibri" w:cs="Calibri" w:eastAsia="Calibri" w:hAnsi="Calibri"/>
          <w:b/>
          <w:bCs/>
          <w:color w:val="0E6B75"/>
          <w:sz w:val="24"/>
          <w:szCs w:val="24"/>
          <w:u w:val="single"/>
        </w:rPr>
        <w:t xml:space="preserve">A supplier charges us extra freight after the invoice is paid. Does that affect COGS?</w:t>
      </w:r>
    </w:p>
    <w:p>
      <w:pPr>
        <w:spacing w:after="100" w:before="40"/>
      </w:pPr>
      <w:r>
        <w:rPr>
          <w:rFonts w:ascii="Calibri" w:cs="Calibri" w:eastAsia="Calibri" w:hAnsi="Calibri"/>
          <w:i w:val="false"/>
          <w:iCs w:val="false"/>
          <w:color w:val="222222"/>
          <w:sz w:val="20"/>
          <w:szCs w:val="20"/>
        </w:rPr>
        <w:t xml:space="preserve">Yes, but correctly. When a Landed Cost Voucher is posted for that additional freight, ERPNext increases the value of the affected stock. If those goods have already been sold, it also posts an adjustment to COGS automatically. Both the Closing Stock and GL COGS figures will update accordingly, and the Difference will remain zero — provided the LCV is posted before the report is run for that period.</w:t>
      </w:r>
    </w:p>
    <w:p>
      <w:pPr>
        <w:spacing w:after="0" w:before="0" w:line="120"/>
      </w:pPr>
    </w:p>
    <w:p>
      <w:pPr>
        <w:spacing w:after="80" w:before="260"/>
      </w:pPr>
      <w:r>
        <w:rPr>
          <w:rFonts w:ascii="Calibri" w:cs="Calibri" w:eastAsia="Calibri" w:hAnsi="Calibri"/>
          <w:b/>
          <w:bCs/>
          <w:color w:val="0E6B75"/>
          <w:sz w:val="24"/>
          <w:szCs w:val="24"/>
          <w:u w:val="single"/>
        </w:rPr>
        <w:t xml:space="preserve">Can I rely on this report for audit purposes?</w:t>
      </w:r>
    </w:p>
    <w:p>
      <w:pPr>
        <w:spacing w:after="100" w:before="40"/>
      </w:pPr>
      <w:r>
        <w:rPr>
          <w:rFonts w:ascii="Calibri" w:cs="Calibri" w:eastAsia="Calibri" w:hAnsi="Calibri"/>
          <w:i w:val="false"/>
          <w:iCs w:val="false"/>
          <w:color w:val="222222"/>
          <w:sz w:val="20"/>
          <w:szCs w:val="20"/>
        </w:rPr>
        <w:t xml:space="preserve">The report draws directly from the ERPNext database in real time. If the period is locked (no further postings allowed), the numbers are fixed and match what the GL and stock ledger show. It can be printed or exported as supporting evidence for the trading account in the financial statements. The Difference of zero is the key audit assertion — it confirms that stock movements and GL postings are consistent.</w:t>
      </w:r>
    </w:p>
    <w:p>
      <w:pPr>
        <w:spacing w:after="0" w:before="0" w:line="200"/>
      </w:pPr>
    </w:p>
    <w:p>
      <w:pPr>
        <w:pBdr>
          <w:bottom w:val="single" w:color="1B3A6B" w:sz="12"/>
        </w:pBdr>
        <w:spacing w:after="100" w:before="60"/>
      </w:pPr>
    </w:p>
    <w:p>
      <w:pPr>
        <w:spacing w:after="0" w:before="100"/>
        <w:jc w:val="center"/>
      </w:pPr>
      <w:r>
        <w:rPr>
          <w:rFonts w:ascii="Calibri" w:cs="Calibri" w:eastAsia="Calibri" w:hAnsi="Calibri"/>
          <w:i/>
          <w:iCs/>
          <w:color w:val="999999"/>
          <w:sz w:val="16"/>
          <w:szCs w:val="16"/>
        </w:rPr>
        <w:t xml:space="preserve">Enfono Technologies Pvt. Ltd.  ·  Accounting Consultant Reference  ·  July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2026-07-09T19:52:55.925Z</dcterms:created>
  <dcterms:modified xsi:type="dcterms:W3CDTF">2026-07-09T19:52:55.937Z</dcterms:modified>
</cp:coreProperties>
</file>

<file path=docProps/custom.xml><?xml version="1.0" encoding="utf-8"?>
<Properties xmlns="http://schemas.openxmlformats.org/officeDocument/2006/custom-properties" xmlns:vt="http://schemas.openxmlformats.org/officeDocument/2006/docPropsVTypes"/>
</file>