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最高人民法院、最高人民检察院关于办理非法采矿、破坏性采矿刑事案件适用法律若干问题的解释</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最高人民法院,最高人民检察院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法释〔2016〕25号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最高人民法院最高人民检察院公告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最高人民检察院关于办理非法采矿、破坏性采矿刑事案件适用法律若干问题的解释》已于2016年9月26日由最高人民法院审判委员会第1694次会议、2016年11月4日由最高人民检察院第十二届检察委员会第57次会议通过，现予公布，自2016年12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最高人民法院 最高人民检察院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2016年11月28日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最高人民法院 最高人民检察院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关于办理非法采矿、破坏性采矿刑事案件适用法律若干问题的解释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为依法惩处非法采矿、破坏性采矿犯罪活动，根据《中华人民共和国刑法》《中华人民共和国刑事诉讼法》的有关规定，现就办理此类刑事案件适用法律的若干问题解释如下：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违反《中华人民共和国矿产资源法》《中华人民共和国水法》等法律、行政法规有关矿产资源开发、利用、保护和管理的规定的，应当认定为 刑法第三百四十三条规定的“违反 矿产资源法的规定”。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具有下列情形之一的，应当认定为刑法第三百四十三条第一款规定的“未取得采矿许可证”：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（一）无许可证的；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（二）许可证被注销、吊销、撤销的；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（三）超越许可证规定的矿区范围或者开采范围的；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（四）超出许可证规定的矿种的（共生、伴生矿种除外）；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（五）其他未取得许可证的情形。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实施非法采矿行为，具有下列情形之一的，应当认定为刑法第三百四十三条第一款规定的“情节严重”：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（一）开采的矿产品价值或者造成矿产资源破坏的价值在十万元至三十万元以上的；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国家规划矿区、对国民经济具有重要价值的矿区采矿，开采国家规定实行保护性开采的特定矿种，或者在禁采区、禁采期内采矿，开采的矿产品价值或者造成矿产资源破坏的价值在五万元至十五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（三）二年内曾因非法采矿受过两次以上行政处罚，又实施非法采矿行为的；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（四）造成生态环境严重损害的；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（五）其他情节严重的情形。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实施非法采矿行为，具有下列情形之一的，应当认定为刑法第三百四十三条第一款规定的“情节特别严重”：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（一）数额达到前款第一项、第二项规定标准五倍以上的；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（二）造成生态环境特别严重损害的；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（三）其他情节特别严重的情形。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在河道管理范围内采砂，具有下列情形之一，符合刑法第三百四十三条第一款和本解释第二条、第三条规定的，以非法采矿罪定罪处罚：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（一）依据相关规定应当办理河道采砂许可证，未取得河道采砂许可证的；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（二）依据相关规定应当办理河道采砂许可证和采矿许可证，既未取得河道采砂许可证，又未取得采矿许可证的。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实施前款规定行为，虽不具有本解释第三条第一款规定的情形，但严重影响河势稳定，危害防洪安全的，应当认定为刑法第三百四十三条第一款规定的“情节严重”。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未取得海砂开采海域使用权证，且未取得采矿许可证，采挖海砂，符合刑法第三百四十三条第一款和本解释第二条、第三条规定的，以非法采矿罪定罪处罚。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实施前款规定行为，虽不具有本解释第三条第一款规定的情形，但造成海岸线严重破坏的，应当认定为刑法第三百四十三条第一款规定的“情节严重”。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造成矿产资源破坏的价值在五十万元至一百万元以上，或者造成国家规划矿区、对国民经济具有重要价值的矿区和国家规定实行保护性开采的特定矿种资源破坏的价值在二十五万元至五十万元以上的，应当认定为刑法第三百四十三条第二款规定的“造成矿产资源严重破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明知是犯罪所得的矿产品及其产生的收益，而予以窝藏、转移、收购、代为销售或者以其他方法掩饰、隐瞒的，依照刑法第三百一十二条的规定，以掩饰、隐瞒犯罪所得、犯罪所得收益罪定罪处罚。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实施前款规定的犯罪行为，事前通谋的，以共同犯罪论处。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多次非法采矿、破坏性采矿构成犯罪，依法应当追诉的，或者二年内多次非法采矿、破坏性采矿未经处理的，价值数额累计计算。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单位犯刑法第三百四十三条规定之罪的，依照本解释规定的相应自然人犯罪的定罪量刑标准，对直接负责的主管人员和其他直接责任人员定罪处罚，并对单位判处罚金。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实施非法采矿犯罪，不属于“情节特别严重”，或者实施破坏性采矿犯罪，行为人系初犯，全部退赃退赔，积极修复环境，并确有悔改表现的，可以认定为犯罪情节轻微，不起诉或者免予刑事处罚。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对受雇佣为非法采矿、破坏性采矿犯罪提供劳务的人员，除参与利润分成或者领取高额固定工资的以外，一般不以犯罪论处，但曾因非法采矿、破坏性采矿受过处罚的除外。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对非法采矿、破坏性采矿犯罪的违法所得及其收益，应当依法追缴或者责令退赔。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对用于非法采矿、破坏性采矿犯罪的专门工具和供犯罪所用的本人财物，应当依法没收。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非法开采的矿产品价值，根据销赃数额认定；无销赃数额，销赃数额难以查证，或者根据销赃数额认定明显不合理的，根据矿产品价格和数量认定。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矿产品价值难以确定的，依据下列机构出具的报告，结合其他证据作出认定：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（一）价格认证机构出具的报告；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（二）省级以上人民政府国土资源、水行政、海洋等主管部门出具的报告；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（三）国务院水行政主管部门在国家确定的重要江河、湖泊设立的流域管理机构出具的报告。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对案件所涉的有关专门性问题难以确定的，依据下列机构出具的鉴定意见或者报告，结合其他证据作出认定：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（一）司法鉴定机构就生态环境损害出具的鉴定意见；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（二）省级以上人民政府国土资源主管部门就造成矿产资源破坏的价值、是否属于破坏性开采方法出具的报告；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（三）省级以上人民政府水行政主管部门或者国务院水行政主管部门在国家确定的重要江河、湖泊设立的流域管理机构就是否危害防洪安全出具的报告；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（四）省级以上人民政府海洋主管部门就是否造成海岸线严重破坏出具的报告。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各省、自治区、直辖市高级人民法院、人民检察院，可以根据本地区实际情况，在本解释第三条、第六条规定的数额幅度内，确定本地区执行的具体数额标准，报最高人民法院、最高人民检察院备案。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本解释自2016年12月1日起施行。本解释施行后，《最高人民法院关于审理非法采矿、破坏性采矿刑事案件具体应用法律若干问题的解释》（法释〔2003〕9号）同时废止。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最高人民法院、最高人民检察院关于办理非法采矿、破坏性采矿刑事案件适用法律若干问题的解释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588a62f880d28e361619cd26ba16dc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