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中华人民共和国矿山安全法实施条例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劳动和社会保障部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劳动部令〔第4号〕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1996年10月30日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1996年10月30日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《中华人民共和国矿山安全法实施条例》已于1996年10月11日经国务院批准，现予以发布，自发布之日起施行。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部长　李伯勇</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一九九六年十月三十日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根据《中华人民共和国矿山安全法》（以下简称《矿山安全法》），制定本条例。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《矿山安全法》及本条例中下列用语的含义：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矿山，是指在依法批准的矿区范围内从事矿产资源开采活动的场所及其附属设施。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矿产资源开采活动，是指在依法批准的矿区范围内从事矿产资源勘探和矿山建设、生产、闭坑及有关活动。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国家采取政策和措施，支持发展矿山安全教育，鼓励矿山安全开采技术、安全管理方法、安全设备与仪器的研究和推广，促进矿山安全科学技术进步。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各级人民政府、政府有关部门或者企业事业单位对有下列情形之一的单位和个人，按照国家有关规定给予奖励：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（一）在矿山安全管理和监督工作中，忠于职守，作出显著成绩的；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（二）防止矿山事故或者抢险救护有功的；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（三）在推广矿山安全技术、改进矿山安全设施方面，作出显著成绩的；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（四）在矿山安全生产方面提出合理化建议，效果显著的；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（五）在改善矿山劳动条件或者预防矿山事故方面有发明创造和科研成果，效果显著的。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矿山建设的安全保障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矿山设计使用的地质勘探报告书，应当包括下列技术资料：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（一）较大的断层、破碎带、滑坡、泥石流的性质和规模；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含水层（包括溶洞）和隔水层的岩性、层厚、产状，含水层之间、地面水和地下水之间的水力联系，地下水的潜水位、水质、水量和流向，土面水流系统和有关水利工程的疏水能力以及当地历年降水量和最高洪水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（三）矿山设计范围内原有小窑、老窑的分布范围、开采深度和积水情况；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（四）沼气、二氧化碳赋存情况，矿物自然发火和矿尘爆炸的可能性；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（五）对人体有害的矿物组份、含量和变化规律，勘探区至少一年的天然放射性本底数据；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（六）地温异常和热水矿区的岩石热导率、地温梯度、热水来源、水温、水压和水量，以及圈定的热害区范围；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（七）工业、生活用水的水源和水质；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（八）钻孔封孔资料；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（九）矿山设计需要的其他资料。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编制矿山建设项目的可行性研究报告和总体设计，应当对矿山开采的安全条件进行论证。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矿山建设项目的初步设计，应当编制安全专篇。安全专篇的编写要求，由国务院劳动行政主管部门规定。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根据 《矿山安全法》第八条的规定，矿山建设单位在向管理矿山企业的主管部门报送审批矿山建设工程安全设施设计文件时，应当同时报送劳动行政主管部门审查；没有劳动行政主管部门的审查意见，管理矿山企业的主管部门不得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经批准的矿山建设工程安全设施设计需要修改时，应当征求原参加审查的劳动行政主管部门的意见。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矿山建设工程应当按照经批准的设计文件施工，保证施工质量；工程竣工后，应当按照国家有关规定申请验收。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建设单位应当在验收前60日向管理矿山企业的主管部门、劳动行政主管部门报送矿山建设工程安全设施施工、竣工情况的综合报告。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管理矿山企业的主管部门、劳动行政主管部门应当自收到建设单位报送的矿山建设工程安全设施施工、竣工情况的综合报告之日起30日内，对矿山建设工程的安全设施进行检查；不符合矿山安全规程、行业技术规范的，不得验收，不得投入生产或者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矿山应当有保障安全生产、预防事故和职业危害的安全设施，并符合下列基本要求：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（一）每个矿井至少有两个独立的能行人的直达地面的安全出口。矿井的每个生产水平（中段）和各个采区（盘区）至少有两个能行人的安全出口，并与直达地面的出口相通。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（二）每个矿井有独立的采用机械通风的通风系统，保证井下作业场所有足够的风量；但是，小型非沼气矿井在保证井下作业场所所需风量的前提下，可以采用自然通风。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（三）井巷断面能满足行人、运输、通风和安全设施、设备的安装、维修及施工需要。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（四）井巷支护和采场顶板管理能保证作业场所的安全。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（五）相邻矿井之间、矿井与露天矿之间、矿井与老窑之间留有足够的安全隔离矿柱。矿山井巷布置留有足够的保障井上和井下安全的矿柱或者岩柱。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（六）露天矿山阶段高度、平台宽度和边坡角能满足安全作业和边坡稳定的需要。船采沙矿的采池界与地面建设物、设备之间有足够的安全距离。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（七）有地面和井下的防水、排水系统，有防止地表水泄入井下和露天采场的措施。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（八）溜矿井有防止和处理堵塞的安全措施。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（九）有自然发火可能性的矿井，主要运输巷道布置在岩层或者不易自然发火的矿层内，并采用预防性灌浆或者其他有效的预防自然发火的措施。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（十）矿山地面消防设施符合国家有关消防的规定。矿井有防灭火设施和器材。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（十一）地面及井下供配电系统符合国家有关规定。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（十二）矿山提升运输设备、装置及设施符合下列要求：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1．钢丝绳、连接装置、提升容器以及保险链有足够的安全系数；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2．提升容器与井壁、罐道梁之间及两个提升容器之间有足够的间隙；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3．提升绞车和提升容器有可靠的安全保护装置；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4．电机车、架线、轨道的选型能满足安全要求；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5．运送人员的机械设备有可靠的安全保护装置；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6．提升运输设备有灵敏可靠的信号装置。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（十三）每个矿井有防尘供水系统。地面和井下所有产生粉尘的作业地点有综合防尘措施。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（十四）有瓦斯、矿尘爆炸可能性的矿井，采用防爆电器设备，并采取防尘和隔爆措施。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（十五）开采放射性矿物的矿井，符合下列要求：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1．矿井进风量和风质能满足降氡的需要，避免串联通风和污风循环；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2．主要进风道开在矿脉之外，穿矿脉或者岩体裂隙发育的进风巷道有防止氡析出的措施；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3．采用后退式回采；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4．能防止井下污水散流，并采取封闭的排放污水系统。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（十六）矿山储存爆破材料的场所符合国家有关规定。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（十七）排土场、矸石山有防止发生泥石流和其他危害的安全措施，尾矿库有防止溃坝等事故的安全设施。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（十八）有防止山体滑坡和因采矿活动引起地表塌陷造成危害的预防措施。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（十九）每个矿井配置足够数量的通风检测仪表和有毒有害气体与井下环境检测仪器。开采有瓦斯突出的矿井，装备监测系统或者检测仪器。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（二十）有与外界相通的、符合安全要求的运输设施和通讯设施。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（二十一）有更衣室、浴室等设施。</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矿山开采的安全保障</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采掘作业应当编制作业规程，规定保证作业人员安全的技术措施和组织措施，并在情况变化时及时予以修改和补充。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矿山开采应当有下列图纸资料：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（一）地质图（包括水文地质图和工程地质图；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（二）矿山总布置图和矿井井上、井下对照图；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（三）矿井、巷道、采场布置图；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（四）矿山生产和安全保障的主要系统图。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矿山企业应当在采矿许可证批准的范围开采，禁止越层、越界开采。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矿山使用的下列设备、器材、防护用品和安全检测仪器，应当符合国家安全标准或者行业安全标准；不符合国家安全标准或者行业安全标准的，不得使用：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（一）采掘、支护、装载、运输、提升、通风、排水、瓦斯抽放、压缩空气和起重设备；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（二）电动机、变压器、配电柜、电器开并、电控装置；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（三）爆破器材、通讯器材、矿灯、电缆、钢丝绳、支护材料、防火材料；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（四）各种安全卫生检测仪器仪表；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（五）自救器、安全帽、防尘防毒口罩或者面罩、防护服、防护鞋等防护用品和救护设备；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（六）经有关主管部门认定的其他有特殊安全要求的设备和器材。</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矿山企业应当对机电设备及其防护装置、安全检测仪器定期检查、维修，并建立技术档案，保证使用安全。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非负责设备运行的人员，不得操作设备。非值班电气人员，不得进行电气作业。操作电气设备的人员，应当有可靠的绝缘保护。检修电气设备时，不得带电作业。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矿山企业场所空气中的有毒有害物质的浓度，不得超过国家标准或者行业标准；矿山企业应当按照国家规定的方法，按照下列要求定期检测：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（一）粉尘作业点，每月至少检测两次；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（二）三硝基甲苯作业点，每月至少检测一次；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（三）放射性物质作业点，每月至少检测三次；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（四）其他有毒有害物质作业点，井下每月至少检测一次，地面每季度至少检测一次；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（五）采用个体采样方法检测呼吸性粉尘的，每季度至少检测一次。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井下采掘作业，必须按照作业规程的规定管理顶帮。采掘作业通过地质破碎带或者其他顶帮破碎地点时，应当加强支护。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露天采剥作业，应当按照设计规定，控制采剥工作面的阶段高度、宽度、边坡角和最终边坡角。采剥作业和排土作业，不得对深部或者邻近井巷造成危害。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煤矿和其他有瓦斯爆炸可能性的矿井，应当严格执行瓦斯检查制度，任何人不得携带烟草和点火用具下井。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在下列条件下从事矿山开采，应当编制专门设计文件，并报管理矿山企业的主管部门批准：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（一）有瓦斯突出的；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（二）有冲击地压的；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（三）在需要保护的建筑物、构筑物和铁路下面开采的；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（四）在水体下面开采的；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（五）在地温异常或者有热水涌出的地区开采的。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有自然发火可能性的矿井，应当采取下列措施：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（一）及时清出采场浮矿和其他可燃物质，回采结束后及时封闭采空区；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（二）采取防火灌浆或者其他有效的预防自然发火的措施；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（三）定期检查井巷和采区封闭情况，测定可能自然发火地点的温度和风量；定期检测火区内的温度、气压和空气成份。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井下采掘作业遇下列情形之一时，应当探水前进：</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（一）接近承压含水层或者含水的断层、流砂层、砾石层、溶洞、陷落柱时；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（二）接近与地表水体相通的地质破碎带或者接近连通承压层的未封钻孔时；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（三）接近积水的老窑、旧巷或者灌过泥浆的采空区时；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（四）发现有出水征兆时；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（五）掘开隔离矿柱或者岩柱放水时。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井下风量、风质、风速和作业环境的气候，必须符合矿山安全规程的规定。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采掘工作面进风风流中，按照体积计算，氧气不得低于20％，二氧化碳不得超过0．5％。</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井下作业地点的空气温度不得超过28℃；超过时，应采取降温或者其他防护措施。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开采放射性矿物的矿井，必须采取下列措施，减少氡气析出量；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（一）及时封闭采空区和已经报废或者暂时不用的井巷；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（二）用留矿法作业的采场采用下行通风；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（三）严格管理井下污水。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矿山的爆破作业和爆破材料的制造、储存、运输、试验及销毁，必须严格执行国家有关规定。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矿山企业对地面、井下产生粉尘的作业，应当采取综合防尘措施，控制粉尘危害。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井下风动凿岸，禁止干打眼。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矿山企业应当建立、健全对地面陷落区、排土场、矸石山、尾矿库的检查和维护制度；对可能发生的危害，应当采取预防措施。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矿山企业应当按照国家有关规定关闭矿山，对关闭矿山后可能引起的危害采取预防措施。关闭矿山报告应当包括下列内容：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（一）采掘范围及采空区处理情况；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（二）对矿井采取的封闭措施；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（三）对其他不安全因素的处理办法。</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矿山企业的安全管理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矿山企业应当建立、健全下列安全生产责任制：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（一）行政领导岗位安全生产责任制；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（二）职能机构安全生产责任制；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（三）岗位人员的安全生产责任制。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矿长（含矿务局局长、矿山公司经理，下同）对本企业的安全生产工作负有下列责任：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（一）认真贯彻执行 《矿山安全法》和本条例以及其他法律、法规中有关矿山安全生产的规定；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（二）制定本企业安全生产管理制度；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（三）根据需要配备合格的安全工作人员，对每个行业场所进行跟班检查；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（四）采取有效措施，改善职工劳动条件，保证安全生产所需要的材料、设备、仪器和劳动防护用品的及时供应；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（五）依照本条例的规定，对职工进行安全教育、培训；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（六）制定矿山灾害的预防和应急计划；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（七）及时采取措施，处理矿山存在的事故隐患；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（八）及时、如实向劳动行政主管部门和管理矿山企业的主管部门报告矿山事故。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矿山企业应当根据需要，设置安全机构或者配备专职安全工作人员。专职安全工作人员应当经过培训，具备必要的安全专业知识和矿山安全工作经验，能胜任现场安全检查工作。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矿长应当定期向职工代表大会或者职工大会报告下列事项，接受民主监督：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（一）企业安全生产重大决策；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（二）企业安全技术措施计划及其执行情况；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（三）职工安全教育、培训计划及其执行情况；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（四）职工提出的改善劳动条件的建议和要求的处理情况；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（五）重大事故处理情况；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（六）有关安全生产的其他重要事项。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矿山企业职工享有下列权利：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（一）有权获得作业场所安全与职业危害方面的信息；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（二）有权向有关部门和工会组织反映矿山安全状况和存在的问题；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（三）对任何危害职工安全健康的决定和行为，有权提出批评、检举和控告。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矿山企业职工应当履行下列义务：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（一）遵守有关矿山安全的法律、法规和企业规章制度；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（二）维护矿山企业的生产设备、设施；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（三）接受安全教育和培训；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（四）及时报告危险情况，参加抢险救护。</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矿山企业工会有权督促企业行政方面加强职工的安全教育、培训工作，开展安全宣传活动，提高职工的安全生产意识和技术素质。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矿山企业应当按照下列规定对职工进行安全教育、培训：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（一）新进矿山的井下作业职工，接受安全教育、培训的时间不得少于72小时，考试合格后，必须在有安全工作经验的职工带领下工作满4个月，然后经再次考核合格，方可独立工作；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（二）新进露天矿的职工，接受安全教育、培训的时间不得少于40小时，经考试合格后，方可上岗作业；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（三）对调换工种和采用新工艺作业的人员，必须重新培训，经考试合格后，方可上岗作业；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（四）所有生产作业人员，每年接受在职安全教育、培训的时间不少于20小时。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职工安全教育、培训期间，矿山企业应当支付工资。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职工安全教育、培训情况和考核结果，应当记录存档。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矿山企业对职工的安全教育、培训，应当包括下列内容：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 《矿山安全法》及本条例赋予矿山职工的权利与义务；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（二）矿山安全规程及矿山企业有关安全管理的规章制度；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（三）与职工本职工作有关的安全知识；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（四）各种事故征兆的识别、发生紧急危险情况时的应急措施和撤退路线；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（五）自救装备的使用和有关急救方面的知识；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（六）有关主管部门规定的其他内容。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瓦斯检查工、爆破工、通风工、信号工、拥罐工、电工、金属焊接（切割）工、矿井泵工、瓦斯抽放工、主扇风机操作工、主提升机操作工、绞车操作工、输送机操作工、尾矿工、安全检查工和矿内机动车司机等特种作业人员应当接受专门技术培训，经考核合格取得操作资格证书后，方可上岗作业。特种作业人员的考核、发证工作按照国家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对矿长安全资格的考核，应当包括下列内容：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 《矿山安全法》和有关法律、法规及矿山安全规程；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（二）矿山安全知识；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（三）安全生产管理能力；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（四）矿山事故处理能力；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（五）安全生产业绩。</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矿山企业向职工发放的劳动防护用品应当是经过鉴定和检验合格的产品。劳动防护用品的发放标准由国务院劳动行政主管部门制定。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矿山企业应当每年编制矿山灾害预防和应急计划；在每季度末，应当根据实际情况对计划及时进行修改，制定相应的措施。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矿山企业应当使每个职工熟悉矿山灾害预防和应急计划，并且每年至少组织一次矿山救灾演习。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矿山企业应当根据国家有关规定，按照不同作业场所的要求，设置矿山安全标志。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矿山企业应当建立由专职的或进兼职的人员组成的矿山救护和医疗急救组织。不具备单独建立专业救护和医疗急救组织的小型矿山企业，除应当建立兼职的救护和医疗急救组织外，还应当与邻近的有专业的救护和医疗急救组织的矿山企业签订救护和急救协议，或者与邻近的矿山企业联合建立专业救护和医疗急救组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矿山救护和医疗急救组织应当有固定场所、训练器械和训练场地。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矿山救护和医疗急救组织的规模和装备标准，由国务院管理矿山企业的有关主管部门规定。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矿山企业必须按照国家规定的安全条件进行生产，并安排一部分资金，用于下列改善矿山安全生产条件的项目：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（一）预防矿山事故的安全技术措施；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（二）预防职业危害的劳动卫生技术措施；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（三）职工的安排培训；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（四）改善矿山安全生产条件的其他技术措施。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前款所需资金，由矿山企业按矿山维简费的20％的比例具实列支；没有矿山维简费的矿山企业，按固定资产折旧费的20％的比例具实列支。</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矿山安全的监督和管理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县级以上各级人民政府劳动行政主管部门，应当根据矿山安全监督工作的实际需要，配备矿山安全监督人员。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矿山安全监督人员必须熟悉矿山安全技术知识，具有矿山安全工作经验，能胜任矿山安全检查工作。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矿山安全监督证件和专用标志由国务院劳动行政主管部门统一制作。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矿山安全监督人员在执行职务时，有权进入现场检查，参加有关会议，无偿调阅有关资料，向有关单位和人员了解情况。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矿山安全监督人员进入现场检查，发现有危及职工安全健康的情况时，有权要求矿山企业立即改正或者限期解决；情节紧急时，有权要求矿山企业立即停止作业，从危险区内撤出作业人员。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劳动行政主管部门可以委托检测机构对矿山作业场所和危险性较大的在用设备、仪器、器材进行抽检。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劳动行政主管部门对检查中发现的违反 《矿山安全法》和本条例以及其他法律、法规有关矿山安全的规定的情况，应当依法提出处理意见。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矿山安全监督人员执行公务时，应当出示矿山安全监督证件，秉公执法，并遵守有关规定。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矿山事故处理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　矿山发生事故后，事故现场有关人员应当立即报告矿长或者有关主管人员；矿长或者有关主管人员接到事故报告后，必须立即采取有效措施，组织抢救，防止事故扩大，尽力减少人员伤亡和财产损失。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矿山发生重伤、死亡事故后，矿山企业应当在24小时内如实向劳动行政主管部门和管理矿山企业的主管部门报告。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劳动行政主管部门和管理矿山企业的主管部门接到死亡事故或者一次重伤3人以上的事故报告后，应当立即报告本级人民政府，并报各自的上一级主管部门。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发生伤亡事故，矿山企业和有关单位应当保护事故现场；因抢救事故，需要移动现场部分物品时，必须作出标志，绘制事故现场图，并详细记录；在消除现场危险，采取防范措施后，方可恢复生产。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矿山事故发生后，有关部门应当按照国家有关规定，进行事故调查处理。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矿山事故调查处理工作应当自事故发生之日起90日内结束；遇有特殊情况，可以适当延长，但是不得超过180日。矿山事故处理结案后，应当公布处理结果。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　依照《矿山安全法》第四十条规定处以罚款的，分别按照下列规定执行：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（一）未对职工进行安全教育、培训，分配职工上岗作业的，处4万元以下的罚款；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（二）使用不符合国家安全标准或者行业安全标准的设备、器材、防护用品和安全检测仪器的，处5万元以下的罚款；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（三）未按照规定提取或者使用安全技术措施专项费用的，处5万元以下的罚款；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（四）拒绝矿山安全监督人员现场检查或者在被检查时隐瞒事故隐患，不如实反映情况的，处2万元以下的罚款；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（五）未按照规定及时、如实报告矿山事故的，处3万元以下的罚款。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依照 《矿山安全法》第四十三条规定处以罚款的，罚款幅度为5万元以上10万元以下。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违反本条例第十五条、第十六条、第十七条、第十八条、第十九条、第二十条、第二十一条、第二十二条、第二十三条、第二十五条规定的，由劳动行政主管部门责令改正，可以处2万元以下的罚款。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当事人收到罚款通知书后，应当在15日内到指定的金融机构缴纳罚款；逾期不缴纳的，自逾期之日起每日加收3‰的滞纳金。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矿山企业主管人员有下列行为之一，造成矿山事故的，按照规定给予纪律处分；构成犯罪的，由司法机关依法追究刑事责任：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（一）违章指挥、强令工人违章、冒险作业的；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（二）对工人屡次违章作业熟视无睹，不加制止的；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（三）对重大事故预兆或者已发现的隐患不及时采取措施的；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（四）不执行劳动行政主管部门的监督指令或者不采纳有关部门提出的整顿意见，造成严重后果的。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　国务院管理矿山企业的主管部门根据《矿山安全法》和本条例修订或者制定的矿山安全规程和行业技术规范，报国务院劳动行政主管部门备案。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石油天然气开采的安全规定，由国务院劳动行政主管部门会同石油工业主管部门制定，报国务院批准后施行。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本条例自发布之日起施行。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中华人民共和国矿山安全法实施条例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811b4786236a35cf6ef08ea97a26e6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