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地震安全性评价管理条例（2019修订）</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国务院令第709号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2019年03月02日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2019年03月02日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(2001年11月15日中华人民共和国国务院令第323号公布根据2017年3月1日《国务院关于修改和废止部分行政法规的决定》第一次修订根据2019年3月2日《国务院关于修改部分行政法规的决定》第二次修订)</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为了加强对地震安全性评价的管理，防御与减轻地震灾害，保护人民生命和财产安全，根据《中华人民共和国防震减灾法》的有关规定，制定本条例。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在中华人民共和国境内从事地震安全性评价活动，必须遵守本条例。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新建、扩建、改建建设工程，依照《中华人民共和国防震减灾法》和本条例的规定，需要进行地震安全性评价的，必须严格执行国家地震安全性评价的技术规范，确保地震安全性评价的质量。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国务院地震工作主管部门负责全国的地震安全性评价的监督管理工作。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县级以上地方人民政府负责管理地震工作的部门或者机构负责本行政区域内的地震安全性评价的监督管理工作。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国家鼓励、扶持有关地震安全性评价的科技研究，推广应用先进的科技成果，提高地震安全性评价的科技水平。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地震安全性评价单位</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从事地震安全性评价的单位应当具备下列条件：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（一）有与从事地震安全性评价相适应的地震学、地震地质学、工程地震学方面的专业技术人员；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（二）有从事地震安全性评价的技术条件。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禁止地震安全性评价单位以其他地震安全性评价单位的名义承揽地震安全性评价业务。禁止地震安全性评价单位允许其他单位以本单位的名义承揽地震安全性评价业务。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地震安全性评价的范围和要求</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下列建设工程必须进行地震安全性评价：</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（一）国家重大建设工程；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受地震破坏后可能引发水灾、火灾、爆炸、剧毒或者强腐蚀性物质大量泄露或者其他严重次生灾害的建设工程，包括水库大坝、堤防和贮油、贮气、贮存易燃易爆、剧毒或者强腐蚀性物质的设施以及其他可能发生严重次生灾害的建设工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（三）受地震破坏后可能引发放射性污染的核电站和核设施建设工程；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（四）省、自治区、直辖市认为对本行政区域有重大价值或者有重大影响的其他建设工程。</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地震安全性评价单位对建设工程进行地震安全性评价后，应当编制该建设工程的地震安全性评价报告。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地震安全性评价报告应当包括下列内容：</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（一）工程概况和地震安全性评价的技术要求；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（二）地震活动环境评价；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（三）地震地质构造评价；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（四）设防烈度或者设计地震动参数；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（五）地震地质灾害评价；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（六）其他有关技术资料。</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地震安全性评价报告的审定</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国务院地震工作主管部门负责下列地震安全性评价报告的审定：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（一）国家重大建设工程；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（二）跨省、自治区、直辖市行政区域的建设工程；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（三）核电站和核设施建设工程。</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省、自治区、直辖市人民政府负责管理地震工作的部门或者机构负责除前款规定以外的建设工程地震安全性评价报告的审定。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国务院地震工作主管部门和省、自治区、直辖市人民政府负责管理地震工作的部门或者机构，应当自收到地震安全性评价报告之日起15日内进行审定，确定建设工程的抗震设防要求。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国务院地震工作主管部门或者省、自治区、直辖市人民政府负责管理地震工作的部门或者机构，在确定建设工程抗震设防要求后，应当以书面形式通知建设单位，并告知建设工程所在地的市、县人民政府负责管理地震工作的部门或者机构。</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省、自治区、直辖市人民政府负责管理地震工作的部门或者机构应当将其确定的建设工程抗震设防要求报国务院地震工作主管部门备案。</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监督管理</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县级以上人民政府负责项目审批的部门，应当将抗震设防要求纳入建设工程可行性研究报告的审查内容。对可行性研究报告中未包含抗震设防要求的项目，不予批准。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国务院建设行政主管部门和国务院铁路、交通、民用航空、水利和其他有关专业主管部门制定的抗震设计规范，应当明确规定按照抗震设防要求进行抗震设计的方法和措施。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建设工程设计单位应当按照抗震设防要求和抗震设计规范，进行抗震设计。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国务院地震工作主管部门和县级以上地方人民政府负责管理地震工作的部门或者机构，应当会同有关专业主管部门，加强对地震安全性评价工作的监督检查。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罚　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违反本条例的规定，地震安全性评价单位有下列行为之一的，由国务院地震工作主管部门或者县级以上地方人民政府负责管理地震工作的部门或者机构依据职权，责令改正，没收违法所得，并处1万元以上5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（一）以其他地震安全性评价单位的名义承揽地震安全性评价业务的；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（二）允许其他单位以本单位名义承揽地震安全性评价业务的。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违反本条例的规定，国务院地震工作主管部门或者省、自治区、直辖市人民政府负责管理地震工作的部门或者机构不履行审定地震安全性评价报告职责，国务院地震工作主管部门或者县级以上地方人民政府负责管理地震工作的部门或者机构不履行监督管理职责，或者发现违法行为不予查处，致使公共财产、国家和人民利益遭受重大损失的，依法追究有关责任人的刑事责任；没有造成严重后果，尚不构成犯罪的，对部门或者机构负有责任的主管人员和其他直接责任人员给予降级或者撤职的处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附　则</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本条例自2002年1月1日起施行。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地震安全性评价管理条例（2019修订）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81b85c634112311decb06034f1ee048f"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