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公平竞争审查条例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国务院令第783号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2024年06月06日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《公平竞争审查条例》已经2024年5月11日国务院第32次常务会议通过，现予公布，自2024年8月1日起施行。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总理　　李强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2024年6月6日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公平竞争审查条例</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为了规范公平竞争审查工作，促进市场公平竞争，优化营商环境，建设全国统一大市场，根据《中华人民共和国反垄断法》等法律，制定本条例。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起草涉及经营者经济活动的法律、行政法规、地方性法规、规章、规范性文件以及具体政策措施（以下统称政策措施），行政机关和法律、法规授权的具有管理公共事务职能的组织（以下统称起草单位）应当依照本条例规定开展公平竞争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公平竞争审查工作坚持中国共产党的领导，贯彻党和国家路线方针政策和决策部署。</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国家加强公平竞争审查工作，保障各类经营者依法平等使用生产要素、公平参与市场竞争。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国务院建立公平竞争审查协调机制，统筹、协调和指导全国公平竞争审查工作，研究解决公平竞争审查工作中的重大问题，评估全国公平竞争审查工作情况。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县级以上地方人民政府应当建立健全公平竞争审查工作机制，保障公平竞争审查工作力量，并将公平竞争审查工作经费纳入本级政府预算。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国务院市场监督管理部门负责指导实施公平竞争审查制度，督促有关部门和地方开展公平竞争审查工作。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县级以上地方人民政府市场监督管理部门负责在本行政区域组织实施公平竞争审查制度。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县级以上人民政府将公平竞争审查工作情况纳入法治政府建设、优化营商环境等考核评价内容。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审查标准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起草单位起草的政策措施，不得含有下列限制或者变相限制市场准入和退出的内容：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（一）对市场准入负面清单以外的行业、领域、业务等违法设置审批程序；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（二）违法设置或者授予特许经营权；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（三）限定经营、购买或者使用特定经营者提供的商品或者服务（以下统称商品）；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（四）设置不合理或者歧视性的准入、退出条件；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（五）其他限制或者变相限制市场准入和退出的内容。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起草单位起草的政策措施，不得含有下列限制商品、要素自由流动的内容：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（一）限制外地或者进口商品、要素进入本地市场，或者阻碍本地经营者迁出，商品、要素输出；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（二）排斥、限制、强制或者变相强制外地经营者在本地投资经营或者设立分支机构；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（三）排斥、限制或者变相限制外地经营者参加本地政府采购、招标投标；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（四）对外地或者进口商品、要素设置歧视性收费项目、收费标准、价格或者补贴；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（五）在资质标准、监管执法等方面对外地经营者在本地投资经营设置歧视性要求；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（六）其他限制商品、要素自由流动的内容。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起草单位起草的政策措施，没有法律、行政法规依据或者未经国务院批准，不得含有下列影响生产经营成本的内容：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（一）给予特定经营者税收优惠；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（二）给予特定经营者选择性、差异化的财政奖励或者补贴；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（三）给予特定经营者要素获取、行政事业性收费、政府性基金、社会保险费等方面的优惠；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（四）其他影响生产经营成本的内容。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起草单位起草的政策措施，不得含有下列影响生产经营行为的内容：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（一）强制或者变相强制经营者实施垄断行为，或者为经营者实施垄断行为提供便利条件；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（二）超越法定权限制定政府指导价、政府定价，为特定经营者提供优惠价格；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（三）违法干预实行市场调节价的商品、要素的价格水平；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（四）其他影响生产经营行为的内容。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起草单位起草的政策措施，具有或者可能具有排除、限制竞争效果，但符合下列情形之一，且没有对公平竞争影响更小的替代方案，并能够确定合理的实施期限或者终止条件的，可以出台：</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（一）为维护国家安全和发展利益的；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（二）为促进科学技术进步、增强国家自主创新能力的；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（三）为实现节约能源、保护环境、救灾救助等社会公共利益的；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（四）法律、行政法规规定的其他情形。</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审查机制</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拟由部门出台的政策措施，由起草单位在起草阶段开展公平竞争审查。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拟由多个部门联合出台的政策措施，由牵头起草单位在起草阶段开展公平竞争审查。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拟由县级以上人民政府出台或者提请本级人民代表大会及其常务委员会审议的政策措施，由本级人民政府市场监督管理部门会同起草单位在起草阶段开展公平竞争审查。起草单位应当开展初审，并将政策措施草案和初审意见送市场监督管理部门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国家鼓励有条件的地区探索建立跨区域、跨部门的公平竞争审查工作机制。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开展公平竞争审查，应当听取有关经营者、行业协会商会等利害关系人关于公平竞争影响的意见。涉及社会公众利益的，应当听取社会公众意见。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开展公平竞争审查，应当按照本条例规定的审查标准，在评估对公平竞争影响后，作出审查结论。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适用本条例第十二条规定的，应当在审查结论中详细说明。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政策措施未经公平竞争审查，或者经公平竞争审查认为违反本条例第八条至第十一条规定且不符合第十二条规定情形的，不得出台。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有关部门和单位、个人对在公平竞争审查过程中知悉的国家秘密、商业秘密和个人隐私，应当依法予以保密。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监督保障</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国务院市场监督管理部门强化公平竞争审查工作监督保障，建立健全公平竞争审查抽查、举报处理、督查等机制。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市场监督管理部门建立健全公平竞争审查抽查机制，组织对有关政策措施开展抽查，经核查发现违反本条例规定的，应当督促起草单位进行整改。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市场监督管理部门应当向本级人民政府报告抽查情况，抽查结果可以向社会公开。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对违反本条例规定的政策措施，任何单位和个人可以向市场监督管理部门举报。市场监督管理部门接到举报后，应当及时处理或者转送有关部门处理。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市场监督管理部门应当向社会公开受理举报的电话、信箱或者电子邮件地址。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国务院定期对县级以上地方人民政府公平竞争审查工作机制建设情况、公平竞争审查工作开展情况、举报处理情况等开展督查。国务院市场监督管理部门负责具体实施。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起草单位未依照本条例规定开展公平竞争审查，经市场监督管理部门督促，逾期仍未整改的，上一级市场监督管理部门可以对其负责人进行约谈。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未依照本条例规定开展公平竞争审查，造成严重不良影响的，对起草单位直接负责的主管人员和其他直接责任人员依法给予处分。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国务院市场监督管理部门根据本条例制定公平竞争审查的具体实施办法。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本条例自2024年8月1日起施行。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公平竞争审查条例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162e654820cc5a7bc291544c4eec0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