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生产安全事故罚款处罚规定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《生产安全事故罚款处罚规定》已经2023年12月25日应急管理部第32次部务会议审议通过，现予公布，自2024年3月1日起施行。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2024年1月10日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生产安全事故罚款处罚规定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防止和减少生产安全事故，严格追究生产安全事故发生单位及其有关责任人员的法律责任，正确适用事故罚款的行政处罚，依照《中华人民共和国行政处罚法》《中华人民共和国安全生产法》《生产安全事故报告和调查处理条例》等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应急管理部门和矿山安全监察机构对生产安全事故发生单位（以下简称事故发生单位）及其主要负责人、其他负责人、安全生产管理人员以及直接负责的主管人员、其他直接责任人员等有关责任人员依照《中华人民共和国安全生产法》和《生产安全事故报告和调查处理条例》实施罚款的行政处罚，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本规定所称事故发生单位是指对事故发生负有责任的生产经营单位。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本规定所称主要负责人是指有限责任公司、股份有限公司的董事长、总经理或者个人经营的投资人，其他生产经营单位的厂长、经理、矿长（含实际控制人）等人员。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本规定所称事故发生单位主要负责人、其他负责人、安全生产管理人员以及直接负责的主管人员、其他直接责任人员的上一年年收入，属于国有生产经营单位的，是指该单位上级主管部门所确定的上一年年收入总额；属于非国有生产经营单位的，是指经财务、税务部门核定的上一年年收入总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生产经营单位提供虚假资料或者由于财务、税务部门无法核定等原因致使有关人员的上一年年收入难以确定的，按照下列办法确定：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（一）主要负责人的上一年年收入，按照本省、自治区、直辖市上一年度城镇单位就业人员平均工资的5倍以上10倍以下计算；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（二）其他负责人、安全生产管理人员以及直接负责的主管人员、其他直接责任人员的上一年年收入，按照本省、自治区、直辖市上一年度城镇单位就业人员平均工资的1倍以上5倍以下计算。</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《生产安全事故报告和调查处理条例》所称的迟报、漏报、谎报和瞒报，依照下列情形认定：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（一）报告事故的时间超过规定时限的，属于迟报；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（二）因过失对应当上报的事故或者事故发生的时间、地点、类别、伤亡人数、直接经济损失等内容遗漏未报的，属于漏报；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（三）故意不如实报告事故发生的时间、地点、初步原因、性质、伤亡人数和涉险人数、直接经济损失等有关内容的，属于谎报；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（四）隐瞒已经发生的事故，超过规定时限未向应急管理部门、矿山安全监察机构和有关部门报告，经查证属实的，属于瞒报。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对事故发生单位及其有关责任人员处以罚款的行政处罚，依照下列规定决定：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（一）对发生特别重大事故的单位及其有关责任人员罚款的行政处罚，由应急管理部决定；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（二）对发生重大事故的单位及其有关责任人员罚款的行政处罚，由省级人民政府应急管理部门决定；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（三）对发生较大事故的单位及其有关责任人员罚款的行政处罚，由设区的市级人民政府应急管理部门决定；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（四）对发生一般事故的单位及其有关责任人员罚款的行政处罚，由县级人民政府应急管理部门决定。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上级应急管理部门可以指定下一级应急管理部门对事故发生单位及其有关责任人员实施行政处罚。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对煤矿事故发生单位及其有关责任人员处以罚款的行政处罚，依照下列规定执行：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（一）对发生特别重大事故的煤矿及其有关责任人员罚款的行政处罚，由国家矿山安全监察局决定；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（二）对发生重大事故、较大事故和一般事故的煤矿及其有关责任人员罚款的行政处罚，由国家矿山安全监察局省级局决定。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上级矿山安全监察机构可以指定下一级矿山安全监察机构对事故发生单位及其有关责任人员实施行政处罚。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特别重大事故以下等级事故，事故发生地与事故发生单位所在地不在同一个县级以上行政区域的，由事故发生地的应急管理部门或者矿山安全监察机构依照本规定第六条或者第七条规定的权限实施行政处罚。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应急管理部门和矿山安全监察机构对事故发生单位及其有关责任人员实施罚款的行政处罚，依照《中华人民共和国行政处罚法》《安全生产违法行为行政处罚办法》等规定的程序执行。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应急管理部门和矿山安全监察机构在作出行政处罚前，应当告知当事人依法享有的陈述、申辩、要求听证等权利；当事人对行政处罚不服的，有权依法申请行政复议或者提起行政诉讼。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事故发生单位主要负责人有《中华人民共和国安全生产法》第一百一十条、《生产安全事故报告和调查处理条例》第三十五条、第三十六条规定的下列行为之一的，依照下列规定处以罚款：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主要负责人在事故发生后不立即组织事故抢救，或者在事故调查处理期间擅离职守，或者瞒报、谎报、迟报事故，或者事故发生后逃匿的，处上一年年收入60%至80％的罚款；贻误事故抢救或者造成事故扩大或者影响事故调查或者造成重大社会影响的，处上一年年收入80%至100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（二）事故发生单位主要负责人漏报事故的，处上一年年收入40%至60％的罚款；贻误事故抢救或者造成事故扩大或者影响事故调查或者造成重大社会影响的，处上一年年收入60%至80％的罚款；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发生单位主要负责人伪造、故意破坏事故现场，或者转移、隐匿资金、财产、销毁有关证据、资料，或者拒绝接受调查，或者拒绝提供有关情况和资料，或者在事故调查中作伪证，或者指使他人作伪证的，处上一年年收入60%至80％的罚款；贻误事故抢救或者造成事故扩大或者影响事故调查或者造成重大社会影响的，处上一年年收入80%至100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事故发生单位直接负责的主管人员和其他直接责任人员有《生产安全事故报告和调查处理条例》第三十六条规定的行为之一的，处上一年年收入60%至80％的罚款；贻误事故抢救或者造成事故扩大或者影响事故调查或者造成重大社会影响的，处上一年年收入80%至100％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事故发生单位有《生产安全事故报告和调查处理条例》第三十六条第一项至第五项规定的行为之一的，依照下列规定处以罚款：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（一）发生一般事故的，处100万元以上150万元以下的罚款；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（二）发生较大事故的，处150万元以上200万元以下的罚款；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（三）发生重大事故的，处200万元以上250万元以下的罚款；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（四）发生特别重大事故的，处250万元以上300万元以下的罚款。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事故发生单位有《生产安全事故报告和调查处理条例》第三十六条第一项至第五项规定的行为之一的，贻误事故抢救或者造成事故扩大或者影响事故调查或者造成重大社会影响的，依照下列规定处以罚款：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（一）发生一般事故的，处300万元以上350万元以下的罚款；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（二）发生较大事故的，处350万元以上400万元以下的罚款；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（三）发生重大事故的，处400万元以上450万元以下的罚款；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（四）发生特别重大事故的，处450万元以上500万元以下的罚款。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事故发生单位对一般事故负有责任的，依照下列规定处以罚款：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（一）造成3人以下重伤（包括急性工业中毒，下同），或者300万元以下直接经济损失的，处30万元以上50万元以下的罚款；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（二）造成1人死亡，或者3人以上6人以下重伤，或者300万元以上500万元以下直接经济损失的，处50万元以上70万元以下的罚款；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（三）造成2人死亡，或者6人以上10人以下重伤，或者500万元以上1000万元以下直接经济损失的，处70万元以上100万元以下的罚款。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事故发生单位对较大事故发生负有责任的，依照下列规定处以罚款：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（一）造成3人以上5人以下死亡，或者10人以上20人以下重伤，或者1000万元以上2000万元以下直接经济损失的，处100万元以上120万元以下的罚款；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（二）造成5人以上7人以下死亡，或者20人以上30人以下重伤，或者2000万元以上3000万元以下直接经济损失的，处120万元以上150万元以下的罚款；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（三）造成7人以上10人以下死亡，或者30人以上50人以下重伤，或者3000万元以上5000万元以下直接经济损失的，处150万元以上200万元以下的罚款。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事故发生单位对重大事故发生负有责任的，依照下列规定处以罚款：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（一）造成10人以上13人以下死亡，或者50人以上60人以下重伤，或者5000万元以上6000万元以下直接经济损失的，处200万元以上400万元以下的罚款；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（二）造成13人以上15人以下死亡，或者60人以上70人以下重伤，或者6000万元以上7000万元以下直接经济损失的，处400万元以上600万元以下的罚款；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（三）造成15人以上30人以下死亡，或者70人以上100人以下重伤，或者7000万元以上1亿元以下直接经济损失的，处600万元以上1000万元以下的罚款。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事故发生单位对特别重大事故发生负有责任的，依照下列规定处以罚款：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（一）造成30人以上40人以下死亡，或者100人以上120人以下重伤，或者1亿元以上1.5亿元以下直接经济损失的，处1000万元以上1200万元以下的罚款；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（二）造成40人以上50人以下死亡，或者120人以上150人以下重伤，或者1.5亿元以上2亿元以下直接经济损失的，处1200万元以上1500万元以下的罚款；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（三）造成50人以上死亡，或者150人以上重伤，或者2亿元以上直接经济损失的，处1500万元以上2000万元以下的罚款。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发生生产安全事故，有下列情形之一的，属于《中华人民共和国安全生产法》第一百一十四条第二款规定的情节特别严重、影响特别恶劣的情形，可以按照法律规定罚款数额的2倍以上5倍以下对事故发生单位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（一）关闭、破坏直接关系生产安全的监控、报警、防护、救生设备、设施，或者篡改、隐瞒、销毁其相关数据、信息的；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（二）因存在重大事故隐患被依法责令停产停业、停止施工、停止使用有关设备、设施、场所或者立即采取排除危险的整改措施，而拒不执行的；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（三）涉及安全生产的事项未经依法批准或者许可，擅自从事矿山开采、金属冶炼、建筑施工，以及危险物品生产、经营、储存等高度危险的生产作业活动，或者未依法取得有关证照尚在从事生产经营活动的；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（四）拒绝、阻碍行政执法的；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（五）强令他人违章冒险作业，或者明知存在重大事故隐患而不排除，仍冒险组织作业的；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（六）其他情节特别严重、影响特别恶劣的情形。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事故发生单位主要负责人未依法履行安全生产管理职责，导致事故发生的，依照下列规定处以罚款：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（三）发生重大事故的，处上一年年收入80％的罚款；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（四）发生特别重大事故的，处上一年年收入100％的罚款。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事故发生单位其他负责人和安全生产管理人员未依法履行安全生产管理职责，导致事故发生的，依照下列规定处以罚款：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（一）发生一般事故的，处上一年年收入20％至30%的罚款；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（二）发生较大事故的，处上一年年收入30％至40%的罚款；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（三）发生重大事故的，处上一年年收入40％至50%的罚款；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（四）发生特别重大事故的，处上一年年收入50％的罚款。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个人经营的投资人未依照《中华人民共和国安全生产法》的规定保证安全生产所必需的资金投入，致使生产经营单位不具备安全生产条件，导致发生生产安全事故的，依照下列规定对个人经营的投资人处以罚款：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（一）发生一般事故的，处2万元以上5万元以下的罚款；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（二）发生较大事故的，处5万元以上10万元以下的罚款；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（三）发生重大事故的，处10万元以上15万元以下的罚款；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（四）发生特别重大事故的，处15万元以上20万元以下的罚款。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违反《中华人民共和国安全生产法》《生产安全事故报告和调查处理条例》和本规定，存在对事故发生负有责任以及谎报、瞒报事故等两种以上应当处以罚款的行为的，应急管理部门或者矿山安全监察机构应当分别裁量，合并作出处罚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在事故调查中发现需要对存在违法行为的其他单位及其有关人员处以罚款的，依照相关法律、法规和规章的规定实施。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 本规定自2024年3月1日起施行。原国家安全生产监督管理总局2007年7月12日公布，2011年9月1日第一次修正、2015年4月2日第二次修正的《生产安全事故罚款处罚规定（试行）》同时废止。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生产安全事故罚款处罚规定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0f6b99c1a124def72c6e188a891b75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