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中华人民共和国防沙治沙法（2018修订）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主席令第16号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2018年10月26日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2018年10月26日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为预防土地沙化，治理沙化土地，维护生态安全，促进经济和社会的可持续发展，制定本法。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在中华人民共和国境内，从事土地沙化的预防、沙化土地的治理和开发利用活动，必须遵守本法。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土地沙化是指因气候变化和人类活动所导致的天然沙漠扩张和沙质土壤上植被破坏、沙土裸露的过程。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本法所称土地沙化，是指主要因人类不合理活动所导致的天然沙漠扩张和沙质土壤上植被及覆盖物被破坏，形成流沙及沙土裸露的过程。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本法所称沙化土地，包括已经沙化的土地和具有明显沙化趋势的土地。具体范围，由国务院批准的全国防沙治沙规划确定。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防沙治沙工作应当遵循以下原则：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（一）统一规划，因地制宜，分步实施，坚持区域防治与重点防治相结合；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（二）预防为主，防治结合，综合治理；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（三）保护和恢复植被与合理利用自然资源相结合；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（四）遵循生态规律，依靠科技进步；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（五）改善生态环境与帮助农牧民脱贫致富相结合；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（六）国家支持与地方自力更生相结合，政府组织与社会各界参与相结合，鼓励单位、个人承包防治；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（七）保障防沙治沙者的合法权益。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国务院和沙化土地所在地区的县级以上地方人民政府，应当将防沙治沙纳入国民经济和社会发展计划，保障和支持防沙治沙工作的开展。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沙化土地所在地区的地方各级人民政府，应当采取有效措施，预防土地沙化，治理沙化土地，保护和改善本行政区域的生态质量。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国家在沙化土地所在地区，建立政府行政领导防沙治沙任期目标责任考核奖惩制度。沙化土地所在地区的县级以上地方人民政府，应当向同级人民代表大会及其常务委员会报告防沙治沙工作情况。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在国务院领导下，国务院林业草原行政主管部门负责组织、协调、指导全国防沙治沙工作。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国务院林业草原、农业、水利、土地、生态环境等行政主管部门和气象主管机构，按照有关法律规定的职责和国务院确定的职责分工，各负其责，密切配合，共同做好防沙治沙工作。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县级以上地方人民政府组织、领导所属有关部门，按照职责分工，各负其责，密切配合，共同做好本行政区域的防沙治沙工作。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使用土地的单位和个人，有防止该土地沙化的义务。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使用已经沙化的土地的单位和个人，有治理该沙化土地的义务。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国家支持防沙治沙的科学研究和技术推广工作，发挥科研部门、机构在防沙治沙工作中的作用，培养防沙治沙专门技术人员，提高防沙治沙的科学技术水平。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国家支持开展防沙治沙的国际合作。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在防沙治沙工作中作出显著成绩的单位和个人，由人民政府给予表彰和奖励；对保护和改善生态质量作出突出贡献的应当给予重奖。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沙化土地所在地区的各级人民政府应当组织有关部门开展防沙治沙知识的宣传教育，增强公民的防沙治沙意识，提高公民防沙治沙的能力。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防沙治沙规划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防沙治沙实行统一规划。从事防沙治沙活动，以及在沙化土地范围内从事开发利用活动，必须遵循防沙治沙规划。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防沙治沙规划应当对遏制土地沙化扩展趋势，逐步减少沙化土地的时限、步骤、措施等作出明确规定，并将具体实施方案纳入国民经济和社会发展五年计划和年度计划。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国务院林业草原行政主管部门会同国务院农业、水利、土地、生态环境等有关部门编制全国防沙治沙规划，报国务院批准后实施。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省、自治区、直辖市人民政府依据全国防沙治沙规划，编制本行政区域的防沙治沙规划，报国务院或者国务院指定的有关部门批准后实施。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沙化土地所在地区的市、县人民政府，应当依据上一级人民政府的防沙治沙规划，组织编制本行政区域的防沙治沙规划，报上一级人民政府批准后实施。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防沙治沙规划的修改，须经原批准机关批准；未经批准，任何单位和个人不得改变防沙治沙规划。</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编制防沙治沙规划，应当根据沙化土地所处的地理位置、土地类型、植被状况、气候和水资源状况、土地沙化程度等自然条件及其所发挥的生态、经济功能，对沙化土地实行分类保护、综合治理和合理利用。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规划期内不具备治理条件的以及因保护生态的需要不宜开发利用的连片沙化土地，应当规划为沙化土地封禁保护区，实行封禁保护。沙化土地封禁保护区的范围，由全国防沙治沙规划以及省、自治区、直辖市防沙治沙规划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防沙治沙规划应当与土地利用总体规划相衔接；防沙治沙规划中确定的沙化土地用途，应当符合本级人民政府的土地利用总体规划。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土地沙化的预防</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国务院林业草原行政主管部门组织其他有关行政主管部门对全国土地沙化情况进行监测、统计和分析，并定期公布监测结果。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县级以上地方人民政府林业草原或者其他有关行政主管部门，应当按照土地沙化监测技术规程，对沙化土地进行监测，并将监测结果向本级人民政府及上一级林业草原或者其他有关行政主管部门报告。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县级以上地方人民政府林业草原或者其他有关行政主管部门，在土地沙化监测过程中，发现土地发生沙化或者沙化程度加重的，应当及时报告本级人民政府。收到报告的人民政府应当责成有关行政主管部门制止导致土地沙化的行为，并采取有效措施进行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气象主管机构应当组织对气象干旱和沙尘暴天气进行监测、预报，发现气象干旱或者沙尘暴天气征兆时，应当及时报告当地人民政府。收到报告的人民政府应当采取预防措施，必要时公布灾情预报，并组织林业草原、农（牧）业等有关部门采取应急措施，避免或者减轻风沙危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沙化土地所在地区的县级以上地方人民政府应当按照防沙治沙规划，划出一定比例的土地，因地制宜地营造防风固沙林网、林带，种植多年生灌木和草本植物。由林业草原行政主管部门负责确定植树造林的成活率、保存率的标准和具体任务，并逐片组织实施，明确责任，确保完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除了抚育更新性质的采伐外，不得批准对防风固沙林网、林带进行采伐。在对防风固沙林网、林带进行抚育更新性质的采伐之前，必须在其附近预先形成接替林网和林带。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对林木更新困难地区已有的防风固沙林网、林带，不得批准采伐。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禁止在沙化土地上砍挖灌木、药材及其他固沙植物。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沙化土地所在地区的县级人民政府，应当制定植被管护制度，严格保护植被，并根据需要在乡（镇）、村建立植被管护组织，确定管护人员。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在沙化土地范围内，各类土地承包合同应当包括植被保护责任的内容。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草原地区的地方各级人民政府，应当加强草原的管理和建设，由林业草原行政主管部门会同畜牧业行政主管部门负责指导、组织农牧民建设人工草场，控制载畜量，调整牲畜结构，改良牲畜品种，推行牲畜圈养和草场轮牧，消灭草原鼠害、虫害，保护草原植被，防止草原退化和沙化。</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草原实行以产草量确定载畜量的制度。由林业草原行政主管部门会同畜牧业行政主管部门负责制定载畜量的标准和有关规定，并逐级组织实施，明确责任，确保完成。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沙化土地所在地区的县级以上地方人民政府水行政主管部门，应当加强流域和区域水资源的统一调配和管理，在编制流域和区域水资源开发利用规划和供水计划时，必须考虑整个流域和区域植被保护的用水需求，防止因地下水和上游水资源的过度开发利用，导致植被破坏和土地沙化。该规划和计划经批准后，必须严格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沙化土地所在地区的地方各级人民政府应当节约用水，发展节水型农牧业和其他产业。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沙化土地所在地区的县级以上地方人民政府，不得批准在沙漠边缘地带和林地、草原开垦耕地；已经开垦并对生态产生不良影响的，应当有计划地组织退耕还林还草。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在沙化土地范围内从事开发建设活动的，必须事先就该项目可能对当地及相关地区生态产生的影响进行环境影响评价，依法提交环境影响报告；环境影响报告应当包括有关防沙治沙的内容。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在沙化土地封禁保护区范围内，禁止一切破坏植被的活动。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在沙化土地封禁保护区范围内安置移民。对沙化土地封禁保护区范围内的农牧民，县级以上地方人民政府应当有计划地组织迁出，并妥善安置。沙化土地封禁保护区范围内尚未迁出的农牧民的生产生活，由沙化土地封禁保护区主管部门妥善安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未经国务院或者国务院指定的部门同意，不得在沙化土地封禁保护区范围内进行修建铁路、公路等建设活动。</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沙化土地的治理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沙化土地所在地区的地方各级人民政府，应当按照防沙治沙规划，组织有关部门、单位和个人，因地制宜地采取人工造林种草、飞机播种造林种草、封沙育林育草和合理调配生态用水等措施，恢复和增加植被，治理已经沙化的土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国家鼓励单位和个人在自愿的前提下，捐资或者以其他形式开展公益性的治沙活动。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县级以上地方人民政府林业草原或者其他有关行政主管部门，应当为公益性治沙活动提供治理地点和无偿技术指导。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从事公益性治沙的单位和个人，应当按照县级以上地方人民政府林业草原或者其他有关行政主管部门的技术要求进行治理，并可以将所种植的林、草委托他人管护或者交由当地人民政府有关行政主管部门管护。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使用已经沙化的国有土地的使用权人和农民集体所有土地的承包经营权人，必须采取治理措施，改善土地质量；确实无能力完成治理任务的，可以委托他人治理或者与他人合作治理。委托或者合作治理的，应当签订协议，明确各方的权利和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沙化土地所在地区的地方各级人民政府及其有关行政主管部门、技术推广单位，应当为土地使用权人和承包经营权人的治沙活动提供技术指导。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采取退耕还林还草、植树种草或者封育措施治沙的土地使用权人和承包经营权人，按照国家有关规定，享受人民政府提供的政策优惠。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不具有土地所有权或者使用权的单位和个人从事营利性治沙活动的，应当先与土地所有权人或者使用权人签订协议，依法取得土地使用权。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治理活动开始之前，从事营利性治沙活动的单位和个人应当向治理项目所在地的县级以上地方人民政府林业草原行政主管部门或者县级以上地方人民政府指定的其他行政主管部门提出治理申请，并附具下列文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（一）被治理土地权属的合法证明文件和治理协议；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（二）符合防沙治沙规划的治理方案；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（三）治理所需的资金证明。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本法第二十六条第二款第二项所称治理方案，应当包括以下内容：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（一）治理范围界限；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（二）分阶段治理目标和治理期限；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（三）主要治理措施；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（四）经当地水行政主管部门同意的用水来源和用水量指标；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（五）治理后的土地用途和植被管护措施；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（六）其他需要载明的事项。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从事营利性治沙活动的单位和个人，必须按照治理方案进行治理。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国家保护沙化土地治理者的合法权益。在治理者取得合法土地权属的治理范围内，未经治理者同意，其他任何单位和个人不得从事治理或者开发利用活动。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治理者完成治理任务后，应当向县级以上地方人民政府受理治理申请的行政主管部门提出验收申请。经验收合格的，受理治理申请的行政主管部门应当发给治理合格证明文件；经验收不合格的，治理者应当继续治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已经沙化的土地范围内的铁路、公路、河流和水渠两侧，城镇、村庄、厂矿和水库周围，实行单位治理责任制，由县级以上地方人民政府下达治理责任书，由责任单位负责组织造林种草或者采取其他治理措施。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沙化土地所在地区的地方各级人民政府，可以组织当地农村集体经济组织及其成员在自愿的前提下，对已经沙化的土地进行集中治理。农村集体经济组织及其成员投入的资金和劳力，可以折算为治理项目的股份、资本金，也可以采取其他形式给予补偿。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保障措施</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务院和沙化土地所在地区的地方各级人民政府应当在本级财政预算中按照防沙治沙规划通过项目预算安排资金，用于本级人民政府确定的防沙治沙工程。在安排扶贫、农业、水利、道路、矿产、能源、农业综合开发等项目时，应当根据具体情况，设立若干防沙治沙子项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国务院和省、自治区、直辖市人民政府应当制定优惠政策，鼓励和支持单位和个人防沙治沙。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县级以上地方人民政府应当按照国家有关规定，根据防沙治沙的面积和难易程度，给予从事防沙治沙活动的单位和个人资金补助、财政贴息以及税费减免等政策优惠。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单位和个人投资进行防沙治沙的，在投资阶段免征各种税收；取得一定收益后，可以免征或者减征有关税收。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使用已经沙化的国有土地从事治沙活动的，经县级以上人民政府依法批准，可以享有不超过七十年的土地使用权。具体年限和管理办法，由国务院规定。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已经沙化的集体所有土地从事治沙活动的，治理者应当与土地所有人签订土地承包合同。具体承包期限和当事人的其他权利、义务由承包合同双方依法在土地承包合同中约定。县级人民政府依法根据土地承包合同向治理者颁发土地使用权证书，保护集体所有沙化土地治理者的土地使用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因保护生态的特殊要求，将治理后的土地批准划为自然保护区或者沙化土地封禁保护区的，批准机关应当给予治理者合理的经济补偿。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国家根据防沙治沙的需要，组织设立防沙治沙重点科研项目和示范、推广项目，并对防沙治沙、沙区能源、沙生经济作物、节水灌溉、防止草原退化、沙地旱作农业等方面的科学研究与技术推广给予资金补助、税费减免等政策优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任何单位和个人不得截留、挪用防沙治沙资金。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县级以上人民政府审计机关，应当依法对防沙治沙资金使用情况实施审计监督。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违反本法第二十二条第一款规定，在沙化土地封禁保护区范围内从事破坏植被活动的，由县级以上地方人民政府林业草原行政主管部门责令停止违法行为；有违法所得的，没收其违法所得；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法第二十五条第一款规定，国有土地使用权人和农民集体所有土地承包经营权人未采取防沙治沙措施，造成土地严重沙化的，由县级以上地方人民政府林业草原行政主管部门责令限期治理；造成国有土地严重沙化的，县级以上人民政府可以收回国有土地使用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违反本法规定，进行营利性治沙活动，造成土地沙化加重的，由县级以上地方人民政府负责受理营利性治沙申请的行政主管部门责令停止违法行为，可以并处每公顷五千元以上五万元以下的罚款。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违反本法第二十八条第一款规定，不按照治理方案进行治理的，或者违反本法第二十九条规定，经验收不合格又不按要求继续治理的，由县级以上地方人民政府负责受理营利性治沙申请的行政主管部门责令停止违法行为，限期改正，可以并处相当于治理费用一倍以上三倍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违反本法第二十八条第二款规定，未经治理者同意，擅自在他人的治理范围内从事治理或者开发利用活动的，由县级以上地方人民政府负责受理营利性治沙申请的行政主管部门责令停止违法行为；给治理者造成损失的，应当赔偿损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违反本法规定，有下列情形之一的，对直接负责的主管人员和其他直接责任人员，由所在单位、监察机关或者上级行政主管部门依法给予行政处分：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（一）违反本法第十五条第一款规定，发现土地发生沙化或者沙化程度加重不及时报告的，或者收到报告后不责成有关行政主管部门采取措施的；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（二）违反本法第十六条第二款、第三款规定，批准采伐防风固沙林网、林带的；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（三）违反本法第二十条规定，批准在沙漠边缘地带和林地、草原开垦耕地的；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（四）违反本法第二十二条第二款规定，在沙化土地封禁保护区范围内安置移民的；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（五）违反本法第二十二条第三款规定，未经批准在沙化土地封禁保护区范围内进行修建铁路、公路等建设活动的。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违反本法第三十七条第一款规定，截留、挪用防沙治沙资金的，对直接负责的主管人员和其他直接责任人员，由监察机关或者上级行政主管部门依法给予行政处分；构成犯罪的，依法追究刑事责任。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防沙治沙监督管理人员滥用职权、玩忽职守、徇私舞弊，构成犯罪的，依法追究刑事责任。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本法第五条第二款中所称的有关法律，是指《中华人民共和国森林法》《中华人民共和国草原法》《中华人民共和国水土保持法》《中华人民共和国土地管理法》《中华人民共和国环境保护法》和《中华人民共和国气象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本法自2002年1月1日起施行。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中华人民共和国防沙治沙法（2018修订）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a8e8d381793398e7c9943da84c9160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