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应急管理部关于印发《生产经营单位从业人员安全生产举报处理规定》的通知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应急〔2020〕69号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2020年09月16日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2020年09月16日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国家煤矿安监局，各省、自治区、直辖市应急管理厅（局），新疆生产建设兵团应急管理局：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强化和落实生产经营单位安全生产主体责任，鼓励和支持生产经营单位从业人员参与安全生产监督工作，严格保护其合法权益，经商财政部同意，现将《生产经营单位从业人员安全生产举报处理规定》印发给你们，请遵照执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 应急管理部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2020年9月16日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生产经营单位从业人员安全生产举报处理规定</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 为了强化和落实生产经营单位安全生产主体责任，鼓励和支持生产经营单位从业人员对本单位安全生产工作中存在的问题进行举报和监督，严格保护其合法权益，根据《中华人民共和国安全生产法》和《国务院关于加强和规范事中事后监管的指导意见》（国发〔2019〕18号）等有关法律法规和规范性文件，制定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 本规定适用于生产经营单位从业人员对其所在单位的重大事故隐患、安全生产违法行为的举报以及处理。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前款所称重大事故隐患、安全生产违法行为，依照安全生产领域举报奖励有关规定进行认定。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 应急管理部门（含煤矿安全监察机构，下同）应当明确负责处理生产经营单位从业人员安全生产举报事项的机构，并在官方网站公布处理举报事项机构的办公电话、微信公众号、电子邮件等联系方式，方便举报人及时掌握举报处理进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 生产经营单位从业人员举报其所在单位的重大事故隐患、安全生产违法行为时，应当提供真实姓名以及真实有效的联系方式；否则，应急管理部门可以不予受理。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 应急管理部门受理生产经营单位从业人员安全生产举报后，应当及时核查；对核查属实的，应当依法依规进行处理，并向举报人反馈核查、处理结果。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举报事项不属于本单位受理范围的，接到举报的应急管理部门应当告知举报人向有处理权的单位举报，或者将举报材料移送有处理权的单位，并采取适当方式告知举报人。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 应急管理部门可以在危险化学品、矿山、烟花爆竹、金属冶炼、涉爆粉尘等重点行业、领域生产经营单位从业人员中选取信息员，建立专门联络机制，定期或者不定期与其联系，及时获取生产经营单位重大事故隐患、安全生产违法行为线索。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 应急管理部门对受理的生产经营单位从业人员安全生产举报，以及信息员提供的线索，按照安全生产领域举报奖励有关规定核查属实的，应当给予举报人或者信息员现金奖励，奖励标准在安全生产领域举报奖励有关规定的基础上按照一定比例上浮，具体标准由各省级应急管理部门、财政部门根据本地实际情况确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因生产经营单位从业人员安全生产举报，或者信息员提供的线索直接避免了伤亡事故发生或者重大财产损失的，应急管理部门可以给予举报人或者信息员特殊奖励。</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举报人领取现金奖励时，应当提供身份证件复印件以及签订的有效劳动合同等可以证明其生产经营单位从业人员身份的材料。</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 给予举报人和信息员的奖金列入本级预算，通过现有资金渠道安排，并接受审计和纪检监察机关的监督。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 应急管理部门参与举报处理工作的人员应当严格遵守保密纪律，妥善保管和使用举报材料，严格控制有关举报信息的知悉范围，依法保护举报人和信息员的合法权益，未经其同意，不得以任何方式泄露其姓名、身份、联系方式、举报内容、奖励等信息，违者视情节轻重依法给予处分；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 生产经营单位应当保护举报人和信息员的合法权益，不得对举报人和信息员实施打击报复行为。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生产经营单位对举报人或者信息员实施打击报复行为的，除依法予以严肃处理外，应急管理部门还可以按规定对生产经营单位及其有关人员实施联合惩戒。</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 应急管理部门应当定期对举报人和信息员进行回访，了解其奖励、合法权益保护等有关情况，听取其意见建议；对回访中发现的奖励不落实、奖励低于有关标准、打击报复举报人或者信息员等情况，应当及时依法依规进行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 应急管理部门鼓励生产经营单位建立健全本单位的举报奖励机制，在有关场所醒目位置公示本单位法定代表人或者安全生产管理机构以及安全生产管理人员的电话、微信、电子邮件、微博等联系方式，受理本单位从业人员举报的安全生产问题。对查证属实的，生产经营单位应当进行自我纠正整改，同时可以对举报人给予相应奖励。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 举报人和信息员应当对其举报内容的真实性负责，不得捏造、歪曲事实，不得诬告、陷害他人和生产经营单位，不得故意诱导生产经营单位实施安全生产违法行为；否则，一经查实，依法追究法律责任。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 本规定自公布之日起施行。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应急管理部关于印发《生产经营单位从业人员安全生产举报处理规定》的通知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cee6abc3986251cdee1a1d4cea39f738"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