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安全生产事故隐患排查治理暂行规定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2007年12月28日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2008年02月01日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《安全生产事故隐患排查治理暂行规定》已经2007年12月22日国家安全生产监督管理总局局长办公会议审议通过，现予公布，自2008年2月1日起施行。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局长 李毅中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二○○七年十二月二十八日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安全生产事故隐患排查治理暂行规定</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为了建立安全生产事故隐患排查治理长效机制，强化安全生产主体责任，加强事故隐患监督管理，防止和减少事故，保障人民群众生命财产安全，根据 安全生产法等法律、行政法规，制定本规定。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生产经营单位安全生产事故隐患排查治理和安全生产监督管理部门、煤矿安全监察机构（以下统称安全监管监察部门）实施监管监察，适用本规定。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有关法律、行政法规对安全生产事故隐患排查治理另有规定的，依照其规定。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定所称安全生产事故隐患（以下简称事故隐患），是指生产经营单位违反安全生产法律、法规、规章、标准、规程和安全生产管理制度的规定，或者因其他因素在生产经营活动中存在可能导致事故发生的物的危险状态、人的不安全行为和管理上的缺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生产经营单位应当建立健全事故隐患排查治理制度。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生产经营单位主要负责人对本单位事故隐患排查治理工作全面负责。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各级安全监管监察部门按照职责对所辖区域内生产经营单位排查治理事故隐患工作依法实施综合监督管理；各级人民政府有关部门在各自职责范围内对生产经营单位排查治理事故隐患工作依法实施监督管理。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任何单位和个人发现事故隐患，均有权向安全监管监察部门和有关部门报告。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安全监管监察部门接到事故隐患报告后，应当按照职责分工立即组织核实并予以查处；发现所报告事故隐患应当由其他有关部门处理的，应当立即移送有关部门并记录备查。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生产经营单位的职责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生产经营单位应当依照法律、法规、规章、标准和规程的要求从事生产经营活动。严禁非法从事生产经营活动。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生产经营单位是事故隐患排查、治理和防控的责任主体。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生产经营单位应当建立健全事故隐患排查治理和建档监控等制度，逐级建立并落实从主要负责人到每个从业人员的隐患排查治理和监控责任制。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生产经营单位应当保证事故隐患排查治理所需的资金，建立资金使用专项制度。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生产经营单位应当定期组织安全生产管理人员、工程技术人员和其他相关人员排查本单位的事故隐患。对排查出的事故隐患，应当按照事故隐患的等级进行登记，建立事故隐患信息档案，并按照职责分工实施监控治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生产经营单位应当建立事故隐患报告和举报奖励制度，鼓励、发动职工发现和排除事故隐患，鼓励社会公众举报。对发现、排除和举报事故隐患的有功人员，应当给予物质奖励和表彰。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生产经营单位将生产经营项目、场所、设备发包、出租的，应当与承包、承租单位签订安全生产管理协议，并在协议中明确各方对事故隐患排查、治理和防控的管理职责。生产经营单位对承包、承租单位的事故隐患排查治理负有统一协调和监督管理的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安全监管监察部门和有关部门的监督检查人员依法履行事故隐患监督检查职责时，生产经营单位应当积极配合，不得拒绝和阻挠。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生产经营单位应当每季、每年对本单位事故隐患排查治理情况进行统计分析，并分别于下一季度15日前和下一年1月31日前向安全监管监察部门和有关部门报送书面统计分析表。统计分析表应当由生产经营单位主要负责人签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对于重大事故隐患，生产经营单位除依照前款规定报送外，应当及时向安全监管监察部门和有关部门报告。重大事故隐患报告内容应当包括：</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（一）隐患的现状及其产生原因；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（二）隐患的危害程度和整改难易程度分析；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（三）隐患的治理方案。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对于一般事故隐患，由生产经营单位（车间、分厂、区队等）负责人或者有关人员立即组织整改。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对于重大事故隐患，由生产经营单位主要负责人组织制定并实施事故隐患治理方案。重大事故隐患治理方案应当包括以下内容：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（一）治理的目标和任务；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（二）采取的方法和措施；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（三）经费和物资的落实；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（四）负责治理的机构和人员；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（五）治理的时限和要求；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（六）安全措施和应急预案。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生产经营单位在事故隐患治理过程中，应当采取相应的安全防范措施，防止事故发生。事故隐患排除前或者排除过程中无法保证安全的，应当从危险区域内撤出作业人员，并疏散可能危及的其他人员，设置警戒标志，暂时停产停业或者停止使用；对暂时难以停产或者停止使用的相关生产储存装置、设施、设备，应当加强维护和保养，防止事故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生产经营单位应当加强对自然灾害的预防。对于因自然灾害可能导致事故灾难的隐患，应当按照有关法律、法规、标准和本规定的要求排查治理，采取可靠的预防措施，制定应急预案。在接到有关自然灾害预报时，应当及时向下属单位发出预警通知；发生自然灾害可能危及生产经营单位和人员安全的情况时，应当采取撤离人员、停止作业、加强监测等安全措施，并及时向当地人民政府及其有关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地方人民政府或者安全监管监察部门及有关部门挂牌督办并责令全部或者局部停产停业治理的重大事故隐患，治理工作结束后，有条件的生产经营单位应当组织本单位的技术人员和专家对重大事故隐患的治理情况进行评估；其他生产经营单位应当委托具备相应资质的安全评价机构对重大事故隐患的治理情况进行评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治理后符合安全生产条件的，生产经营单位应当向安全监管监察部门和有关部门提出恢复生产的书面申请，经安全监管监察部门和有关部门审查同意后，方可恢复生产经营。申请报告应当包括治理方案的内容、项目和安全评价机构出具的评价报告等。</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监督管理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安全监管监察部门应当指导、监督生产经营单位按照有关法律、法规、规章、标准和规程的要求，建立健全事故隐患排查治理等各项制度。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安全监管监察部门应当建立事故隐患排查治理监督检查制度，定期组织对生产经营单位事故隐患排查治理情况开展监督检查；应当加强对重点单位的事故隐患排查治理情况的监督检查。对检查过程中发现的重大事故隐患，应当下达整改指令书，并建立信息管理台账。必要时，报告同级人民政府并对重大事故隐患实行挂牌督办。</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安全监管监察部门应当配合有关部门做好对生产经营单位事故隐患排查治理情况开展的监督检查，依法查处事故隐患排查治理的非法和违法行为及其责任者。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安全监管监察部门发现属于其他有关部门职责范围内的重大事故隐患的，应该及时将有关资料移送有管辖权的有关部门，并记录备查。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已经取得安全生产许可证的生产经营单位，在其被挂牌督办的重大事故隐患治理结束前，安全监管监察部门应当加强监督检查。必要时，可以提请原许可证颁发机关依法暂扣其安全生产许可证。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安全监管监察部门应当会同有关部门把重大事故隐患整改纳入重点行业领域的安全专项整治中加以治理，落实相应责任。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对挂牌督办并采取全部或者局部停产停业治理的重大事故隐患，安全监管监察部门收到生产经营单位恢复生产的申请报告后，应当在10日内进行现场审查。审查合格的，对事故隐患进行核销，同意恢复生产经营；审查不合格的，依法责令改正或者下达停产整改指令。对整改无望或者生产经营单位拒不执行整改指令的，依法实施行政处罚；不具备安全生产条件的，依法提请县级以上人民政府按照国务院规定的权限予以关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安全监管监察部门应当每季将本行政区域重大事故隐患的排查治理情况和统计分析表逐级报至省级安全监管监察部门备案。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省级安全监管监察部门应当每半年将本行政区域重大事故隐患的排查治理情况和统计分析表报国家安全生产监督管理总局备案。</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罚则</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生产经营单位及其主要负责人未履行事故隐患排查治理职责，导致发生生产安全事故的，依法给予行政处罚。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生产经营单位违反本规定，有下列行为之一的，由安全监管监察部门给予警告，并处三万元以下的罚款：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（一）未建立安全生产事故隐患排查治理等各项制度的；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（二）未按规定上报事故隐患排查治理统计分析表的；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（三）未制定事故隐患治理方案的；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（四）重大事故隐患不报或者未及时报告的；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（五）未对事故隐患进行排查治理擅自生产经营的；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（六）整改不合格或者未经安全监管监察部门审查同意擅自恢复生产经营的。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承担检测检验、安全评价的中介机构，出具虚假评价证明，尚不够刑事处罚的，没收违法所得，违法所得在五千元以上的，并处违法所得二倍以上五倍以下的罚款，没有违法所得或者违法所得不足五千元的，单处或者并处五千元以上二万元以下的罚款，同时可对其直接负责的主管人员和其他直接责任人员处五千元以上五万元以下的罚款；给他人造成损害的，与生产经营单位承担连带赔偿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对有前款违法行为的机构，撤销其相应的资质。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生产经营单位事故隐患排查治理过程中违反有关安全生产法律、法规、规章、标准和规程规定的，依法给予行政处罚。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安全监管监察部门的工作人员未依法履行职责的，按照有关规定处理。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省级安全监管监察部门可以根据本规定，制定事故隐患排查治理和监督管理实施细则。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事业单位、人民团体以及其他经济组织的事故隐患排查治理，参照本规定执行。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本规定自2008年2月1日起施行。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安全生产事故隐患排查治理暂行规定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8bee65d81fa393c0ad5989db42aa66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