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EA344">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"https://alphalawyer.cn/ilawregu-search/api/v1/lawregu/redict/a3c2a2165658f0bcf0f22fdcfb4afdc8" </w:instrText>
      </w:r>
      <w:r>
        <w:fldChar w:fldCharType="separate"/>
      </w:r>
      <w:r>
        <w:rPr>
          <w:rFonts w:hint="eastAsia" w:ascii="宋体" w:hAnsi="宋体" w:eastAsia="宋体"/>
          <w:b/>
          <w:sz w:val="32"/>
          <w:szCs w:val="32"/>
        </w:rPr>
        <w:t>国家矿山安全监察局关于印发《非煤矿山建设项目安全设施重大变更范围》的通知</w:t>
      </w:r>
      <w:r>
        <w:rPr>
          <w:rFonts w:hint="eastAsia" w:ascii="宋体" w:hAnsi="宋体" w:eastAsia="宋体"/>
          <w:b/>
          <w:sz w:val="32"/>
          <w:szCs w:val="32"/>
        </w:rPr>
        <w:fldChar w:fldCharType="end"/>
      </w:r>
    </w:p>
    <w:p w14:paraId="1CE78CBD">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14:paraId="628E1286">
      <w:pPr>
        <w:spacing w:before="105"/>
        <w:ind w:firstLine="420"/>
      </w:pPr>
      <w:r>
        <w:rPr>
          <w:rStyle w:val="44"/>
          <w:rFonts w:ascii="宋体" w:hAnsi="宋体" w:eastAsia="宋体"/>
        </w:rPr>
        <w:t>发文机关：</w:t>
      </w:r>
      <w:r>
        <w:rPr>
          <w:rStyle w:val="44"/>
          <w:b w:val="0"/>
        </w:rPr>
        <w:t xml:space="preserve">  </w:t>
      </w:r>
      <w:r>
        <w:rPr>
          <w:rFonts w:ascii="宋体" w:hAnsi="宋体" w:eastAsia="宋体"/>
        </w:rPr>
        <w:t>国家矿山安全监察局</w:t>
      </w:r>
    </w:p>
    <w:p w14:paraId="7045121C">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矿安〔2023〕147号</w:t>
      </w:r>
    </w:p>
    <w:p w14:paraId="200F1F66">
      <w:pPr>
        <w:spacing w:before="105"/>
        <w:ind w:firstLine="420"/>
      </w:pPr>
      <w:r>
        <w:rPr>
          <w:rStyle w:val="44"/>
          <w:rFonts w:ascii="宋体" w:hAnsi="宋体" w:eastAsia="宋体"/>
        </w:rPr>
        <w:t>发文日期：</w:t>
      </w:r>
      <w:r>
        <w:rPr>
          <w:rStyle w:val="44"/>
          <w:b w:val="0"/>
        </w:rPr>
        <w:t xml:space="preserve">  </w:t>
      </w:r>
      <w:r>
        <w:rPr>
          <w:rFonts w:ascii="宋体" w:hAnsi="宋体" w:eastAsia="宋体"/>
        </w:rPr>
        <w:t>2023年11月14日</w:t>
      </w:r>
    </w:p>
    <w:p w14:paraId="541BFF98">
      <w:pPr>
        <w:spacing w:before="105"/>
        <w:ind w:firstLine="420"/>
      </w:pPr>
      <w:r>
        <w:rPr>
          <w:rStyle w:val="44"/>
          <w:rFonts w:ascii="宋体" w:hAnsi="宋体" w:eastAsia="宋体"/>
        </w:rPr>
        <w:t>施行日期：</w:t>
      </w:r>
      <w:r>
        <w:rPr>
          <w:rStyle w:val="44"/>
          <w:b w:val="0"/>
        </w:rPr>
        <w:t xml:space="preserve">  </w:t>
      </w:r>
      <w:r>
        <w:rPr>
          <w:rFonts w:ascii="宋体" w:hAnsi="宋体" w:eastAsia="宋体"/>
        </w:rPr>
        <w:t>2023年11月14日</w:t>
      </w:r>
    </w:p>
    <w:p w14:paraId="0ACEE18E">
      <w:pPr>
        <w:spacing w:before="105"/>
        <w:ind w:firstLine="420"/>
      </w:pPr>
      <w:r>
        <w:rPr>
          <w:rStyle w:val="44"/>
          <w:rFonts w:ascii="宋体" w:hAnsi="宋体" w:eastAsia="宋体"/>
        </w:rPr>
        <w:t>效力级别：</w:t>
      </w:r>
      <w:r>
        <w:rPr>
          <w:rStyle w:val="44"/>
          <w:b w:val="0"/>
        </w:rPr>
        <w:t xml:space="preserve">  </w:t>
      </w:r>
      <w:r>
        <w:rPr>
          <w:rFonts w:ascii="宋体" w:hAnsi="宋体" w:eastAsia="宋体"/>
        </w:rPr>
        <w:t>部门规范性文件</w:t>
      </w:r>
    </w:p>
    <w:p w14:paraId="17D9BCF4">
      <w:pPr>
        <w:spacing w:before="211" w:beforeLines="50" w:after="211" w:afterLines="50"/>
        <w:rPr>
          <w:rFonts w:ascii="宋体" w:hAnsi="宋体" w:eastAsia="宋体"/>
          <w:color w:val="000000"/>
          <w:kern w:val="0"/>
          <w:sz w:val="28"/>
        </w:rPr>
      </w:pPr>
    </w:p>
    <w:p w14:paraId="08E1E112">
      <w:pPr>
        <w:spacing w:before="0" w:beforeLines="0" w:after="0" w:afterLines="0"/>
        <w:ind w:firstLine="420" w:firstLineChars="200"/>
      </w:pPr>
      <w:r>
        <w:rPr>
          <w:rFonts w:hint="default" w:ascii="宋体" w:hAnsi="宋体" w:eastAsia="宋体"/>
        </w:rPr>
        <w:t>各省、自治区、直辖市应急管理厅（局），新疆生产建设兵团应急管理局，有关中央企业：</w:t>
      </w:r>
    </w:p>
    <w:p w14:paraId="461971CA">
      <w:pPr>
        <w:spacing w:before="0" w:beforeLines="0" w:after="0" w:afterLines="0"/>
        <w:ind w:firstLine="420" w:firstLineChars="200"/>
      </w:pPr>
      <w:r>
        <w:rPr>
          <w:rFonts w:hint="default" w:ascii="宋体" w:hAnsi="宋体" w:eastAsia="宋体"/>
        </w:rPr>
        <w:t>为进一步加强非煤矿山建设项目安全设施设计源头管理，进一步规范安全设施重大变更后的设计审查工作，根据《建设项目安全设施“三同时”监督管理办法》（原国家安全监管总局令第36号）和《金属非金属矿山建设项目安全设施目录（试行）》（原国家安全监管总局令第75号），国家矿山安全监察局研究制定了《非煤矿山建设项目安全设施重大变更范围》，现印发给你们，请遵照执行。</w:t>
      </w:r>
    </w:p>
    <w:p w14:paraId="3A81E017">
      <w:pPr>
        <w:spacing w:before="0" w:beforeLines="0" w:after="0" w:afterLines="0"/>
        <w:ind w:firstLine="420" w:firstLineChars="200"/>
      </w:pPr>
      <w:r>
        <w:rPr>
          <w:rFonts w:hint="default" w:ascii="宋体" w:hAnsi="宋体" w:eastAsia="宋体"/>
        </w:rPr>
        <w:t>非煤矿山企业在建设、生产期间发生《非煤矿山建设项目安全设施重大变更范围》规定的重大变更，原则上应当由原设计单位进行非煤矿山建设项目安全设施重大变更设计，并报原审批部门审查同意；未经审查同意的，不得开工建设。非煤矿山企业应当对建设、生产期间的重大变更工程组织安全设施竣工验收。</w:t>
      </w:r>
    </w:p>
    <w:p w14:paraId="1E5C2387">
      <w:pPr>
        <w:spacing w:before="0" w:beforeLines="0" w:after="0" w:afterLines="0"/>
        <w:ind w:firstLine="420" w:firstLineChars="200"/>
      </w:pPr>
      <w:r>
        <w:rPr>
          <w:rFonts w:hint="default" w:ascii="宋体" w:hAnsi="宋体" w:eastAsia="宋体"/>
        </w:rPr>
        <w:t>原国家安全监管总局印发的《金属非金属矿山建设项目安全设施设计重大变更范围》（安监总管一〔2016〕18号）同时废止。</w:t>
      </w:r>
    </w:p>
    <w:p w14:paraId="594E501F">
      <w:pPr>
        <w:spacing w:before="0" w:beforeLines="0" w:after="0" w:afterLines="0"/>
        <w:ind w:firstLine="420"/>
        <w:jc w:val="right"/>
      </w:pPr>
      <w:r>
        <w:rPr>
          <w:rFonts w:hint="default" w:ascii="宋体" w:hAnsi="宋体" w:eastAsia="宋体"/>
        </w:rPr>
        <w:t>国家矿山安全监察局</w:t>
      </w:r>
    </w:p>
    <w:p w14:paraId="09A666B2">
      <w:pPr>
        <w:spacing w:before="0" w:beforeLines="0" w:after="0" w:afterLines="0"/>
        <w:ind w:firstLine="420"/>
        <w:jc w:val="right"/>
      </w:pPr>
      <w:r>
        <w:rPr>
          <w:rFonts w:hint="default" w:ascii="宋体" w:hAnsi="宋体" w:eastAsia="宋体"/>
        </w:rPr>
        <w:t>2023年11月14日</w:t>
      </w:r>
    </w:p>
    <w:p w14:paraId="4D78C8A1">
      <w:pPr>
        <w:spacing w:before="0" w:beforeLines="0" w:after="0" w:afterLines="0"/>
        <w:ind w:firstLine="420" w:firstLineChars="200"/>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B08D">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8974F">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65A1A4A3">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0535F3A2">
    <w:pPr>
      <w:pStyle w:val="12"/>
      <w:spacing w:before="120"/>
      <w:ind w:firstLine="360"/>
    </w:pPr>
  </w:p>
  <w:p w14:paraId="7D151C96">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BA87">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D8F08">
    <w:pPr>
      <w:pStyle w:val="13"/>
      <w:spacing w:before="120"/>
      <w:ind w:firstLine="0" w:firstLineChars="0"/>
    </w:pPr>
    <w:r>
      <w:rPr>
        <w:rFonts w:ascii="宋体" w:hAnsi="宋体" w:eastAsia="宋体"/>
      </w:rPr>
      <w:t>国家矿山安全监察局关于印发《非煤矿山建设项目安全设施重大变更范围》的通知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8493E">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2149">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61FE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spacing w:before="0"/>
      <w:ind w:left="1260"/>
    </w:pPr>
    <w:rPr>
      <w:rFonts w:asciiTheme="minorHAnsi" w:eastAsiaTheme="minorHAnsi"/>
      <w:sz w:val="18"/>
      <w:szCs w:val="18"/>
    </w:rPr>
  </w:style>
  <w:style w:type="paragraph" w:styleId="7">
    <w:name w:val="annotation text"/>
    <w:basedOn w:val="1"/>
    <w:link w:val="47"/>
    <w:unhideWhenUsed/>
    <w:qFormat/>
    <w:uiPriority w:val="99"/>
  </w:style>
  <w:style w:type="paragraph" w:styleId="8">
    <w:name w:val="toc 5"/>
    <w:basedOn w:val="1"/>
    <w:next w:val="1"/>
    <w:autoRedefine/>
    <w:unhideWhenUsed/>
    <w:qFormat/>
    <w:uiPriority w:val="39"/>
    <w:pPr>
      <w:spacing w:before="0"/>
      <w:ind w:left="840"/>
    </w:pPr>
    <w:rPr>
      <w:rFonts w:asciiTheme="minorHAnsi" w:eastAsiaTheme="minorHAnsi"/>
      <w:sz w:val="18"/>
      <w:szCs w:val="18"/>
    </w:rPr>
  </w:style>
  <w:style w:type="paragraph" w:styleId="9">
    <w:name w:val="toc 3"/>
    <w:basedOn w:val="1"/>
    <w:next w:val="1"/>
    <w:autoRedefine/>
    <w:unhideWhenUsed/>
    <w:qFormat/>
    <w:uiPriority w:val="39"/>
    <w:pPr>
      <w:spacing w:before="0"/>
      <w:ind w:left="420"/>
    </w:pPr>
    <w:rPr>
      <w:rFonts w:asciiTheme="minorHAnsi" w:eastAsiaTheme="minorHAnsi"/>
      <w:i/>
      <w:iCs/>
      <w:sz w:val="20"/>
      <w:szCs w:val="20"/>
    </w:rPr>
  </w:style>
  <w:style w:type="paragraph" w:styleId="10">
    <w:name w:val="toc 8"/>
    <w:basedOn w:val="1"/>
    <w:next w:val="1"/>
    <w:autoRedefine/>
    <w:unhideWhenUsed/>
    <w:qFormat/>
    <w:uiPriority w:val="39"/>
    <w:pPr>
      <w:spacing w:before="0"/>
      <w:ind w:left="1470"/>
    </w:pPr>
    <w:rPr>
      <w:rFonts w:asciiTheme="minorHAnsi" w:eastAsiaTheme="minorHAnsi"/>
      <w:sz w:val="18"/>
      <w:szCs w:val="18"/>
    </w:rPr>
  </w:style>
  <w:style w:type="paragraph" w:styleId="11">
    <w:name w:val="Balloon Text"/>
    <w:basedOn w:val="1"/>
    <w:link w:val="49"/>
    <w:semiHidden/>
    <w:unhideWhenUsed/>
    <w:qFormat/>
    <w:uiPriority w:val="99"/>
    <w:rPr>
      <w:rFonts w:ascii="Times New Roman" w:hAnsi="Times New Roman" w:cs="Times New Roman"/>
      <w:sz w:val="18"/>
      <w:szCs w:val="18"/>
    </w:rPr>
  </w:style>
  <w:style w:type="paragraph" w:styleId="12">
    <w:name w:val="footer"/>
    <w:basedOn w:val="1"/>
    <w:link w:val="31"/>
    <w:unhideWhenUsed/>
    <w:qFormat/>
    <w:uiPriority w:val="99"/>
    <w:pPr>
      <w:tabs>
        <w:tab w:val="center" w:pos="4153"/>
        <w:tab w:val="right" w:pos="8306"/>
      </w:tabs>
      <w:snapToGrid w:val="0"/>
    </w:pPr>
    <w:rPr>
      <w:sz w:val="18"/>
      <w:szCs w:val="18"/>
    </w:rPr>
  </w:style>
  <w:style w:type="paragraph" w:styleId="13">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qFormat/>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qFormat/>
    <w:uiPriority w:val="39"/>
    <w:pPr>
      <w:spacing w:before="0"/>
      <w:ind w:left="1050"/>
    </w:pPr>
    <w:rPr>
      <w:rFonts w:asciiTheme="minorHAnsi" w:eastAsiaTheme="minorHAnsi"/>
      <w:sz w:val="18"/>
      <w:szCs w:val="18"/>
    </w:rPr>
  </w:style>
  <w:style w:type="paragraph" w:styleId="18">
    <w:name w:val="toc 2"/>
    <w:basedOn w:val="1"/>
    <w:next w:val="1"/>
    <w:autoRedefine/>
    <w:unhideWhenUsed/>
    <w:qFormat/>
    <w:uiPriority w:val="39"/>
    <w:pPr>
      <w:spacing w:before="0" w:beforeLines="0"/>
    </w:pPr>
    <w:rPr>
      <w:rFonts w:asciiTheme="minorHAnsi" w:eastAsiaTheme="minorHAnsi"/>
      <w:smallCaps/>
      <w:szCs w:val="20"/>
    </w:rPr>
  </w:style>
  <w:style w:type="paragraph" w:styleId="19">
    <w:name w:val="toc 9"/>
    <w:basedOn w:val="1"/>
    <w:next w:val="1"/>
    <w:autoRedefine/>
    <w:unhideWhenUsed/>
    <w:qFormat/>
    <w:uiPriority w:val="39"/>
    <w:pPr>
      <w:spacing w:before="0"/>
      <w:ind w:left="1680"/>
    </w:pPr>
    <w:rPr>
      <w:rFonts w:asciiTheme="minorHAnsi" w:eastAsiaTheme="minorHAnsi"/>
      <w:sz w:val="18"/>
      <w:szCs w:val="18"/>
    </w:rPr>
  </w:style>
  <w:style w:type="paragraph" w:styleId="20">
    <w:name w:val="Normal (Web)"/>
    <w:basedOn w:val="1"/>
    <w:unhideWhenUsed/>
    <w:qFormat/>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qFormat/>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uiPriority w:val="99"/>
  </w:style>
  <w:style w:type="character" w:styleId="27">
    <w:name w:val="FollowedHyperlink"/>
    <w:basedOn w:val="25"/>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5"/>
    <w:unhideWhenUsed/>
    <w:uiPriority w:val="99"/>
    <w:rPr>
      <w:color w:val="0000FF"/>
      <w:u w:val="none"/>
    </w:rPr>
  </w:style>
  <w:style w:type="character" w:styleId="29">
    <w:name w:val="annotation reference"/>
    <w:basedOn w:val="25"/>
    <w:semiHidden/>
    <w:unhideWhenUsed/>
    <w:qFormat/>
    <w:uiPriority w:val="99"/>
    <w:rPr>
      <w:sz w:val="21"/>
      <w:szCs w:val="21"/>
    </w:rPr>
  </w:style>
  <w:style w:type="character" w:customStyle="1" w:styleId="30">
    <w:name w:val="页眉 字符"/>
    <w:basedOn w:val="25"/>
    <w:link w:val="13"/>
    <w:qFormat/>
    <w:uiPriority w:val="99"/>
    <w:rPr>
      <w:sz w:val="18"/>
      <w:szCs w:val="18"/>
    </w:rPr>
  </w:style>
  <w:style w:type="character" w:customStyle="1" w:styleId="31">
    <w:name w:val="页脚 字符"/>
    <w:basedOn w:val="25"/>
    <w:link w:val="12"/>
    <w:qFormat/>
    <w:uiPriority w:val="99"/>
    <w:rPr>
      <w:sz w:val="18"/>
      <w:szCs w:val="18"/>
    </w:rPr>
  </w:style>
  <w:style w:type="character" w:customStyle="1" w:styleId="32">
    <w:name w:val="标题 1 字符"/>
    <w:basedOn w:val="25"/>
    <w:link w:val="2"/>
    <w:qFormat/>
    <w:uiPriority w:val="9"/>
    <w:rPr>
      <w:rFonts w:ascii="等线" w:hAnsi="等线" w:eastAsia="宋体" w:cs="宋体"/>
      <w:b/>
      <w:bCs/>
      <w:kern w:val="36"/>
    </w:rPr>
  </w:style>
  <w:style w:type="paragraph" w:customStyle="1" w:styleId="33">
    <w:name w:val="doc-a"/>
    <w:basedOn w:val="1"/>
    <w:qFormat/>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qFormat/>
    <w:uiPriority w:val="99"/>
    <w:pPr>
      <w:spacing w:before="315" w:after="315" w:line="300" w:lineRule="exact"/>
    </w:pPr>
    <w:rPr>
      <w:rFonts w:ascii="微软雅黑" w:hAnsi="微软雅黑" w:eastAsia="微软雅黑"/>
    </w:rPr>
  </w:style>
  <w:style w:type="paragraph" w:customStyle="1" w:styleId="35">
    <w:name w:val="cntitle"/>
    <w:basedOn w:val="1"/>
    <w:semiHidden/>
    <w:qFormat/>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qFormat/>
    <w:uiPriority w:val="0"/>
    <w:pPr>
      <w:jc w:val="right"/>
    </w:pPr>
  </w:style>
  <w:style w:type="paragraph" w:customStyle="1" w:styleId="39">
    <w:name w:val="promulgatesignatory"/>
    <w:basedOn w:val="1"/>
    <w:qFormat/>
    <w:uiPriority w:val="0"/>
    <w:pPr>
      <w:jc w:val="right"/>
    </w:pPr>
  </w:style>
  <w:style w:type="paragraph" w:customStyle="1" w:styleId="40">
    <w:name w:val="标题1"/>
    <w:basedOn w:val="1"/>
    <w:semiHidden/>
    <w:qFormat/>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qFormat/>
    <w:uiPriority w:val="99"/>
    <w:pPr>
      <w:spacing w:before="100" w:beforeAutospacing="1" w:after="100" w:afterAutospacing="1"/>
    </w:pPr>
  </w:style>
  <w:style w:type="character" w:customStyle="1" w:styleId="42">
    <w:name w:val="chaptertitle"/>
    <w:basedOn w:val="25"/>
    <w:qFormat/>
    <w:uiPriority w:val="0"/>
    <w:rPr>
      <w:rFonts w:hint="eastAsia" w:ascii="微软雅黑" w:hAnsi="微软雅黑" w:eastAsia="微软雅黑"/>
      <w:b/>
      <w:bCs/>
      <w:sz w:val="21"/>
      <w:szCs w:val="21"/>
    </w:rPr>
  </w:style>
  <w:style w:type="character" w:customStyle="1" w:styleId="43">
    <w:name w:val="metaname1"/>
    <w:basedOn w:val="25"/>
    <w:qFormat/>
    <w:uiPriority w:val="0"/>
    <w:rPr>
      <w:rFonts w:hint="eastAsia" w:ascii="微软雅黑" w:hAnsi="微软雅黑" w:eastAsia="微软雅黑"/>
      <w:b/>
      <w:bCs/>
      <w:sz w:val="21"/>
      <w:szCs w:val="21"/>
    </w:rPr>
  </w:style>
  <w:style w:type="character" w:customStyle="1" w:styleId="44">
    <w:name w:val="sect2title1"/>
    <w:basedOn w:val="25"/>
    <w:qFormat/>
    <w:uiPriority w:val="0"/>
    <w:rPr>
      <w:rFonts w:hint="eastAsia" w:ascii="微软雅黑" w:hAnsi="微软雅黑" w:eastAsia="微软雅黑"/>
      <w:b/>
      <w:bCs/>
      <w:sz w:val="21"/>
      <w:szCs w:val="21"/>
    </w:rPr>
  </w:style>
  <w:style w:type="character" w:customStyle="1" w:styleId="45">
    <w:name w:val="title1"/>
    <w:basedOn w:val="25"/>
    <w:qFormat/>
    <w:uiPriority w:val="0"/>
    <w:rPr>
      <w:rFonts w:hint="eastAsia" w:ascii="微软雅黑" w:hAnsi="微软雅黑" w:eastAsia="微软雅黑"/>
      <w:sz w:val="21"/>
      <w:szCs w:val="21"/>
    </w:rPr>
  </w:style>
  <w:style w:type="character" w:customStyle="1" w:styleId="46">
    <w:name w:val="sect1title1"/>
    <w:basedOn w:val="25"/>
    <w:qFormat/>
    <w:uiPriority w:val="0"/>
    <w:rPr>
      <w:rFonts w:hint="eastAsia" w:ascii="微软雅黑" w:hAnsi="微软雅黑" w:eastAsia="微软雅黑"/>
      <w:b/>
      <w:bCs/>
      <w:sz w:val="21"/>
      <w:szCs w:val="21"/>
    </w:rPr>
  </w:style>
  <w:style w:type="character" w:customStyle="1" w:styleId="47">
    <w:name w:val="批注文字 字符"/>
    <w:basedOn w:val="25"/>
    <w:link w:val="7"/>
    <w:qFormat/>
    <w:uiPriority w:val="99"/>
    <w:rPr>
      <w:rFonts w:ascii="宋体" w:hAnsi="宋体" w:eastAsia="宋体" w:cs="宋体"/>
      <w:kern w:val="0"/>
    </w:rPr>
  </w:style>
  <w:style w:type="character" w:customStyle="1" w:styleId="48">
    <w:name w:val="批注主题 字符"/>
    <w:basedOn w:val="47"/>
    <w:link w:val="22"/>
    <w:semiHidden/>
    <w:qFormat/>
    <w:uiPriority w:val="99"/>
    <w:rPr>
      <w:rFonts w:ascii="宋体" w:hAnsi="宋体" w:eastAsia="宋体" w:cs="宋体"/>
      <w:b/>
      <w:bCs/>
      <w:kern w:val="0"/>
    </w:rPr>
  </w:style>
  <w:style w:type="character" w:customStyle="1" w:styleId="49">
    <w:name w:val="批注框文本 字符"/>
    <w:basedOn w:val="25"/>
    <w:link w:val="11"/>
    <w:semiHidden/>
    <w:qFormat/>
    <w:uiPriority w:val="99"/>
    <w:rPr>
      <w:rFonts w:ascii="Times New Roman" w:hAnsi="Times New Roman" w:eastAsia="宋体" w:cs="Times New Roman"/>
      <w:kern w:val="0"/>
      <w:sz w:val="18"/>
      <w:szCs w:val="18"/>
    </w:rPr>
  </w:style>
  <w:style w:type="character" w:customStyle="1" w:styleId="50">
    <w:name w:val="标题 3 字符"/>
    <w:basedOn w:val="25"/>
    <w:link w:val="4"/>
    <w:qFormat/>
    <w:uiPriority w:val="9"/>
    <w:rPr>
      <w:rFonts w:ascii="等线" w:hAnsi="等线" w:eastAsia="等线" w:cs="宋体"/>
      <w:b/>
      <w:bCs/>
      <w:kern w:val="0"/>
      <w:szCs w:val="32"/>
    </w:rPr>
  </w:style>
  <w:style w:type="character" w:customStyle="1" w:styleId="51">
    <w:name w:val="标题 2 字符"/>
    <w:basedOn w:val="25"/>
    <w:link w:val="3"/>
    <w:qFormat/>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qFormat/>
    <w:uiPriority w:val="99"/>
    <w:rPr>
      <w:rFonts w:ascii="宋体" w:hAnsi="宋体" w:eastAsia="宋体" w:cs="宋体"/>
      <w:kern w:val="0"/>
      <w:sz w:val="24"/>
      <w:szCs w:val="24"/>
      <w:lang w:val="en-US" w:eastAsia="zh-CN" w:bidi="ar-SA"/>
    </w:rPr>
  </w:style>
  <w:style w:type="character" w:customStyle="1" w:styleId="55">
    <w:name w:val="标题 字符"/>
    <w:basedOn w:val="25"/>
    <w:link w:val="21"/>
    <w:qFormat/>
    <w:uiPriority w:val="10"/>
    <w:rPr>
      <w:rFonts w:eastAsia="Songti SC" w:asciiTheme="majorHAnsi" w:hAnsiTheme="majorHAnsi" w:cstheme="majorBidi"/>
      <w:b/>
      <w:bCs/>
      <w:kern w:val="0"/>
      <w:sz w:val="32"/>
      <w:szCs w:val="32"/>
    </w:rPr>
  </w:style>
  <w:style w:type="character" w:customStyle="1" w:styleId="56">
    <w:name w:val="副标题 字符"/>
    <w:basedOn w:val="25"/>
    <w:link w:val="16"/>
    <w:qFormat/>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540</Words>
  <Characters>569</Characters>
  <Lines>5</Lines>
  <Paragraphs>1</Paragraphs>
  <TotalTime>503</TotalTime>
  <ScaleCrop>false</ScaleCrop>
  <LinksUpToDate>false</LinksUpToDate>
  <CharactersWithSpaces>587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微信用户</dc:creator>
  <cp:lastModifiedBy>微信用户</cp:lastModifiedBy>
  <cp:lastPrinted>2018-09-08T01:56:00Z</cp:lastPrinted>
  <dcterms:modified xsi:type="dcterms:W3CDTF">2025-09-24T04:41:45Z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eyJoZGlkIjoiYTc2ZGZiNzZiNDVlOGViOWVmM2JhOTY0NGJkNjUyYzgiLCJ1c2VySWQiOiIxMjc5Mzg0MjMxIn0=</vt:lpwstr>
  </property>
  <property fmtid="{D5CDD505-2E9C-101B-9397-08002B2CF9AE}" pid="3" name="KSOProductBuildVer">
    <vt:lpwstr>2052-12.1.0.22529</vt:lpwstr>
  </property>
  <property fmtid="{D5CDD505-2E9C-101B-9397-08002B2CF9AE}" pid="4" name="ICV">
    <vt:lpwstr>2BE5CAB099E543378ED428918F1E1348_12</vt:lpwstr>
  </property>
</Properties>
</file>