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国家安全监管总局关于印发淘汰落后安全技术工艺、设备目录（2016年）的通知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安监总科技〔2016〕137号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2016年12月16日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2016年12月16日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各省、自治区、直辖市及新疆生产建设兵团安全生产监督管理局，各省级煤矿安全监察局，有关中央企业：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提升企业安全生产基础保障水平，增强防范和遏制重特大事故能力，根据《安全生产法》和《国家安全监管总局办公厅关于印发淘汰落后与推广先进安全技术装备目录管理办法的通知》（安监总厅科技〔2015〕43号），现将《淘汰落后安全技术工艺、设备目录（2016年）》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2016年12月16日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附件：淘汰落后安全技术工艺、设备目录（2016年）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附件信息 1、附件：淘汰落后安全技术工艺、设备目录（2016年）.doc</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国家安全监管总局关于印发淘汰落后安全技术工艺、设备目录（2016年）的通知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537dc36a62c1e473dc0db20e23331c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