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非煤矿山外包工程安全管理暂行办法（2015修正）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国家安全生产监督管理总局令第78号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（2013年8月23日国家安全生产监督管理总局令第62号公布，自2013年10月1日起施行；根据2015年5月26日国家安全生产监督管理总局令第78号修正）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非煤矿山外包工程的安全管理和监督,明确安全生产责任，防止和减少生产安全事故（以下简称事故），依据《中华人民共和国安全生产法》、《中华人民共和国矿山安全法》和其他有关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在依法批准的矿区范围内，以外包工程的方式从事金属非金属矿山的勘探、建设、生产、闭坑等工程施工作业活动，以及石油天然气的勘探、开发、储运等工程与技术服务活动的安全管理和监督，适用本办法。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从事非煤矿山各类房屋建筑及其附属设施的建造和安装，以及露天采矿场矿区范围以外地面交通建设的外包工程的安全管理和监督，不适用本办法。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非煤矿山外包工程（以下简称外包工程）的安全生产，由发包单位负主体责任，承包单位对其施工现场的安全生产负责。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外包工程有多个承包单位的，发包单位应当对多个承包单位的安全生产工作实施统一协调、管理，定期进行安全检查，发现安全问题的，应当及时督促整改。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承担外包工程的勘察单位、设计单位、监理单位、技术服务机构及其他有关单位应当依照法律、法规、规章和国家标准、行业标准的规定，履行各自的安全生产职责，承担相应的安全生产责任。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非煤矿山企业应当建立外包工程安全生产的激励和约束机制，提升非煤矿山外包工程安全生产管理水平。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发包单位的安全生产职责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发包单位应当依法设置安全生产管理机构或者配备专职安全生产管理人员，对外包工程的安全生产实施管理和监督。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发包单位不得擅自压缩外包工程合同约定的工期，不得违章指挥或者强令承包单位及其从业人员冒险作业。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发包单位应当依法取得非煤矿山安全生产许可证。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发包单位应当审查承包单位的非煤矿山安全生产许可证和相应资质，不得将外包工程发包给不具备安全生产许可证和相应资质的承包单位。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的项目部承担施工作业的，发包单位除审查承包单位的安全生产许可证和相应资质外，还应当审查项目部的安全生产管理机构、规章制度和操作规程、工程技术人员、主要设备设施、安全教育培训和负责人、安全生产管理人员、特种作业人员持证上岗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承担施工作业的项目部不符合本办法第二十一条规定的安全生产条件的，发包单位不得向该承包单位发包工程。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发包单位应当与承包单位签订安全生产管理协议，明确各自的安全生产管理职责。安全生产管理协议应当包括下列内容：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（一）安全投入保障；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（二）安全设施和施工条件；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（三）隐患排查与治理；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（四）安全教育与培训；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（五）事故应急救援；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（六）安全检查与考评；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（七）违约责任。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安全生产管理协议的文本格式由国家安全生产监督管理总局另行制定。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发包单位是外包工程安全投入的责任主体，应当按照国家有关规定和合同约定及时、足额向承包单位提供保障施工作业安全所需的资金，明确安全投入项目和金额，并监督承包单位落实到位。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对合同约定以外发生的隐患排查治理和地下矿山通风、支护、防治水等所需的费用，发包单位应当提供合同价款以外的资金，保障安全生产需要。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石油天然气总发包单位、分项发包单位以及金属非金属矿山总发包单位，应当每半年对其承包单位的施工资质、安全生产管理机构、规章制度和操作规程、施工现场安全管理和履行本办法第二十七条规定的信息报告义务等情况进行一次检查；发现承包单位存在安全生产问题的，应当督促其立即整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金属非金属矿山分项发包单位，应当将承包单位及其项目部纳入本单位的安全管理体系，实行统一管理，重点加强对地下矿山领导带班下井、地下矿山从业人员出入井统计、特种作业人员、民用爆炸物品、隐患排查与治理、职业病防护等管理，并对外包工程的作业现场实施全过程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金属非金属矿山总发包单位对地下矿山一个生产系统进行分项发包的，承包单位原则上不得超过3家，避免相互影响生产、作业安全。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前款规定的发包单位在地下矿山正常生产期间，不得将主通风、主提升、供排水、供配电、主供风系统及其设备设施的运行管理进行分项发包。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发包单位应当向承包单位进行外包工程的技术交底，按照合同约定向承包单位提供与外包工程安全生产相关的勘察、设计、风险评价、检测检验和应急救援等资料，并保证资料的真实性、完整性和有效性。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发包单位应当建立健全外包工程安全生产考核机制，对承包单位每年至少进行一次安全生产考核。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发包单位应当按照国家有关规定建立应急救援组织，编制本单位事故应急预案，并定期组织演练。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包工程实行总发包的，发包单位应当督促总承包单位统一组织编制外包工程事故应急预案；实行分项发包的，发包单位应当将承包单位编制的外包工程现场应急处置方案纳入本单位应急预案体系，并定期组织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发包单位在接到外包工程事故报告后，应当立即启动相关事故应急预案，或者采取有效措施，组织抢救，防止事故扩大，并依照《生产安全事故报告和调查处理条例》的规定，立即如实地向事故发生地县级以上人民政府安全生产监督管理部门和负有安全生产监督管理职责的有关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外包工程发生事故的，其事故数据纳入发包单位的统计范围。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发包单位和承包单位应当根据事故调查报告及其批复承担相应的事故责任。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承包单位的安全生产职责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承包单位应当依照有关法律、法规、规章和国家标准、行业标准的规定，以及承包合同和安全生产管理协议的约定，组织施工作业，确保安全生产。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承包单位有权拒绝发包单位的违章指挥和强令冒险作业。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外包工程实行总承包的，总承包单位对施工现场的安全生产负总责；分项承包单位按照分包合同的约定对总承包单位负责。总承包单位和分项承包单位对分包工程的安全生产承担连带责任。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总承包单位依法将外包工程分包给其他单位的，其外包工程的主体部分应当由总承包单位自行完成。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禁止承包单位转包其承揽的外包工程。禁止分项承包单位将其承揽的外包工程再次分包。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承包单位应当依法取得非煤矿山安全生产许可证和相应等级的施工资质，并在其资质范围内承包工程。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承包金属非金属矿山建设和闭坑工程的资质等级，应当符合《建筑业企业资质等级标准》的规定。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承包金属非金属矿山生产、作业工程的资质等级，应当符合下列要求：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(一)总承包大型地下矿山工程和深凹露天、高陡边坡及地质条件复杂的大型露天矿山工程的，具备矿山工程施工总承包二级以上（含本级，下同）施工资质；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(二)总承包中型、小型地下矿山工程的，具备矿山工程施工总承包三级以上施工资质；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(三)总承包其他露天矿山工程和分项承包金属非金属矿山工程的，具备矿山工程施工总承包或者相关的专业承包资质，具体规定由省级人民政府安全生产监督管理部门制定。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承包尾矿库外包工程的资质，应当符合《尾矿库安全监督管理规定》。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承包金属非金属矿山地质勘探工程的资质等级，应当符合《金属与非金属矿产资源地质勘探安全生产监督管理暂行规定》。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承包石油天然气勘探、开发工程的资质等级，由国家安全生产监督管理总局或者国务院有关部门按照各自的管理权限确定。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承包单位应当加强对所属项目部的安全管理，每半年至少进行一次安全生产检查，对项目部人员每年至少进行一次安全生产教育培训与考核。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禁止承包单位以转让、出租、出借资质证书等方式允许他人以本单位的名义承揽工程。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承包单位及其项目部应当根据承揽工程的规模和特点，依法健全安全生产责任体系，完善安全生产管理基本制度，设置安全生产管理机构，配备专职安全生产管理人员和有关工程技术人员。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地下矿山工程的项目部应当配备与工程施工作业相适应的专职工程技术人员，其中至少有1名注册安全工程师或者具有5年以上井下工作经验的安全生产管理人员。项目部具备初中以上文化程度的从业人员比例应当不低于50%。</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项目部负责人应当取得安全生产管理人员安全资格证。承包地下矿山工程的项目部负责人不得同时兼任其他工程的项目部负责人。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承包单位应当依照法律、法规、规章的规定以及承包合同和安全生产管理协议的约定，及时将发包单位投入的安全资金落实到位，不得挪作他用。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承包单位应当依照有关规定制定施工方案，加强现场作业安全管理，及时发现并消除事故隐患，落实各项规章制度和安全操作规程。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承包单位发现事故隐患后应当立即治理；不能立即治理的应当采取必要的防范措施，并及时书面报告发包单位协商解决，消除事故隐患。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地下矿山工程承包单位及其项目部的主要负责人和领导班子其他成员应当严格依照《金属非金属地下矿山企业领导带班下井及监督检查暂行规定》执行带班下井制度。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承包单位应当接受发包单位组织的安全生产培训与指导，加强对本单位从业人员的安全生产教育和培训，保证从业人员掌握必需的安全生产知识和操作技能。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外包工程实行总承包的，总承包单位应当统一组织编制外包工程应急预案。总承包单位和分项承包单位应当按照国家有关规定和应急预案的要求，分别建立应急救援组织或者指定应急救援人员，配备救援设备设施和器材，并定期组织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外包工程实行分项承包的，分项承包单位应当根据建设工程施工的特点、范围以及施工现场容易发生事故的部位和环节，编制现场应急处置方案，并配合发包单位定期进行演练。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外包工程发生事故后，事故现场有关人员应当立即向承包单位及项目部负责人报告。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承包单位及项目部负责人接到事故报告后，应当立即如实地向发包单位报告，并启动相应的应急预案，采取有效措施，组织抢救，防止事故扩大。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承包单位在登记注册地以外的省、自治区、直辖市从事施工作业的，应当向作业所在地的县级人民政府安全生产监督管理部门书面报告外包工程概况和本单位资质等级、主要负责人、安全生产管理人员、特种作业人员、主要安全设施设备等情况，并接受其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承包单位发生较大以上责任事故或者一年内发生三起以上一般事故的，事故发生地的省级人民政府安全生产监督管理部门应当向承包单位登记注册地的省级人民政府安全生产监督管理部门通报。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发生重大以上事故的，事故发生地省级人民政府安全生产监督管理部门应当邀请承包单位的安全生产许可证颁发机关参加事故调查处理工作。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安全生产监督管理部门应当加强对外包工程的安全生产监督检查，重点检查下列事项：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（一）发包单位非煤矿山安全生产许可证、安全生产管理协议、安全投入等情况；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（二）承包单位的施工资质、应当依法取得的非煤矿山安全生产许可证、安全投入落实、承包单位及其项目部的安全生产管理机构、技术力量配备、相关人员的安全资格和持证等情况；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（三）违法发包、转包、分项发包等行为。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安全生产监督管理部门应当建立外包工程安全生产信息平台，将承包单位取得有关许可、施工资质和承揽工程、发生事故等情况载入承包单位安全生产业绩档案，实施安全生产信誉评定和公告制度。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外包工程发生事故的，事故数据应当纳入事故发生地的统计范围。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发包单位违反本办法第六条的规定，违章指挥或者强令承包单位及其从业人员冒险作业的，责令改正，处2万元以上3万元以下的罚款；造成损失的，依法承担赔偿责任。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发包单位与承包单位、总承包单位与分项承包单位未依照本办法第八条规定签订安全生产管理协议的，责令限期改正，可以处5万元以下的罚款，对其直接负责的主管人员和其他直接责任人员可以处以1万元以下罚款；逾期未改正的，责令停产停业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有关发包单位有下列行为之一的，责令限期改正，给予警告，并处1万元以上3万元以下的罚款：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（一）违反本办法第十条、第十四条的规定，未对承包单位实施安全生产监督检查或者考核的；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（二）违反本办法第十一条的规定，未将承包单位及其项目部纳入本单位的安全管理体系，实行统一管理的；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（三）违反本办法第十三条的规定，未向承包单位进行外包工程技术交底，或者未按照合同约定向承包单位提供有关资料的。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对地下矿山实行分项发包的发包单位违反本办法第十二条的规定，在地下矿山正常生产期间，将主通风、主提升、供排水、供配电、主供风系统及其设备设施的运行管理进行分项发包的，责令限期改正，处2万元以上3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承包地下矿山工程的项目部负责人违反本办法第二十一条的规定，同时兼任其他工程的项目部负责人的，责令限期改正，处5000元以上1万元以下罚款。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承包单位违反本办法第二十二条的规定，将发包单位投入的安全资金挪作他用的，责令限期改正，给予警告，并处1万元以上3万元以下罚款。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未按照本办法第二十三条的规定排查治理事故隐患的，责令立即消除或者限期消除；承包单位拒不执行的，责令停产停业整顿，并处10万元以上50万元以下的罚款，对其直接负责的主管人员和其他直接责任人员处2万元以上5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承包单位违反本办法第二十条规定对项目部疏于管理，未定期对项目部人员进行安全生产教育培训与考核或者未对项目部进行安全生产检查的，责令限期改正，可以处5万元以下的罚款；逾期未改正的，责令停产停业整顿，并处5万元以上10万元以下的罚款，对其直接负责的主管人员和其他直接责任人员处1万元以上2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承包单位允许他人以本单位的名义承揽工程的，移送有关部门依法处理。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承包单位违反本办法第二十七条的规定，在登记注册的省、自治区、直辖市以外从事施工作业，未向作业所在地县级人民政府安全生产监督管理部门书面报告本单位取得有关许可和施工资质，以及所承包工程情况的，责令限期改正，处1万元以上3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安全生产监督管理部门的行政执法人员在外包工程安全监督管理过程中滥用职权、玩忽职守、徇私舞弊的，依照有关规定给予处分；构成犯罪的，依法追究刑事责任。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本办法规定的行政处罚，由县级人民政府以上安全生产监督管理部门实施。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有关法律、行政法规、规章对非煤矿山外包工程安全生产违法行为的行政处罚另有规定的，依照其规定。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本办法下列用语的含义：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(一)非煤矿山，是指金属矿、非金属矿、水气矿和除煤矿以外的能源矿，以及石油天然气管道储运(不含成品油管道)及其附属设施的总称；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(二)金属非金属矿山，是指金属矿、非金属矿、水气矿和除煤矿、石油天然气以外的能源矿，以及选矿厂、尾矿库、排土场等矿山附属设施的总称；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(三)外包工程，是指发包单位与本单位以外的承包单位签订合同，由承包单位承揽与矿产资源开采活动有关的工程、作业活动或者技术服务项目；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(四)发包单位，是指将矿产资源开采活动有关的工程、作业活动或者技术服务项目，发包给外单位施工的非煤矿山企业；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(五)分项发包，是指发包单位将矿产资源开采活动有关的工程、作业活动或者技术服务项目，分为若干部分发包给若干承包单位进行施工的行为；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(六)总承包单位，是指整体承揽矿产资源开采活动或者独立生产系统的所有工程、作业活动或者技术服务项目的承包单位；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(七)承包单位，是指承揽矿产资源开采活动有关的工程、作业活动或者技术服务项目的单位；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(八)项目部，是指承包单位在承揽工程所在地设立的，负责其所承揽工程施工的管理机构；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(九)生产期间，是指新建矿山正式投入生产后或者矿山改建、扩建时仍然进行生产，并规模出产矿产品的时期。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省、自治区、直辖市人民政府安全生产监督管理部门可以根据本办法制定实施细则，并报国家安全生产监督管理总局备案。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本办法自2013年10月1日起施行。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非煤矿山外包工程安全管理暂行办法（2015修正）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002043a6bbbd065d509355ccac97f1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