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"https://alphalawyer.cn/ilawregu-search/api/v1/lawregu/redict/aa394e51dbff849f6fca0434c1465d0a" </w:instrText>
      </w:r>
      <w:r>
        <w:fldChar w:fldCharType="separate"/>
      </w:r>
      <w:r>
        <w:rPr>
          <w:rFonts w:hint="eastAsia" w:ascii="宋体" w:hAnsi="宋体" w:eastAsia="宋体"/>
          <w:b/>
          <w:sz w:val="32"/>
          <w:szCs w:val="32"/>
        </w:rPr>
        <w:t>国家矿山安全监察局关于印发《金属非金属矿山重大事故隐患判定标准》的通知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国家矿山安全监察局</w:t>
      </w:r>
    </w:p>
    <w:p w14:paraId="7045121C">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矿安〔2022〕88号</w:t>
      </w:r>
    </w:p>
    <w:p w14:paraId="36470C1E">
      <w:pPr>
        <w:spacing w:before="105"/>
        <w:ind w:firstLine="420"/>
      </w:pPr>
      <w:r>
        <w:rPr>
          <w:rStyle w:val="44"/>
          <w:rFonts w:ascii="宋体" w:hAnsi="宋体" w:eastAsia="宋体"/>
        </w:rPr>
        <w:t>发文日期：</w:t>
      </w:r>
      <w:r>
        <w:rPr>
          <w:rStyle w:val="44"/>
          <w:b w:val="0"/>
        </w:rPr>
        <w:t xml:space="preserve">  </w:t>
      </w:r>
      <w:r>
        <w:rPr>
          <w:rFonts w:ascii="宋体" w:hAnsi="宋体" w:eastAsia="宋体"/>
        </w:rPr>
        <w:t>2022年07月08日</w:t>
      </w:r>
    </w:p>
    <w:p w14:paraId="02D282D1">
      <w:pPr>
        <w:spacing w:before="105"/>
        <w:ind w:firstLine="420"/>
      </w:pPr>
      <w:r>
        <w:rPr>
          <w:rStyle w:val="44"/>
          <w:rFonts w:ascii="宋体" w:hAnsi="宋体" w:eastAsia="宋体"/>
        </w:rPr>
        <w:t>施行日期：</w:t>
      </w:r>
      <w:r>
        <w:rPr>
          <w:rStyle w:val="44"/>
          <w:b w:val="0"/>
        </w:rPr>
        <w:t xml:space="preserve">  </w:t>
      </w:r>
      <w:r>
        <w:rPr>
          <w:rFonts w:ascii="宋体" w:hAnsi="宋体" w:eastAsia="宋体"/>
        </w:rPr>
        <w:t>2022年09月01日</w:t>
      </w:r>
    </w:p>
    <w:p w14:paraId="0997FA91">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各省、自治区、直辖市应急管理厅（局），新疆生产建设兵团应急管理局，国家矿山安全监察局各省级局，有关中央企业:</w:t>
      </w:r>
    </w:p>
    <w:p w14:paraId="1BC06874">
      <w:pPr>
        <w:spacing w:before="0" w:beforeLines="0" w:after="0" w:afterLines="0"/>
        <w:ind w:firstLine="420" w:firstLineChars="200"/>
      </w:pPr>
      <w:r>
        <w:rPr>
          <w:rFonts w:hint="default" w:ascii="宋体" w:hAnsi="宋体" w:eastAsia="宋体"/>
        </w:rPr>
        <w:t>《金属非金属矿山重大事故隐患判定标准》已经国家矿山安全监察局2022年第14次局务会议审议通过，现印发给你们，请遵照执行。</w:t>
      </w:r>
    </w:p>
    <w:p w14:paraId="57159286">
      <w:pPr>
        <w:spacing w:before="0" w:beforeLines="0" w:after="0" w:afterLines="0"/>
        <w:ind w:firstLine="420" w:firstLineChars="200"/>
      </w:pPr>
      <w:r>
        <w:rPr>
          <w:rFonts w:hint="default" w:ascii="宋体" w:hAnsi="宋体" w:eastAsia="宋体"/>
        </w:rPr>
        <w:t>本规定自2022年9月1日起施行。经应急管理部同意，原国家安全监管总局印发的《金属非金属矿山重大生产安全事故隐患判定标准（试行）》（安监总管一〔2017〕98号）同时废止。</w:t>
      </w:r>
    </w:p>
    <w:p w14:paraId="4AAD4974">
      <w:pPr>
        <w:spacing w:before="0" w:beforeLines="0" w:after="0" w:afterLines="0"/>
        <w:ind w:firstLine="420" w:firstLineChars="200"/>
      </w:pPr>
      <w:r>
        <w:rPr>
          <w:rFonts w:hint="default" w:ascii="宋体" w:hAnsi="宋体" w:eastAsia="宋体"/>
        </w:rPr>
        <w:t>国家矿山安全监察局</w:t>
      </w:r>
    </w:p>
    <w:p w14:paraId="5DB96321">
      <w:pPr>
        <w:spacing w:before="0" w:beforeLines="0" w:after="0" w:afterLines="0"/>
        <w:ind w:firstLine="420" w:firstLineChars="200"/>
      </w:pPr>
      <w:r>
        <w:rPr>
          <w:rFonts w:hint="default" w:ascii="宋体" w:hAnsi="宋体" w:eastAsia="宋体"/>
        </w:rPr>
        <w:t>2022年7月8日</w:t>
      </w:r>
    </w:p>
    <w:p w14:paraId="3BF2DDDB">
      <w:pPr>
        <w:spacing w:before="0" w:beforeLines="0" w:after="0" w:afterLines="0"/>
        <w:ind w:firstLine="420" w:firstLineChars="200"/>
      </w:pPr>
      <w:r>
        <w:rPr>
          <w:rFonts w:hint="default" w:ascii="宋体" w:hAnsi="宋体" w:eastAsia="宋体"/>
        </w:rPr>
        <w:t>附件：</w:t>
      </w:r>
    </w:p>
    <w:p w14:paraId="42B453C6">
      <w:pPr>
        <w:spacing w:before="0" w:beforeLines="0" w:after="0" w:afterLines="0"/>
        <w:ind w:firstLine="420" w:firstLineChars="200"/>
      </w:pPr>
      <w:r>
        <w:rPr>
          <w:rFonts w:hint="default" w:ascii="宋体" w:hAnsi="宋体" w:eastAsia="宋体"/>
        </w:rPr>
        <w:t>金属非金属矿山重大事故隐患判定标准</w:t>
      </w:r>
    </w:p>
    <w:p w14:paraId="32BA5B70">
      <w:pPr>
        <w:spacing w:before="0" w:beforeLines="0" w:after="0" w:afterLines="0"/>
        <w:ind w:firstLine="420" w:firstLineChars="200"/>
      </w:pPr>
      <w:r>
        <w:rPr>
          <w:rFonts w:hint="default" w:ascii="宋体" w:hAnsi="宋体" w:eastAsia="宋体"/>
        </w:rPr>
        <w:t>一、金属非金属地下矿山重大事故隐患</w:t>
      </w:r>
    </w:p>
    <w:p w14:paraId="7BD1903C">
      <w:pPr>
        <w:spacing w:before="0" w:beforeLines="0" w:after="0" w:afterLines="0"/>
        <w:ind w:firstLine="420" w:firstLineChars="200"/>
      </w:pPr>
      <w:r>
        <w:rPr>
          <w:rFonts w:hint="default" w:ascii="宋体" w:hAnsi="宋体" w:eastAsia="宋体"/>
        </w:rPr>
        <w:t>（一）安全出口存在下列情形之一的：</w:t>
      </w:r>
    </w:p>
    <w:p w14:paraId="3085933E">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矿井直达地面的独立安全出口少于2个，或者与设计不一致；</w:t>
      </w:r>
    </w:p>
    <w:p w14:paraId="286C61BF">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矿井只有两个独立直达地面的安全出口且安全出口的间距小于30米，或者矿体一翼走向长度超过1000米且未在此翼设置安全出口；</w:t>
      </w:r>
    </w:p>
    <w:p w14:paraId="2FDE966B">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矿井的全部安全出口均为竖井且竖井内均未设置梯子间，或者作为主要安全出口的罐笼提升井只有1套提升系统且未设梯子间；</w:t>
      </w:r>
    </w:p>
    <w:p w14:paraId="2719F2D3">
      <w:pPr>
        <w:spacing w:before="0" w:beforeLines="0" w:after="0" w:afterLines="0"/>
        <w:ind w:firstLine="422" w:firstLineChars="200"/>
        <w:rPr>
          <w:rFonts w:ascii="宋体" w:hAnsi="宋体" w:eastAsia="宋体"/>
          <w:b w:val="0"/>
          <w:sz w:val="21"/>
          <w:szCs w:val="21"/>
        </w:rPr>
      </w:pPr>
      <w:r>
        <w:rPr>
          <w:rStyle w:val="44"/>
          <w:rFonts w:ascii="宋体" w:hAnsi="宋体" w:eastAsia="宋体"/>
        </w:rPr>
        <w:t>4.</w:t>
      </w:r>
      <w:r>
        <w:rPr>
          <w:rStyle w:val="44"/>
          <w:rFonts w:ascii="宋体" w:hAnsi="宋体" w:eastAsia="宋体"/>
          <w:b w:val="0"/>
        </w:rPr>
        <w:t>　</w:t>
      </w:r>
      <w:r>
        <w:rPr>
          <w:rFonts w:hint="default" w:ascii="宋体" w:hAnsi="宋体" w:eastAsia="宋体"/>
        </w:rPr>
        <w:t>主要生产中段（水平）、单个采区、盘区或者矿块的安全出口少于2个，或者未与通往地面的安全出口相通；</w:t>
      </w:r>
    </w:p>
    <w:p w14:paraId="2F3243EC">
      <w:pPr>
        <w:spacing w:before="0" w:beforeLines="0" w:after="0" w:afterLines="0"/>
        <w:ind w:firstLine="422" w:firstLineChars="200"/>
        <w:rPr>
          <w:rFonts w:ascii="宋体" w:hAnsi="宋体" w:eastAsia="宋体"/>
          <w:b w:val="0"/>
          <w:sz w:val="21"/>
          <w:szCs w:val="21"/>
        </w:rPr>
      </w:pPr>
      <w:r>
        <w:rPr>
          <w:rStyle w:val="44"/>
          <w:rFonts w:ascii="宋体" w:hAnsi="宋体" w:eastAsia="宋体"/>
        </w:rPr>
        <w:t>5.</w:t>
      </w:r>
      <w:r>
        <w:rPr>
          <w:rStyle w:val="44"/>
          <w:rFonts w:ascii="宋体" w:hAnsi="宋体" w:eastAsia="宋体"/>
          <w:b w:val="0"/>
        </w:rPr>
        <w:t>　</w:t>
      </w:r>
      <w:r>
        <w:rPr>
          <w:rFonts w:hint="default" w:ascii="宋体" w:hAnsi="宋体" w:eastAsia="宋体"/>
        </w:rPr>
        <w:t>安全出口出现堵塞或者其梯子、踏步等设施不能正常使用，导致安全出口不畅通。
</w:t>
      </w:r>
    </w:p>
    <w:p w14:paraId="5071B558">
      <w:pPr>
        <w:spacing w:before="0" w:beforeLines="0" w:after="0" w:afterLines="0"/>
        <w:ind w:firstLine="420" w:firstLineChars="200"/>
      </w:pPr>
      <w:r>
        <w:rPr>
          <w:rFonts w:hint="default" w:ascii="宋体" w:hAnsi="宋体" w:eastAsia="宋体"/>
        </w:rPr>
        <w:t>（二）使用国家明令禁止使用的设备、材料或者工艺。</w:t>
      </w:r>
    </w:p>
    <w:p w14:paraId="3675CE92">
      <w:pPr>
        <w:spacing w:before="0" w:beforeLines="0" w:after="0" w:afterLines="0"/>
        <w:ind w:firstLine="420" w:firstLineChars="200"/>
      </w:pPr>
      <w:r>
        <w:rPr>
          <w:rFonts w:hint="default" w:ascii="宋体" w:hAnsi="宋体" w:eastAsia="宋体"/>
        </w:rPr>
        <w:t>（三）不同矿权主体的相邻矿山井巷相互贯通，或者同一矿权主体相邻独立生产系统的井巷擅自贯通。</w:t>
      </w:r>
    </w:p>
    <w:p w14:paraId="11EE0C48">
      <w:pPr>
        <w:spacing w:before="0" w:beforeLines="0" w:after="0" w:afterLines="0"/>
        <w:ind w:firstLine="420" w:firstLineChars="200"/>
      </w:pPr>
      <w:r>
        <w:rPr>
          <w:rFonts w:hint="default" w:ascii="宋体" w:hAnsi="宋体" w:eastAsia="宋体"/>
        </w:rPr>
        <w:t>（四）地下矿山现状图纸存在下列情形之一的：</w:t>
      </w:r>
    </w:p>
    <w:p w14:paraId="562CA53E">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未保存《金属非金属矿山安全规程》（GB16423 -2020）第4.1.10 条规定的图纸，或者生产矿山每3个月、基建矿山每1个月未更新上述图纸；</w:t>
      </w:r>
    </w:p>
    <w:p w14:paraId="03CA7B0D">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岩体移动范围内的地面建构筑物、运输道路及沟谷河流与实际不符；</w:t>
      </w:r>
    </w:p>
    <w:p w14:paraId="04C6B6E3">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开拓工程和采准工程的井巷或者井下采区与实际不符；</w:t>
      </w:r>
    </w:p>
    <w:p w14:paraId="3306A34D">
      <w:pPr>
        <w:spacing w:before="0" w:beforeLines="0" w:after="0" w:afterLines="0"/>
        <w:ind w:firstLine="422" w:firstLineChars="200"/>
        <w:rPr>
          <w:rFonts w:ascii="宋体" w:hAnsi="宋体" w:eastAsia="宋体"/>
          <w:b w:val="0"/>
          <w:sz w:val="21"/>
          <w:szCs w:val="21"/>
        </w:rPr>
      </w:pPr>
      <w:r>
        <w:rPr>
          <w:rStyle w:val="44"/>
          <w:rFonts w:ascii="宋体" w:hAnsi="宋体" w:eastAsia="宋体"/>
        </w:rPr>
        <w:t>4.</w:t>
      </w:r>
      <w:r>
        <w:rPr>
          <w:rStyle w:val="44"/>
          <w:rFonts w:ascii="宋体" w:hAnsi="宋体" w:eastAsia="宋体"/>
          <w:b w:val="0"/>
        </w:rPr>
        <w:t>　</w:t>
      </w:r>
      <w:r>
        <w:rPr>
          <w:rFonts w:hint="default" w:ascii="宋体" w:hAnsi="宋体" w:eastAsia="宋体"/>
        </w:rPr>
        <w:t>相邻矿山采区位置关系与实际不符;</w:t>
      </w:r>
    </w:p>
    <w:p w14:paraId="1EBD8263">
      <w:pPr>
        <w:spacing w:before="0" w:beforeLines="0" w:after="0" w:afterLines="0"/>
        <w:ind w:firstLine="422" w:firstLineChars="200"/>
        <w:rPr>
          <w:rFonts w:ascii="宋体" w:hAnsi="宋体" w:eastAsia="宋体"/>
          <w:b w:val="0"/>
          <w:sz w:val="21"/>
          <w:szCs w:val="21"/>
        </w:rPr>
      </w:pPr>
      <w:r>
        <w:rPr>
          <w:rStyle w:val="44"/>
          <w:rFonts w:ascii="宋体" w:hAnsi="宋体" w:eastAsia="宋体"/>
        </w:rPr>
        <w:t>5.</w:t>
      </w:r>
      <w:r>
        <w:rPr>
          <w:rStyle w:val="44"/>
          <w:rFonts w:ascii="宋体" w:hAnsi="宋体" w:eastAsia="宋体"/>
          <w:b w:val="0"/>
        </w:rPr>
        <w:t>　</w:t>
      </w:r>
      <w:r>
        <w:rPr>
          <w:rFonts w:hint="default" w:ascii="宋体" w:hAnsi="宋体" w:eastAsia="宋体"/>
        </w:rPr>
        <w:t>采空区和废弃井巷的位置、处理方式、现状，以及地表塌陷区的位置与实际不符。
</w:t>
      </w:r>
    </w:p>
    <w:p w14:paraId="51834CF9">
      <w:pPr>
        <w:spacing w:before="0" w:beforeLines="0" w:after="0" w:afterLines="0"/>
        <w:ind w:firstLine="420" w:firstLineChars="200"/>
      </w:pPr>
      <w:r>
        <w:rPr>
          <w:rFonts w:hint="default" w:ascii="宋体" w:hAnsi="宋体" w:eastAsia="宋体"/>
        </w:rPr>
        <w:t>（五）露天转地下开采存在下列情形之一的：</w:t>
      </w:r>
    </w:p>
    <w:p w14:paraId="7714699E">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未按设计采取防排水措施；</w:t>
      </w:r>
    </w:p>
    <w:p w14:paraId="46FB961E">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露天与地下联合开采时，回采顺序与设计不符；</w:t>
      </w:r>
    </w:p>
    <w:p w14:paraId="54373A56">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未按设计采取留设安全顶柱或者岩石垫层等防护措施。
</w:t>
      </w:r>
    </w:p>
    <w:p w14:paraId="68377FD6">
      <w:pPr>
        <w:spacing w:before="0" w:beforeLines="0" w:after="0" w:afterLines="0"/>
        <w:ind w:firstLine="420" w:firstLineChars="200"/>
      </w:pPr>
      <w:r>
        <w:rPr>
          <w:rFonts w:hint="default" w:ascii="宋体" w:hAnsi="宋体" w:eastAsia="宋体"/>
        </w:rPr>
        <w:t>（六）矿区及其附近的地表水或者大气降水危及井下安全时，未按设计采取防治水措施。</w:t>
      </w:r>
    </w:p>
    <w:p w14:paraId="0ED8234F">
      <w:pPr>
        <w:spacing w:before="0" w:beforeLines="0" w:after="0" w:afterLines="0"/>
        <w:ind w:firstLine="420" w:firstLineChars="200"/>
      </w:pPr>
      <w:r>
        <w:rPr>
          <w:rFonts w:hint="default" w:ascii="宋体" w:hAnsi="宋体" w:eastAsia="宋体"/>
        </w:rPr>
        <w:t>（七）井下主要排水系统存在下列情形之一的：</w:t>
      </w:r>
    </w:p>
    <w:p w14:paraId="18E58CA9">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排水泵数量少于3台，或者工作水泵、备用水泵的额定排水能力低于设计要求；</w:t>
      </w:r>
    </w:p>
    <w:p w14:paraId="0374F1F7">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井巷中未按设计设置工作和备用排水管路，或者排水管路与水泵未有效连接；</w:t>
      </w:r>
    </w:p>
    <w:p w14:paraId="79DA1FEF">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井下最低中段的主水泵房通往中段巷道的出口未装设防水门，或者另外一个出口未高于水泵房地面 7米以上；</w:t>
      </w:r>
    </w:p>
    <w:p w14:paraId="50E01FCF">
      <w:pPr>
        <w:spacing w:before="0" w:beforeLines="0" w:after="0" w:afterLines="0"/>
        <w:ind w:firstLine="422" w:firstLineChars="200"/>
        <w:rPr>
          <w:rFonts w:ascii="宋体" w:hAnsi="宋体" w:eastAsia="宋体"/>
          <w:b w:val="0"/>
          <w:sz w:val="21"/>
          <w:szCs w:val="21"/>
        </w:rPr>
      </w:pPr>
      <w:r>
        <w:rPr>
          <w:rStyle w:val="44"/>
          <w:rFonts w:ascii="宋体" w:hAnsi="宋体" w:eastAsia="宋体"/>
        </w:rPr>
        <w:t>4.</w:t>
      </w:r>
      <w:r>
        <w:rPr>
          <w:rStyle w:val="44"/>
          <w:rFonts w:ascii="宋体" w:hAnsi="宋体" w:eastAsia="宋体"/>
          <w:b w:val="0"/>
        </w:rPr>
        <w:t>　</w:t>
      </w:r>
      <w:r>
        <w:rPr>
          <w:rFonts w:hint="default" w:ascii="宋体" w:hAnsi="宋体" w:eastAsia="宋体"/>
        </w:rPr>
        <w:t>利用采空区或者其他废弃巷道作为水仓。
</w:t>
      </w:r>
    </w:p>
    <w:p w14:paraId="443BE40C">
      <w:pPr>
        <w:spacing w:before="0" w:beforeLines="0" w:after="0" w:afterLines="0"/>
        <w:ind w:firstLine="420" w:firstLineChars="200"/>
      </w:pPr>
      <w:r>
        <w:rPr>
          <w:rFonts w:hint="default" w:ascii="宋体" w:hAnsi="宋体" w:eastAsia="宋体"/>
        </w:rPr>
        <w:t>（八）井口标高未达到当地历史最高洪水位1米以上，且未按设计采取相应防护措施。</w:t>
      </w:r>
    </w:p>
    <w:p w14:paraId="39B0D900">
      <w:pPr>
        <w:spacing w:before="0" w:beforeLines="0" w:after="0" w:afterLines="0"/>
        <w:ind w:firstLine="420" w:firstLineChars="200"/>
      </w:pPr>
      <w:r>
        <w:rPr>
          <w:rFonts w:hint="default" w:ascii="宋体" w:hAnsi="宋体" w:eastAsia="宋体"/>
        </w:rPr>
        <w:t>（九）水文地质类型为中等或者复杂的矿井，存在下列情形之一的：</w:t>
      </w:r>
    </w:p>
    <w:p w14:paraId="79E19111">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未配备防治水专业技术人员；</w:t>
      </w:r>
    </w:p>
    <w:p w14:paraId="3E9EA2D7">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未设置防治水机构，或者未建立探放水队伍；</w:t>
      </w:r>
    </w:p>
    <w:p w14:paraId="62471FE1">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未配齐专用探放水设备，或者未按设计进行探放水作业。
</w:t>
      </w:r>
    </w:p>
    <w:p w14:paraId="5A10CFFB">
      <w:pPr>
        <w:spacing w:before="0" w:beforeLines="0" w:after="0" w:afterLines="0"/>
        <w:ind w:firstLine="420" w:firstLineChars="200"/>
      </w:pPr>
      <w:r>
        <w:rPr>
          <w:rFonts w:hint="default" w:ascii="宋体" w:hAnsi="宋体" w:eastAsia="宋体"/>
        </w:rPr>
        <w:t>（十）水文地质类型复杂的矿山存在下列情形之一的：</w:t>
      </w:r>
    </w:p>
    <w:p w14:paraId="6E7E741B">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关键巷道防水门设置与设计不符；</w:t>
      </w:r>
    </w:p>
    <w:p w14:paraId="35BDFC3C">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主要排水系统的水仓与水泵房之间的隔墙或者配水阀未按设计设置。
</w:t>
      </w:r>
    </w:p>
    <w:p w14:paraId="1AB0B6D6">
      <w:pPr>
        <w:spacing w:before="0" w:beforeLines="0" w:after="0" w:afterLines="0"/>
        <w:ind w:firstLine="420" w:firstLineChars="200"/>
      </w:pPr>
      <w:r>
        <w:rPr>
          <w:rFonts w:hint="default" w:ascii="宋体" w:hAnsi="宋体" w:eastAsia="宋体"/>
        </w:rPr>
        <w:t>（十一）在突水威胁区域或者可疑区域进行采掘作业，存在下列情形之一的：</w:t>
      </w:r>
    </w:p>
    <w:p w14:paraId="58314A25">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未编制防治水技术方案，或者未在施工前制定专门的施工安全技术措施；</w:t>
      </w:r>
    </w:p>
    <w:p w14:paraId="3CB8EAD4">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未超前探放水，或者超前钻孔的数量、深度低于设计要求，或者超前钻孔方位不符合设计要求。
</w:t>
      </w:r>
    </w:p>
    <w:p w14:paraId="6F1B720E">
      <w:pPr>
        <w:spacing w:before="0" w:beforeLines="0" w:after="0" w:afterLines="0"/>
        <w:ind w:firstLine="420" w:firstLineChars="200"/>
      </w:pPr>
      <w:r>
        <w:rPr>
          <w:rFonts w:hint="default" w:ascii="宋体" w:hAnsi="宋体" w:eastAsia="宋体"/>
        </w:rPr>
        <w:t>（十二）受地表水倒灌威胁的矿井在强降雨天气或者其来水上游发生洪水期间，未实施停产撤人。</w:t>
      </w:r>
    </w:p>
    <w:p w14:paraId="10BB1154">
      <w:pPr>
        <w:spacing w:before="0" w:beforeLines="0" w:after="0" w:afterLines="0"/>
        <w:ind w:firstLine="420" w:firstLineChars="200"/>
      </w:pPr>
      <w:r>
        <w:rPr>
          <w:rFonts w:hint="default" w:ascii="宋体" w:hAnsi="宋体" w:eastAsia="宋体"/>
        </w:rPr>
        <w:t>（十三）有自然发火危险的矿山，存在下列情形之一的：</w:t>
      </w:r>
    </w:p>
    <w:p w14:paraId="3D128840">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未安装井下环境监测系统，实现自动监测与报警；</w:t>
      </w:r>
    </w:p>
    <w:p w14:paraId="279696BB">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未按设计或者国家标准、行业标准采取防灭火措施；</w:t>
      </w:r>
    </w:p>
    <w:p w14:paraId="79846D69">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发现自然发火预兆，未采取有效处理措施。
</w:t>
      </w:r>
    </w:p>
    <w:p w14:paraId="3B94BAC3">
      <w:pPr>
        <w:spacing w:before="0" w:beforeLines="0" w:after="0" w:afterLines="0"/>
        <w:ind w:firstLine="420" w:firstLineChars="200"/>
      </w:pPr>
      <w:r>
        <w:rPr>
          <w:rFonts w:hint="default" w:ascii="宋体" w:hAnsi="宋体" w:eastAsia="宋体"/>
        </w:rPr>
        <w:t>（十四）相邻矿山开采岩体移动范围存在交叉重叠等相互影响时，未按设计留设保安矿（岩）柱或者采取其他措施。</w:t>
      </w:r>
    </w:p>
    <w:p w14:paraId="1816142C">
      <w:pPr>
        <w:spacing w:before="0" w:beforeLines="0" w:after="0" w:afterLines="0"/>
        <w:ind w:firstLine="420" w:firstLineChars="200"/>
      </w:pPr>
      <w:r>
        <w:rPr>
          <w:rFonts w:hint="default" w:ascii="宋体" w:hAnsi="宋体" w:eastAsia="宋体"/>
        </w:rPr>
        <w:t>（十五）地表设施设置存在下列情形之一，未按设计采取有效安全措施的：</w:t>
      </w:r>
    </w:p>
    <w:p w14:paraId="21F65726">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岩体移动范围内存在居民村庄或者重要设备设施；</w:t>
      </w:r>
    </w:p>
    <w:p w14:paraId="5A7C8F0F">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主要开拓工程出入口易受地表滑坡、滚石、泥石流等地质灾害影响。
</w:t>
      </w:r>
    </w:p>
    <w:p w14:paraId="08C950CC">
      <w:pPr>
        <w:spacing w:before="0" w:beforeLines="0" w:after="0" w:afterLines="0"/>
        <w:ind w:firstLine="420" w:firstLineChars="200"/>
      </w:pPr>
      <w:r>
        <w:rPr>
          <w:rFonts w:hint="default" w:ascii="宋体" w:hAnsi="宋体" w:eastAsia="宋体"/>
        </w:rPr>
        <w:t>（十六）保安矿（岩）柱或者采场矿柱存在下列情形之一的：</w:t>
      </w:r>
    </w:p>
    <w:p w14:paraId="62E1F400">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未按设计留设矿（岩）柱；</w:t>
      </w:r>
    </w:p>
    <w:p w14:paraId="782E8695">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未按设计回采矿柱；</w:t>
      </w:r>
    </w:p>
    <w:p w14:paraId="6AF1B727">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擅自开采、损毁矿（岩）柱。
</w:t>
      </w:r>
    </w:p>
    <w:p w14:paraId="59AE2B7F">
      <w:pPr>
        <w:spacing w:before="0" w:beforeLines="0" w:after="0" w:afterLines="0"/>
        <w:ind w:firstLine="420" w:firstLineChars="200"/>
      </w:pPr>
      <w:r>
        <w:rPr>
          <w:rFonts w:hint="default" w:ascii="宋体" w:hAnsi="宋体" w:eastAsia="宋体"/>
        </w:rPr>
        <w:t>（十七）未按设计要求的处理方式或者时间对采空区进行处理。</w:t>
      </w:r>
    </w:p>
    <w:p w14:paraId="17A90D74">
      <w:pPr>
        <w:spacing w:before="0" w:beforeLines="0" w:after="0" w:afterLines="0"/>
        <w:ind w:firstLine="420" w:firstLineChars="200"/>
      </w:pPr>
      <w:r>
        <w:rPr>
          <w:rFonts w:hint="default" w:ascii="宋体" w:hAnsi="宋体" w:eastAsia="宋体"/>
        </w:rPr>
        <w:t>（十八）工程地质类型复杂、有严重地压活动的矿山存在下列情形之一的：</w:t>
      </w:r>
    </w:p>
    <w:p w14:paraId="36A27FB7">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未设置专门机构、配备专门人员负责地压防治工作；</w:t>
      </w:r>
    </w:p>
    <w:p w14:paraId="6A9E145A">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未制定防治地压灾害的专门技术措施；</w:t>
      </w:r>
    </w:p>
    <w:p w14:paraId="09A72452">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发现大面积地压活动预兆，未立即停止作业、撤出人员。
</w:t>
      </w:r>
    </w:p>
    <w:p w14:paraId="0086C82A">
      <w:pPr>
        <w:spacing w:before="0" w:beforeLines="0" w:after="0" w:afterLines="0"/>
        <w:ind w:firstLine="420" w:firstLineChars="200"/>
      </w:pPr>
      <w:r>
        <w:rPr>
          <w:rFonts w:hint="default" w:ascii="宋体" w:hAnsi="宋体" w:eastAsia="宋体"/>
        </w:rPr>
        <w:t>（十九）巷道或者采场顶板未按设计采取支护措施。</w:t>
      </w:r>
    </w:p>
    <w:p w14:paraId="1FC90E96">
      <w:pPr>
        <w:spacing w:before="0" w:beforeLines="0" w:after="0" w:afterLines="0"/>
        <w:ind w:firstLine="420" w:firstLineChars="200"/>
      </w:pPr>
      <w:r>
        <w:rPr>
          <w:rFonts w:hint="default" w:ascii="宋体" w:hAnsi="宋体" w:eastAsia="宋体"/>
        </w:rPr>
        <w:t>（二十）矿井未采用机械通风，或者采用机械通风的矿井存在下列情形之一的：</w:t>
      </w:r>
    </w:p>
    <w:p w14:paraId="1E6F5015">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在正常生产情况下，主通风机未连续运转；</w:t>
      </w:r>
    </w:p>
    <w:p w14:paraId="5945EF1C">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主通风机发生故障或者停机检查时，未立即向调度室和企业主要负责人报告，或者未采取必要安全措施；</w:t>
      </w:r>
    </w:p>
    <w:p w14:paraId="2E1C95DE">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主通风机未按规定配备备用电动机，或者未配备能迅速调换电动机的设备及工具；</w:t>
      </w:r>
    </w:p>
    <w:p w14:paraId="0CAF1069">
      <w:pPr>
        <w:spacing w:before="0" w:beforeLines="0" w:after="0" w:afterLines="0"/>
        <w:ind w:firstLine="422" w:firstLineChars="200"/>
        <w:rPr>
          <w:rFonts w:ascii="宋体" w:hAnsi="宋体" w:eastAsia="宋体"/>
          <w:b w:val="0"/>
          <w:sz w:val="21"/>
          <w:szCs w:val="21"/>
        </w:rPr>
      </w:pPr>
      <w:r>
        <w:rPr>
          <w:rStyle w:val="44"/>
          <w:rFonts w:ascii="宋体" w:hAnsi="宋体" w:eastAsia="宋体"/>
        </w:rPr>
        <w:t>4.</w:t>
      </w:r>
      <w:r>
        <w:rPr>
          <w:rStyle w:val="44"/>
          <w:rFonts w:ascii="宋体" w:hAnsi="宋体" w:eastAsia="宋体"/>
          <w:b w:val="0"/>
        </w:rPr>
        <w:t>　</w:t>
      </w:r>
      <w:r>
        <w:rPr>
          <w:rFonts w:hint="default" w:ascii="宋体" w:hAnsi="宋体" w:eastAsia="宋体"/>
        </w:rPr>
        <w:t>作业工作面风速、风量、风质不符合国家标准或者行业标准要求；</w:t>
      </w:r>
    </w:p>
    <w:p w14:paraId="3A02358A">
      <w:pPr>
        <w:spacing w:before="0" w:beforeLines="0" w:after="0" w:afterLines="0"/>
        <w:ind w:firstLine="422" w:firstLineChars="200"/>
        <w:rPr>
          <w:rFonts w:ascii="宋体" w:hAnsi="宋体" w:eastAsia="宋体"/>
          <w:b w:val="0"/>
          <w:sz w:val="21"/>
          <w:szCs w:val="21"/>
        </w:rPr>
      </w:pPr>
      <w:r>
        <w:rPr>
          <w:rStyle w:val="44"/>
          <w:rFonts w:ascii="宋体" w:hAnsi="宋体" w:eastAsia="宋体"/>
        </w:rPr>
        <w:t>5.</w:t>
      </w:r>
      <w:r>
        <w:rPr>
          <w:rStyle w:val="44"/>
          <w:rFonts w:ascii="宋体" w:hAnsi="宋体" w:eastAsia="宋体"/>
          <w:b w:val="0"/>
        </w:rPr>
        <w:t>　</w:t>
      </w:r>
      <w:r>
        <w:rPr>
          <w:rFonts w:hint="default" w:ascii="宋体" w:hAnsi="宋体" w:eastAsia="宋体"/>
        </w:rPr>
        <w:t>未设置通风系统在线监测系统的矿井，未按国家标准规定每年对通风系统进行1次检测；</w:t>
      </w:r>
    </w:p>
    <w:p w14:paraId="4D9CB454">
      <w:pPr>
        <w:spacing w:before="0" w:beforeLines="0" w:after="0" w:afterLines="0"/>
        <w:ind w:firstLine="422" w:firstLineChars="200"/>
        <w:rPr>
          <w:rFonts w:ascii="宋体" w:hAnsi="宋体" w:eastAsia="宋体"/>
          <w:b w:val="0"/>
          <w:sz w:val="21"/>
          <w:szCs w:val="21"/>
        </w:rPr>
      </w:pPr>
      <w:r>
        <w:rPr>
          <w:rStyle w:val="44"/>
          <w:rFonts w:ascii="宋体" w:hAnsi="宋体" w:eastAsia="宋体"/>
        </w:rPr>
        <w:t>6.</w:t>
      </w:r>
      <w:r>
        <w:rPr>
          <w:rStyle w:val="44"/>
          <w:rFonts w:ascii="宋体" w:hAnsi="宋体" w:eastAsia="宋体"/>
          <w:b w:val="0"/>
        </w:rPr>
        <w:t>　</w:t>
      </w:r>
      <w:r>
        <w:rPr>
          <w:rFonts w:hint="default" w:ascii="宋体" w:hAnsi="宋体" w:eastAsia="宋体"/>
        </w:rPr>
        <w:t>主通风设施不能在10分钟之内实现矿井反风，或者反风试验周期超过1年。
</w:t>
      </w:r>
    </w:p>
    <w:p w14:paraId="67D5A274">
      <w:pPr>
        <w:spacing w:before="0" w:beforeLines="0" w:after="0" w:afterLines="0"/>
        <w:ind w:firstLine="420" w:firstLineChars="200"/>
      </w:pPr>
      <w:r>
        <w:rPr>
          <w:rFonts w:hint="default" w:ascii="宋体" w:hAnsi="宋体" w:eastAsia="宋体"/>
        </w:rPr>
        <w:t>（二十一）未配齐或者随身携带具有矿用产品安全标志的便携式气体检测报警仪和自救器，或者从业人员不能正确使用自救器。</w:t>
      </w:r>
    </w:p>
    <w:p w14:paraId="69D12AFE">
      <w:pPr>
        <w:spacing w:before="0" w:beforeLines="0" w:after="0" w:afterLines="0"/>
        <w:ind w:firstLine="420" w:firstLineChars="200"/>
      </w:pPr>
      <w:r>
        <w:rPr>
          <w:rFonts w:hint="default" w:ascii="宋体" w:hAnsi="宋体" w:eastAsia="宋体"/>
        </w:rPr>
        <w:t>（二十二）担负提升人员的提升系统，存在下列情形之一的：</w:t>
      </w:r>
    </w:p>
    <w:p w14:paraId="5527827B">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提升机、防坠器、钢丝绳、连接装置、提升容器未按国家规定进行定期检测检验，或者提升设备的安全保护装置失效；</w:t>
      </w:r>
    </w:p>
    <w:p w14:paraId="1A33FE10">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竖井井口和井下各中段马头门设置的安全门或者摇台与提升机未实现联锁；</w:t>
      </w:r>
    </w:p>
    <w:p w14:paraId="6AC67B11">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竖井提升系统过卷段未按国家规定设置过卷缓冲装置、楔形罐道、过卷挡梁或者不能正常使用，或者提升人员的罐笼提升系统未按国家规定在井架或者井塔的过卷段内设置罐笼防坠装置；</w:t>
      </w:r>
    </w:p>
    <w:p w14:paraId="71A2E925">
      <w:pPr>
        <w:spacing w:before="0" w:beforeLines="0" w:after="0" w:afterLines="0"/>
        <w:ind w:firstLine="422" w:firstLineChars="200"/>
        <w:rPr>
          <w:rFonts w:ascii="宋体" w:hAnsi="宋体" w:eastAsia="宋体"/>
          <w:b w:val="0"/>
          <w:sz w:val="21"/>
          <w:szCs w:val="21"/>
        </w:rPr>
      </w:pPr>
      <w:r>
        <w:rPr>
          <w:rStyle w:val="44"/>
          <w:rFonts w:ascii="宋体" w:hAnsi="宋体" w:eastAsia="宋体"/>
        </w:rPr>
        <w:t>4.</w:t>
      </w:r>
      <w:r>
        <w:rPr>
          <w:rStyle w:val="44"/>
          <w:rFonts w:ascii="宋体" w:hAnsi="宋体" w:eastAsia="宋体"/>
          <w:b w:val="0"/>
        </w:rPr>
        <w:t>　</w:t>
      </w:r>
      <w:r>
        <w:rPr>
          <w:rFonts w:hint="default" w:ascii="宋体" w:hAnsi="宋体" w:eastAsia="宋体"/>
        </w:rPr>
        <w:t>斜井串车提升系统未按国家规定设置常闭式防跑车装置、阻车器、挡车栏，或者连接链、连接插销不符合国家规定；</w:t>
      </w:r>
    </w:p>
    <w:p w14:paraId="2C52672C">
      <w:pPr>
        <w:spacing w:before="0" w:beforeLines="0" w:after="0" w:afterLines="0"/>
        <w:ind w:firstLine="422" w:firstLineChars="200"/>
        <w:rPr>
          <w:rFonts w:ascii="宋体" w:hAnsi="宋体" w:eastAsia="宋体"/>
          <w:b w:val="0"/>
          <w:sz w:val="21"/>
          <w:szCs w:val="21"/>
        </w:rPr>
      </w:pPr>
      <w:r>
        <w:rPr>
          <w:rStyle w:val="44"/>
          <w:rFonts w:ascii="宋体" w:hAnsi="宋体" w:eastAsia="宋体"/>
        </w:rPr>
        <w:t>5.</w:t>
      </w:r>
      <w:r>
        <w:rPr>
          <w:rStyle w:val="44"/>
          <w:rFonts w:ascii="宋体" w:hAnsi="宋体" w:eastAsia="宋体"/>
          <w:b w:val="0"/>
        </w:rPr>
        <w:t>　</w:t>
      </w:r>
      <w:r>
        <w:rPr>
          <w:rFonts w:hint="default" w:ascii="宋体" w:hAnsi="宋体" w:eastAsia="宋体"/>
        </w:rPr>
        <w:t>斜井提升信号系统与提升机之间未实现闭锁。
</w:t>
      </w:r>
    </w:p>
    <w:p w14:paraId="617720DC">
      <w:pPr>
        <w:spacing w:before="0" w:beforeLines="0" w:after="0" w:afterLines="0"/>
        <w:ind w:firstLine="420" w:firstLineChars="200"/>
      </w:pPr>
      <w:r>
        <w:rPr>
          <w:rFonts w:hint="default" w:ascii="宋体" w:hAnsi="宋体" w:eastAsia="宋体"/>
        </w:rPr>
        <w:t>（二十三）井下无轨运人车辆存在下列情形之一的：</w:t>
      </w:r>
    </w:p>
    <w:p w14:paraId="2645AFF5">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未取得金属非金属矿山矿用产品安全标志；</w:t>
      </w:r>
    </w:p>
    <w:p w14:paraId="1AA186AA">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载人数量超过25人或者超过核载人数；</w:t>
      </w:r>
    </w:p>
    <w:p w14:paraId="4113B235">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制动系统采用干式制动器，或者未同时配备行车制动系统、驻车制动系统和应急制动系统；</w:t>
      </w:r>
    </w:p>
    <w:p w14:paraId="375F3FDC">
      <w:pPr>
        <w:spacing w:before="0" w:beforeLines="0" w:after="0" w:afterLines="0"/>
        <w:ind w:firstLine="422" w:firstLineChars="200"/>
        <w:rPr>
          <w:rFonts w:ascii="宋体" w:hAnsi="宋体" w:eastAsia="宋体"/>
          <w:b w:val="0"/>
          <w:sz w:val="21"/>
          <w:szCs w:val="21"/>
        </w:rPr>
      </w:pPr>
      <w:r>
        <w:rPr>
          <w:rStyle w:val="44"/>
          <w:rFonts w:ascii="宋体" w:hAnsi="宋体" w:eastAsia="宋体"/>
        </w:rPr>
        <w:t>4.</w:t>
      </w:r>
      <w:r>
        <w:rPr>
          <w:rStyle w:val="44"/>
          <w:rFonts w:ascii="宋体" w:hAnsi="宋体" w:eastAsia="宋体"/>
          <w:b w:val="0"/>
        </w:rPr>
        <w:t>　</w:t>
      </w:r>
      <w:r>
        <w:rPr>
          <w:rFonts w:hint="default" w:ascii="宋体" w:hAnsi="宋体" w:eastAsia="宋体"/>
        </w:rPr>
        <w:t>未按国家规定对车辆进行检测检验。
</w:t>
      </w:r>
    </w:p>
    <w:p w14:paraId="782151BE">
      <w:pPr>
        <w:spacing w:before="0" w:beforeLines="0" w:after="0" w:afterLines="0"/>
        <w:ind w:firstLine="420" w:firstLineChars="200"/>
      </w:pPr>
      <w:r>
        <w:rPr>
          <w:rFonts w:hint="default" w:ascii="宋体" w:hAnsi="宋体" w:eastAsia="宋体"/>
        </w:rPr>
        <w:t>（二十四）一级负荷未采用双重电源供电，或者双重电源中的任一电源不能满足全部一级负荷需要。</w:t>
      </w:r>
    </w:p>
    <w:p w14:paraId="337AB6C5">
      <w:pPr>
        <w:spacing w:before="0" w:beforeLines="0" w:after="0" w:afterLines="0"/>
        <w:ind w:firstLine="420" w:firstLineChars="200"/>
      </w:pPr>
      <w:r>
        <w:rPr>
          <w:rFonts w:hint="default" w:ascii="宋体" w:hAnsi="宋体" w:eastAsia="宋体"/>
        </w:rPr>
        <w:t>（二十五）向井下采场供电的6kV～35kV系统的中性点采用直接接地。</w:t>
      </w:r>
    </w:p>
    <w:p w14:paraId="67B09ECF">
      <w:pPr>
        <w:spacing w:before="0" w:beforeLines="0" w:after="0" w:afterLines="0"/>
        <w:ind w:firstLine="420" w:firstLineChars="200"/>
      </w:pPr>
      <w:r>
        <w:rPr>
          <w:rFonts w:hint="default" w:ascii="宋体" w:hAnsi="宋体" w:eastAsia="宋体"/>
        </w:rPr>
        <w:t>（二十六）工程地质或者水文地质类型复杂的矿山，井巷工程施工未进行施工组织设计，或者未按施工组织设计落实安全措施。</w:t>
      </w:r>
    </w:p>
    <w:p w14:paraId="68E1D5B1">
      <w:pPr>
        <w:spacing w:before="0" w:beforeLines="0" w:after="0" w:afterLines="0"/>
        <w:ind w:firstLine="420" w:firstLineChars="200"/>
      </w:pPr>
      <w:r>
        <w:rPr>
          <w:rFonts w:hint="default" w:ascii="宋体" w:hAnsi="宋体" w:eastAsia="宋体"/>
        </w:rPr>
        <w:t>（二十七）新建、改扩建矿山建设项目有下列行为之一的：</w:t>
      </w:r>
    </w:p>
    <w:p w14:paraId="219F2192">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安全设施设计未经批准，或者批准后出现重大变更未经再次批准擅自组织施工；</w:t>
      </w:r>
    </w:p>
    <w:p w14:paraId="188CCD60">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在竣工验收前组织生产，经批准的联合试运转除外。
</w:t>
      </w:r>
    </w:p>
    <w:p w14:paraId="4B9F419F">
      <w:pPr>
        <w:spacing w:before="0" w:beforeLines="0" w:after="0" w:afterLines="0"/>
        <w:ind w:firstLine="420" w:firstLineChars="200"/>
      </w:pPr>
      <w:r>
        <w:rPr>
          <w:rFonts w:hint="default" w:ascii="宋体" w:hAnsi="宋体" w:eastAsia="宋体"/>
        </w:rPr>
        <w:t>（二十八）矿山企业违反国家有关工程项目发包规定，有下列行为之一的：</w:t>
      </w:r>
    </w:p>
    <w:p w14:paraId="0178BE60">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将工程项目发包给不具有法定资质和条件的单位，或者承包单位数量超过国家规定的数量；</w:t>
      </w:r>
    </w:p>
    <w:p w14:paraId="190EEFC4">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承包单位项目部的负责人、安全生产管理人员、专业技术人员、特种作业人员不符合国家规定的数量、条件或者不属于承包单位正式职工。
</w:t>
      </w:r>
    </w:p>
    <w:p w14:paraId="323DB00D">
      <w:pPr>
        <w:spacing w:before="0" w:beforeLines="0" w:after="0" w:afterLines="0"/>
        <w:ind w:firstLine="420" w:firstLineChars="200"/>
      </w:pPr>
      <w:r>
        <w:rPr>
          <w:rFonts w:hint="default" w:ascii="宋体" w:hAnsi="宋体" w:eastAsia="宋体"/>
        </w:rPr>
        <w:t>（二十九）井下或者井口动火作业未按国家规定落实审批制度或者安全措施。</w:t>
      </w:r>
    </w:p>
    <w:p w14:paraId="4F2C4CA7">
      <w:pPr>
        <w:spacing w:before="0" w:beforeLines="0" w:after="0" w:afterLines="0"/>
        <w:ind w:firstLine="420" w:firstLineChars="200"/>
      </w:pPr>
      <w:r>
        <w:rPr>
          <w:rFonts w:hint="default" w:ascii="宋体" w:hAnsi="宋体" w:eastAsia="宋体"/>
        </w:rPr>
        <w:t>（三十）矿山年产量超过矿山设计年生产能力幅度在20%及以上，或者月产量大于矿山设计年生产能力的20%及以上。</w:t>
      </w:r>
    </w:p>
    <w:p w14:paraId="1008C5A4">
      <w:pPr>
        <w:spacing w:before="0" w:beforeLines="0" w:after="0" w:afterLines="0"/>
        <w:ind w:firstLine="420" w:firstLineChars="200"/>
      </w:pPr>
      <w:r>
        <w:rPr>
          <w:rFonts w:hint="default" w:ascii="宋体" w:hAnsi="宋体" w:eastAsia="宋体"/>
        </w:rPr>
        <w:t>（三十一）矿井未建立安全监测监控系统、人员定位系统、通信联络系统，或者已经建立的系统不符合国家有关规定，或者系统运行不正常未及时修复，或者关闭、破坏该系统，或者篡改、隐瞒、销毁其相关数据、信息。</w:t>
      </w:r>
    </w:p>
    <w:p w14:paraId="73556F70">
      <w:pPr>
        <w:spacing w:before="0" w:beforeLines="0" w:after="0" w:afterLines="0"/>
        <w:ind w:firstLine="420" w:firstLineChars="200"/>
      </w:pPr>
      <w:r>
        <w:rPr>
          <w:rFonts w:hint="default" w:ascii="宋体" w:hAnsi="宋体" w:eastAsia="宋体"/>
        </w:rPr>
        <w:t>（三十二）未配备具有矿山相关专业的专职矿长、总工程师以及分管安全、生产、机电的副矿长，或者未配备具有采矿、地质、测量、机电等专业的技术人员。</w:t>
      </w:r>
    </w:p>
    <w:p w14:paraId="77CF27EF">
      <w:pPr>
        <w:spacing w:before="0" w:beforeLines="0" w:after="0" w:afterLines="0"/>
        <w:ind w:firstLine="420" w:firstLineChars="200"/>
      </w:pPr>
      <w:r>
        <w:rPr>
          <w:rFonts w:hint="default" w:ascii="宋体" w:hAnsi="宋体" w:eastAsia="宋体"/>
        </w:rPr>
        <w:t>二、金属非金属露天矿山重大事故隐患</w:t>
      </w:r>
    </w:p>
    <w:p w14:paraId="611BD63C">
      <w:pPr>
        <w:spacing w:before="0" w:beforeLines="0" w:after="0" w:afterLines="0"/>
        <w:ind w:firstLine="420" w:firstLineChars="200"/>
      </w:pPr>
      <w:r>
        <w:rPr>
          <w:rFonts w:hint="default" w:ascii="宋体" w:hAnsi="宋体" w:eastAsia="宋体"/>
        </w:rPr>
        <w:t>（一）地下开采转露天开采前，未探明采空区和溶洞，或者未按设计处理对露天开采安全有威胁的采空区和溶洞。</w:t>
      </w:r>
    </w:p>
    <w:p w14:paraId="3A770A8C">
      <w:pPr>
        <w:spacing w:before="0" w:beforeLines="0" w:after="0" w:afterLines="0"/>
        <w:ind w:firstLine="420" w:firstLineChars="200"/>
      </w:pPr>
      <w:r>
        <w:rPr>
          <w:rFonts w:hint="default" w:ascii="宋体" w:hAnsi="宋体" w:eastAsia="宋体"/>
        </w:rPr>
        <w:t>（二）使用国家明令禁止使用的设备、材料或者工艺。</w:t>
      </w:r>
    </w:p>
    <w:p w14:paraId="7CDD543A">
      <w:pPr>
        <w:spacing w:before="0" w:beforeLines="0" w:after="0" w:afterLines="0"/>
        <w:ind w:firstLine="420" w:firstLineChars="200"/>
      </w:pPr>
      <w:r>
        <w:rPr>
          <w:rFonts w:hint="default" w:ascii="宋体" w:hAnsi="宋体" w:eastAsia="宋体"/>
        </w:rPr>
        <w:t>（三）未采用自上而下的开采顺序分台阶或者分层开采。</w:t>
      </w:r>
    </w:p>
    <w:p w14:paraId="26C083E3">
      <w:pPr>
        <w:spacing w:before="0" w:beforeLines="0" w:after="0" w:afterLines="0"/>
        <w:ind w:firstLine="420" w:firstLineChars="200"/>
      </w:pPr>
      <w:r>
        <w:rPr>
          <w:rFonts w:hint="default" w:ascii="宋体" w:hAnsi="宋体" w:eastAsia="宋体"/>
        </w:rPr>
        <w:t>（四）工作帮坡角大于设计工作帮坡角，或者最终边坡台阶高度超过设计高度。</w:t>
      </w:r>
    </w:p>
    <w:p w14:paraId="3AC73BE3">
      <w:pPr>
        <w:spacing w:before="0" w:beforeLines="0" w:after="0" w:afterLines="0"/>
        <w:ind w:firstLine="420" w:firstLineChars="200"/>
      </w:pPr>
      <w:r>
        <w:rPr>
          <w:rFonts w:hint="default" w:ascii="宋体" w:hAnsi="宋体" w:eastAsia="宋体"/>
        </w:rPr>
        <w:t>（五）开采或者破坏设计要求保留的矿（岩）柱或者挂帮矿体。</w:t>
      </w:r>
    </w:p>
    <w:p w14:paraId="77A15E0F">
      <w:pPr>
        <w:spacing w:before="0" w:beforeLines="0" w:after="0" w:afterLines="0"/>
        <w:ind w:firstLine="420" w:firstLineChars="200"/>
      </w:pPr>
      <w:r>
        <w:rPr>
          <w:rFonts w:hint="default" w:ascii="宋体" w:hAnsi="宋体" w:eastAsia="宋体"/>
        </w:rPr>
        <w:t>（六）未按有关国家标准或者行业标准对采场边坡、排土场边坡进行稳定性分析。</w:t>
      </w:r>
    </w:p>
    <w:p w14:paraId="6F8AF23E">
      <w:pPr>
        <w:spacing w:before="0" w:beforeLines="0" w:after="0" w:afterLines="0"/>
        <w:ind w:firstLine="420" w:firstLineChars="200"/>
      </w:pPr>
      <w:r>
        <w:rPr>
          <w:rFonts w:hint="default" w:ascii="宋体" w:hAnsi="宋体" w:eastAsia="宋体"/>
        </w:rPr>
        <w:t>（七）边坡存在下列情形之一的：</w:t>
      </w:r>
    </w:p>
    <w:p w14:paraId="708ECF92">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高度200米及以上的采场边坡未进行在线监测；</w:t>
      </w:r>
    </w:p>
    <w:p w14:paraId="563B58E7">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高度200米及以上的排土场边坡未建立边坡稳定监测系统；</w:t>
      </w:r>
    </w:p>
    <w:p w14:paraId="4940795E">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关闭、破坏监测系统或者隐瞒、篡改、销毁其相关数据、信息。
</w:t>
      </w:r>
    </w:p>
    <w:p w14:paraId="576D0D81">
      <w:pPr>
        <w:spacing w:before="0" w:beforeLines="0" w:after="0" w:afterLines="0"/>
        <w:ind w:firstLine="420" w:firstLineChars="200"/>
      </w:pPr>
      <w:r>
        <w:rPr>
          <w:rFonts w:hint="default" w:ascii="宋体" w:hAnsi="宋体" w:eastAsia="宋体"/>
        </w:rPr>
        <w:t>（八）边坡出现滑移现象，存在下列情形之一的：</w:t>
      </w:r>
    </w:p>
    <w:p w14:paraId="68887332">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边坡出现横向及纵向放射状裂缝；</w:t>
      </w:r>
    </w:p>
    <w:p w14:paraId="6D05B8E9">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坡体前缘坡脚处出现上隆（凸起）现象，后缘的裂缝急剧扩展；</w:t>
      </w:r>
    </w:p>
    <w:p w14:paraId="74748AA9">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位移观测资料显示的水平位移量或者垂直位移量出现加速变化的趋势。
</w:t>
      </w:r>
    </w:p>
    <w:p w14:paraId="51A71D1E">
      <w:pPr>
        <w:spacing w:before="0" w:beforeLines="0" w:after="0" w:afterLines="0"/>
        <w:ind w:firstLine="420" w:firstLineChars="200"/>
      </w:pPr>
      <w:r>
        <w:rPr>
          <w:rFonts w:hint="default" w:ascii="宋体" w:hAnsi="宋体" w:eastAsia="宋体"/>
        </w:rPr>
        <w:t>（九）运输道路坡度大于设计坡度10%以上。</w:t>
      </w:r>
    </w:p>
    <w:p w14:paraId="5C2CAF1B">
      <w:pPr>
        <w:spacing w:before="0" w:beforeLines="0" w:after="0" w:afterLines="0"/>
        <w:ind w:firstLine="420" w:firstLineChars="200"/>
      </w:pPr>
      <w:r>
        <w:rPr>
          <w:rFonts w:hint="default" w:ascii="宋体" w:hAnsi="宋体" w:eastAsia="宋体"/>
        </w:rPr>
        <w:t>（十）凹陷露天矿山未按设计建设防洪、排洪设施。</w:t>
      </w:r>
    </w:p>
    <w:p w14:paraId="071F8F6C">
      <w:pPr>
        <w:spacing w:before="0" w:beforeLines="0" w:after="0" w:afterLines="0"/>
        <w:ind w:firstLine="420" w:firstLineChars="200"/>
      </w:pPr>
      <w:r>
        <w:rPr>
          <w:rFonts w:hint="default" w:ascii="宋体" w:hAnsi="宋体" w:eastAsia="宋体"/>
        </w:rPr>
        <w:t>（十一）排土场存在下列情形之一的：</w:t>
      </w:r>
    </w:p>
    <w:p w14:paraId="3793F011">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在平均坡度大于1:5的地基上顺坡排土，未按设计采取安全措施；</w:t>
      </w:r>
    </w:p>
    <w:p w14:paraId="403F03D5">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排土场总堆置高度2倍范围以内有人员密集场所，未按设计采取安全措施；</w:t>
      </w:r>
    </w:p>
    <w:p w14:paraId="5B009BA4">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山坡排土场周围未按设计修筑截、排水设施。
</w:t>
      </w:r>
    </w:p>
    <w:p w14:paraId="76072BAF">
      <w:pPr>
        <w:spacing w:before="0" w:beforeLines="0" w:after="0" w:afterLines="0"/>
        <w:ind w:firstLine="420" w:firstLineChars="200"/>
      </w:pPr>
      <w:r>
        <w:rPr>
          <w:rFonts w:hint="default" w:ascii="宋体" w:hAnsi="宋体" w:eastAsia="宋体"/>
        </w:rPr>
        <w:t>（十二）露天采场未按设计设置安全平台和清扫平台。</w:t>
      </w:r>
    </w:p>
    <w:p w14:paraId="2BE89DA2">
      <w:pPr>
        <w:spacing w:before="0" w:beforeLines="0" w:after="0" w:afterLines="0"/>
        <w:ind w:firstLine="420" w:firstLineChars="200"/>
      </w:pPr>
      <w:r>
        <w:rPr>
          <w:rFonts w:hint="default" w:ascii="宋体" w:hAnsi="宋体" w:eastAsia="宋体"/>
        </w:rPr>
        <w:t>（十三）擅自对在用排土场进行回采作业。</w:t>
      </w:r>
    </w:p>
    <w:p w14:paraId="3FB098F7">
      <w:pPr>
        <w:spacing w:before="0" w:beforeLines="0" w:after="0" w:afterLines="0"/>
        <w:ind w:firstLine="420" w:firstLineChars="200"/>
      </w:pPr>
      <w:r>
        <w:rPr>
          <w:rFonts w:hint="default" w:ascii="宋体" w:hAnsi="宋体" w:eastAsia="宋体"/>
        </w:rPr>
        <w:t>三、尾矿库重大事故隐患</w:t>
      </w:r>
    </w:p>
    <w:p w14:paraId="260CF06D">
      <w:pPr>
        <w:spacing w:before="0" w:beforeLines="0" w:after="0" w:afterLines="0"/>
        <w:ind w:firstLine="420" w:firstLineChars="200"/>
      </w:pPr>
      <w:r>
        <w:rPr>
          <w:rFonts w:hint="default" w:ascii="宋体" w:hAnsi="宋体" w:eastAsia="宋体"/>
        </w:rPr>
        <w:t>（一）库区或者尾矿坝上存在未按设计进行开采、挖掘、爆破等危及尾矿库安全的活动。</w:t>
      </w:r>
    </w:p>
    <w:p w14:paraId="098A0EEE">
      <w:pPr>
        <w:spacing w:before="0" w:beforeLines="0" w:after="0" w:afterLines="0"/>
        <w:ind w:firstLine="420" w:firstLineChars="200"/>
      </w:pPr>
      <w:r>
        <w:rPr>
          <w:rFonts w:hint="default" w:ascii="宋体" w:hAnsi="宋体" w:eastAsia="宋体"/>
        </w:rPr>
        <w:t>（二）坝体存在下列情形之一的：</w:t>
      </w:r>
    </w:p>
    <w:p w14:paraId="5DE69473">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坝体出现严重的管涌、流土变形等现象；</w:t>
      </w:r>
    </w:p>
    <w:p w14:paraId="1F8D11E7">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坝体出现贯穿性裂缝、坍塌、滑动迹象；</w:t>
      </w:r>
    </w:p>
    <w:p w14:paraId="7DD98728">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坝体出现大面积纵向裂缝，且出现较大范围渗透水高位出逸或者大面积沼泽化。
</w:t>
      </w:r>
    </w:p>
    <w:p w14:paraId="1B699F32">
      <w:pPr>
        <w:spacing w:before="0" w:beforeLines="0" w:after="0" w:afterLines="0"/>
        <w:ind w:firstLine="420" w:firstLineChars="200"/>
      </w:pPr>
      <w:r>
        <w:rPr>
          <w:rFonts w:hint="default" w:ascii="宋体" w:hAnsi="宋体" w:eastAsia="宋体"/>
        </w:rPr>
        <w:t>（三）坝体的平均外坡比或者堆积子坝的外坡比陡于设计坡比。</w:t>
      </w:r>
    </w:p>
    <w:p w14:paraId="6D041462">
      <w:pPr>
        <w:spacing w:before="0" w:beforeLines="0" w:after="0" w:afterLines="0"/>
        <w:ind w:firstLine="420" w:firstLineChars="200"/>
      </w:pPr>
      <w:r>
        <w:rPr>
          <w:rFonts w:hint="default" w:ascii="宋体" w:hAnsi="宋体" w:eastAsia="宋体"/>
        </w:rPr>
        <w:t>（四）坝体高度超过设计总坝高，或者尾矿库超过设计库容贮存尾矿。</w:t>
      </w:r>
    </w:p>
    <w:p w14:paraId="025CEA45">
      <w:pPr>
        <w:spacing w:before="0" w:beforeLines="0" w:after="0" w:afterLines="0"/>
        <w:ind w:firstLine="420" w:firstLineChars="200"/>
      </w:pPr>
      <w:r>
        <w:rPr>
          <w:rFonts w:hint="default" w:ascii="宋体" w:hAnsi="宋体" w:eastAsia="宋体"/>
        </w:rPr>
        <w:t>（五）尾矿堆积坝上升速率大于设计堆积上升速率。</w:t>
      </w:r>
    </w:p>
    <w:p w14:paraId="5B718D48">
      <w:pPr>
        <w:spacing w:before="0" w:beforeLines="0" w:after="0" w:afterLines="0"/>
        <w:ind w:firstLine="420" w:firstLineChars="200"/>
      </w:pPr>
      <w:r>
        <w:rPr>
          <w:rFonts w:hint="default" w:ascii="宋体" w:hAnsi="宋体" w:eastAsia="宋体"/>
        </w:rPr>
        <w:t>（六）采用尾矿堆坝的尾矿库，未按《尾矿库安全规程》（GB39496-2020）第6.1.9条规定对尾矿坝做全面的安全性复核。</w:t>
      </w:r>
    </w:p>
    <w:p w14:paraId="69860110">
      <w:pPr>
        <w:spacing w:before="0" w:beforeLines="0" w:after="0" w:afterLines="0"/>
        <w:ind w:firstLine="420" w:firstLineChars="200"/>
      </w:pPr>
      <w:r>
        <w:rPr>
          <w:rFonts w:hint="default" w:ascii="宋体" w:hAnsi="宋体" w:eastAsia="宋体"/>
        </w:rPr>
        <w:t>（七）浸润线埋深小于控制浸润线埋深。</w:t>
      </w:r>
    </w:p>
    <w:p w14:paraId="61AA1834">
      <w:pPr>
        <w:spacing w:before="0" w:beforeLines="0" w:after="0" w:afterLines="0"/>
        <w:ind w:firstLine="420" w:firstLineChars="200"/>
      </w:pPr>
      <w:r>
        <w:rPr>
          <w:rFonts w:hint="default" w:ascii="宋体" w:hAnsi="宋体" w:eastAsia="宋体"/>
        </w:rPr>
        <w:t>（八）汛前未按国家有关规定对尾矿库进行调洪演算，或者湿式尾矿库防洪高度和干滩长度小于设计值，或者干式尾矿库防洪高度和防洪宽度小于设计值。</w:t>
      </w:r>
    </w:p>
    <w:p w14:paraId="61458CB3">
      <w:pPr>
        <w:spacing w:before="0" w:beforeLines="0" w:after="0" w:afterLines="0"/>
        <w:ind w:firstLine="420" w:firstLineChars="200"/>
      </w:pPr>
      <w:r>
        <w:rPr>
          <w:rFonts w:hint="default" w:ascii="宋体" w:hAnsi="宋体" w:eastAsia="宋体"/>
        </w:rPr>
        <w:t>（九）排洪系统存在下列情形之一的：</w:t>
      </w:r>
    </w:p>
    <w:p w14:paraId="2A84AE48">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排水井、排水斜槽、排水管、排水隧洞、拱板、盖板等排洪建构筑物混凝土厚度、强度或者型式不满足设计要求；</w:t>
      </w:r>
    </w:p>
    <w:p w14:paraId="374DB552">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排洪设施部分堵塞或者坍塌、排水井有所倾斜，排水能力有所降低，达不到设计要求；</w:t>
      </w:r>
    </w:p>
    <w:p w14:paraId="60C2D395">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排洪构筑物终止使用时，封堵措施不满足设计要求。
</w:t>
      </w:r>
    </w:p>
    <w:p w14:paraId="48B0278C">
      <w:pPr>
        <w:spacing w:before="0" w:beforeLines="0" w:after="0" w:afterLines="0"/>
        <w:ind w:firstLine="420" w:firstLineChars="200"/>
      </w:pPr>
      <w:r>
        <w:rPr>
          <w:rFonts w:hint="default" w:ascii="宋体" w:hAnsi="宋体" w:eastAsia="宋体"/>
        </w:rPr>
        <w:t>（十）设计以外的尾矿、废料或者废水进库。</w:t>
      </w:r>
    </w:p>
    <w:p w14:paraId="0DA04AC0">
      <w:pPr>
        <w:spacing w:before="0" w:beforeLines="0" w:after="0" w:afterLines="0"/>
        <w:ind w:firstLine="420" w:firstLineChars="200"/>
      </w:pPr>
      <w:r>
        <w:rPr>
          <w:rFonts w:hint="default" w:ascii="宋体" w:hAnsi="宋体" w:eastAsia="宋体"/>
        </w:rPr>
        <w:t>（十一）多种矿石性质不同的尾砂混合排放时，未按设计进行排放。</w:t>
      </w:r>
    </w:p>
    <w:p w14:paraId="6B19BE54">
      <w:pPr>
        <w:spacing w:before="0" w:beforeLines="0" w:after="0" w:afterLines="0"/>
        <w:ind w:firstLine="420" w:firstLineChars="200"/>
      </w:pPr>
      <w:r>
        <w:rPr>
          <w:rFonts w:hint="default" w:ascii="宋体" w:hAnsi="宋体" w:eastAsia="宋体"/>
        </w:rPr>
        <w:t>（十二）冬季未按设计要求的冰下放矿方式进行放矿作业。</w:t>
      </w:r>
    </w:p>
    <w:p w14:paraId="5B6FB9DB">
      <w:pPr>
        <w:spacing w:before="0" w:beforeLines="0" w:after="0" w:afterLines="0"/>
        <w:ind w:firstLine="420" w:firstLineChars="200"/>
      </w:pPr>
      <w:r>
        <w:rPr>
          <w:rFonts w:hint="default" w:ascii="宋体" w:hAnsi="宋体" w:eastAsia="宋体"/>
        </w:rPr>
        <w:t>（十三）安全监测系统存在下列情形之一的：</w:t>
      </w:r>
    </w:p>
    <w:p w14:paraId="102B6D9D">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未按设计设置安全监测系统；</w:t>
      </w:r>
    </w:p>
    <w:p w14:paraId="39531A49">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安全监测系统运行不正常未及时修复；</w:t>
      </w:r>
    </w:p>
    <w:p w14:paraId="25D2F8D7">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关闭、破坏安全监测系统，或者篡改、隐瞒、销毁其相关数据、信息。
</w:t>
      </w:r>
    </w:p>
    <w:p w14:paraId="0AB64195">
      <w:pPr>
        <w:spacing w:before="0" w:beforeLines="0" w:after="0" w:afterLines="0"/>
        <w:ind w:firstLine="420" w:firstLineChars="200"/>
      </w:pPr>
      <w:r>
        <w:rPr>
          <w:rFonts w:hint="default" w:ascii="宋体" w:hAnsi="宋体" w:eastAsia="宋体"/>
        </w:rPr>
        <w:t>（十四）干式尾矿库存在下列情形之一的：</w:t>
      </w:r>
    </w:p>
    <w:p w14:paraId="1C07343A">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入库尾矿的含水率大于设计值，无法进行正常碾压且未设置可靠的防范措施；</w:t>
      </w:r>
    </w:p>
    <w:p w14:paraId="74C2EE03">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堆存推进方向与设计不一致；</w:t>
      </w:r>
    </w:p>
    <w:p w14:paraId="52F01BF4">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分层厚度或者台阶高度大于设计值；</w:t>
      </w:r>
    </w:p>
    <w:p w14:paraId="7D961CB7">
      <w:pPr>
        <w:spacing w:before="0" w:beforeLines="0" w:after="0" w:afterLines="0"/>
        <w:ind w:firstLine="422" w:firstLineChars="200"/>
        <w:rPr>
          <w:rFonts w:ascii="宋体" w:hAnsi="宋体" w:eastAsia="宋体"/>
          <w:b w:val="0"/>
          <w:sz w:val="21"/>
          <w:szCs w:val="21"/>
        </w:rPr>
      </w:pPr>
      <w:r>
        <w:rPr>
          <w:rStyle w:val="44"/>
          <w:rFonts w:ascii="宋体" w:hAnsi="宋体" w:eastAsia="宋体"/>
        </w:rPr>
        <w:t>4.</w:t>
      </w:r>
      <w:r>
        <w:rPr>
          <w:rStyle w:val="44"/>
          <w:rFonts w:ascii="宋体" w:hAnsi="宋体" w:eastAsia="宋体"/>
          <w:b w:val="0"/>
        </w:rPr>
        <w:t>　</w:t>
      </w:r>
      <w:r>
        <w:rPr>
          <w:rFonts w:hint="default" w:ascii="宋体" w:hAnsi="宋体" w:eastAsia="宋体"/>
        </w:rPr>
        <w:t>未按设计要求进行碾压。
</w:t>
      </w:r>
    </w:p>
    <w:p w14:paraId="216E7C3C">
      <w:pPr>
        <w:spacing w:before="0" w:beforeLines="0" w:after="0" w:afterLines="0"/>
        <w:ind w:firstLine="420" w:firstLineChars="200"/>
      </w:pPr>
      <w:r>
        <w:rPr>
          <w:rFonts w:hint="default" w:ascii="宋体" w:hAnsi="宋体" w:eastAsia="宋体"/>
        </w:rPr>
        <w:t>（十五）经验算，坝体抗滑稳定最小安全系数小于国家标准规定值的0.98倍。</w:t>
      </w:r>
    </w:p>
    <w:p w14:paraId="1765508D">
      <w:pPr>
        <w:spacing w:before="0" w:beforeLines="0" w:after="0" w:afterLines="0"/>
        <w:ind w:firstLine="420" w:firstLineChars="200"/>
      </w:pPr>
      <w:r>
        <w:rPr>
          <w:rFonts w:hint="default" w:ascii="宋体" w:hAnsi="宋体" w:eastAsia="宋体"/>
        </w:rPr>
        <w:t>（十六）三等及以上尾矿库及“头顶库”未按设计设置通往坝顶、排洪系统附近的应急道路，或者应急道路无法满足应急抢险时通行和运送应急物资的需求。</w:t>
      </w:r>
    </w:p>
    <w:p w14:paraId="05C9FD2C">
      <w:pPr>
        <w:spacing w:before="0" w:beforeLines="0" w:after="0" w:afterLines="0"/>
        <w:ind w:firstLine="420" w:firstLineChars="200"/>
      </w:pPr>
      <w:r>
        <w:rPr>
          <w:rFonts w:hint="default" w:ascii="宋体" w:hAnsi="宋体" w:eastAsia="宋体"/>
        </w:rPr>
        <w:t>（十七）尾矿库回采存在下列情形之一的：</w:t>
      </w:r>
    </w:p>
    <w:p w14:paraId="5CE8F809">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未经批准擅自回采；</w:t>
      </w:r>
    </w:p>
    <w:p w14:paraId="781F9C76">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回采方式、顺序、单层开采高度、台阶坡面角不符合设计要求；</w:t>
      </w:r>
    </w:p>
    <w:p w14:paraId="34BB0E9A">
      <w:pPr>
        <w:spacing w:before="0" w:beforeLines="0" w:after="0" w:afterLines="0"/>
        <w:ind w:firstLine="422" w:firstLineChars="200"/>
        <w:rPr>
          <w:rFonts w:ascii="宋体" w:hAnsi="宋体" w:eastAsia="宋体"/>
          <w:b w:val="0"/>
          <w:sz w:val="21"/>
          <w:szCs w:val="21"/>
        </w:rPr>
      </w:pPr>
      <w:r>
        <w:rPr>
          <w:rStyle w:val="44"/>
          <w:rFonts w:ascii="宋体" w:hAnsi="宋体" w:eastAsia="宋体"/>
        </w:rPr>
        <w:t>3.</w:t>
      </w:r>
      <w:r>
        <w:rPr>
          <w:rStyle w:val="44"/>
          <w:rFonts w:ascii="宋体" w:hAnsi="宋体" w:eastAsia="宋体"/>
          <w:b w:val="0"/>
        </w:rPr>
        <w:t>　</w:t>
      </w:r>
      <w:r>
        <w:rPr>
          <w:rFonts w:hint="default" w:ascii="宋体" w:hAnsi="宋体" w:eastAsia="宋体"/>
        </w:rPr>
        <w:t>同时进行回采和排放。
</w:t>
      </w:r>
    </w:p>
    <w:p w14:paraId="6A03F9FA">
      <w:pPr>
        <w:spacing w:before="0" w:beforeLines="0" w:after="0" w:afterLines="0"/>
        <w:ind w:firstLine="420" w:firstLineChars="200"/>
      </w:pPr>
      <w:r>
        <w:rPr>
          <w:rFonts w:hint="default" w:ascii="宋体" w:hAnsi="宋体" w:eastAsia="宋体"/>
        </w:rPr>
        <w:t>（十八）用以贮存独立选矿厂进行矿石选别后排出尾矿的场所，未按尾矿库实施安全管理的。</w:t>
      </w:r>
    </w:p>
    <w:p w14:paraId="2BC1CBDD">
      <w:pPr>
        <w:spacing w:before="0" w:beforeLines="0" w:after="0" w:afterLines="0"/>
        <w:ind w:firstLine="420" w:firstLineChars="200"/>
      </w:pPr>
      <w:r>
        <w:rPr>
          <w:rFonts w:hint="default" w:ascii="宋体" w:hAnsi="宋体" w:eastAsia="宋体"/>
        </w:rPr>
        <w:t>（十九）未按国家规定配备专职安全生产管理人员、专业技术人员和特种作业人员。</w:t>
      </w:r>
    </w:p>
    <w:p w14:paraId="71FABA6E">
      <w:pPr>
        <w:spacing w:before="0" w:beforeLines="0" w:after="0" w:afterLines="0"/>
        <w:ind w:firstLine="420" w:firstLineChars="200"/>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国家矿山安全监察局关于印发《金属非金属矿山重大事故隐患判定标准》的通知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1D10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unhideWhenUsed/>
    <w:uiPriority w:val="99"/>
  </w:style>
  <w:style w:type="paragraph" w:styleId="8">
    <w:name w:val="toc 5"/>
    <w:basedOn w:val="1"/>
    <w:next w:val="1"/>
    <w:autoRedefine/>
    <w:unhideWhenUsed/>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uiPriority w:val="39"/>
    <w:pPr>
      <w:spacing w:before="0" w:beforeLines="0"/>
    </w:pPr>
    <w:rPr>
      <w:rFonts w:asciiTheme="minorHAnsi" w:eastAsiaTheme="minorHAnsi"/>
      <w:smallCaps/>
      <w:szCs w:val="20"/>
    </w:rPr>
  </w:style>
  <w:style w:type="paragraph" w:styleId="19">
    <w:name w:val="toc 9"/>
    <w:basedOn w:val="1"/>
    <w:next w:val="1"/>
    <w:autoRedefine/>
    <w:unhideWhenUsed/>
    <w:uiPriority w:val="39"/>
    <w:pPr>
      <w:spacing w:before="0"/>
      <w:ind w:left="1680"/>
    </w:pPr>
    <w:rPr>
      <w:rFonts w:asciiTheme="minorHAnsi" w:eastAsiaTheme="minorHAnsi"/>
      <w:sz w:val="18"/>
      <w:szCs w:val="18"/>
    </w:rPr>
  </w:style>
  <w:style w:type="paragraph" w:styleId="20">
    <w:name w:val="Normal (Web)"/>
    <w:basedOn w:val="1"/>
    <w:unhideWhenUsed/>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uiPriority w:val="99"/>
  </w:style>
  <w:style w:type="character" w:styleId="27">
    <w:name w:val="FollowedHyperlink"/>
    <w:basedOn w:val="25"/>
    <w:semiHidden/>
    <w:unhideWhenUsed/>
    <w:uiPriority w:val="99"/>
    <w:rPr>
      <w:color w:val="954F72" w:themeColor="followedHyperlink"/>
      <w:u w:val="single"/>
      <w14:textFill>
        <w14:solidFill>
          <w14:schemeClr w14:val="folHlink"/>
        </w14:solidFill>
      </w14:textFill>
    </w:rPr>
  </w:style>
  <w:style w:type="character" w:styleId="28">
    <w:name w:val="Hyperlink"/>
    <w:basedOn w:val="25"/>
    <w:unhideWhenUsed/>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uiPriority w:val="9"/>
    <w:rPr>
      <w:rFonts w:ascii="等线" w:hAnsi="等线" w:eastAsia="宋体" w:cs="宋体"/>
      <w:b/>
      <w:bCs/>
      <w:kern w:val="36"/>
    </w:rPr>
  </w:style>
  <w:style w:type="paragraph" w:customStyle="1" w:styleId="33">
    <w:name w:val="doc-a"/>
    <w:basedOn w:val="1"/>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uiPriority w:val="99"/>
    <w:pPr>
      <w:spacing w:before="315" w:after="315" w:line="300" w:lineRule="exact"/>
    </w:pPr>
    <w:rPr>
      <w:rFonts w:ascii="微软雅黑" w:hAnsi="微软雅黑" w:eastAsia="微软雅黑"/>
    </w:rPr>
  </w:style>
  <w:style w:type="paragraph" w:customStyle="1" w:styleId="35">
    <w:name w:val="cntitle"/>
    <w:basedOn w:val="1"/>
    <w:semiHidden/>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uiPriority w:val="0"/>
    <w:pPr>
      <w:jc w:val="right"/>
    </w:pPr>
  </w:style>
  <w:style w:type="paragraph" w:customStyle="1" w:styleId="39">
    <w:name w:val="promulgatesignatory"/>
    <w:basedOn w:val="1"/>
    <w:uiPriority w:val="0"/>
    <w:pPr>
      <w:jc w:val="right"/>
    </w:pPr>
  </w:style>
  <w:style w:type="paragraph" w:customStyle="1" w:styleId="40">
    <w:name w:val="标题1"/>
    <w:basedOn w:val="1"/>
    <w:semiHidden/>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uiPriority w:val="0"/>
    <w:rPr>
      <w:rFonts w:hint="eastAsia" w:ascii="微软雅黑" w:hAnsi="微软雅黑" w:eastAsia="微软雅黑"/>
      <w:b/>
      <w:bCs/>
      <w:sz w:val="21"/>
      <w:szCs w:val="21"/>
    </w:rPr>
  </w:style>
  <w:style w:type="character" w:customStyle="1" w:styleId="47">
    <w:name w:val="批注文字 字符"/>
    <w:basedOn w:val="25"/>
    <w:link w:val="7"/>
    <w:uiPriority w:val="99"/>
    <w:rPr>
      <w:rFonts w:ascii="宋体" w:hAnsi="宋体" w:eastAsia="宋体" w:cs="宋体"/>
      <w:kern w:val="0"/>
    </w:rPr>
  </w:style>
  <w:style w:type="character" w:customStyle="1" w:styleId="48">
    <w:name w:val="批注主题 字符"/>
    <w:basedOn w:val="47"/>
    <w:link w:val="22"/>
    <w:semiHidden/>
    <w:uiPriority w:val="99"/>
    <w:rPr>
      <w:rFonts w:ascii="宋体" w:hAnsi="宋体" w:eastAsia="宋体" w:cs="宋体"/>
      <w:b/>
      <w:bCs/>
      <w:kern w:val="0"/>
    </w:rPr>
  </w:style>
  <w:style w:type="character" w:customStyle="1" w:styleId="49">
    <w:name w:val="批注框文本 字符"/>
    <w:basedOn w:val="25"/>
    <w:link w:val="11"/>
    <w:semiHidden/>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uiPriority w:val="99"/>
    <w:rPr>
      <w:rFonts w:ascii="宋体" w:hAnsi="宋体" w:eastAsia="宋体" w:cs="宋体"/>
      <w:kern w:val="0"/>
      <w:sz w:val="24"/>
      <w:szCs w:val="24"/>
      <w:lang w:val="en-US" w:eastAsia="zh-CN" w:bidi="ar-SA"/>
    </w:rPr>
  </w:style>
  <w:style w:type="character" w:customStyle="1" w:styleId="55">
    <w:name w:val="标题 字符"/>
    <w:basedOn w:val="25"/>
    <w:link w:val="21"/>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6</Pages>
  <Words>4837</Words>
  <Characters>5003</Characters>
  <Lines>5</Lines>
  <Paragraphs>1</Paragraphs>
  <TotalTime>501</TotalTime>
  <ScaleCrop>false</ScaleCrop>
  <LinksUpToDate>false</LinksUpToDate>
  <CharactersWithSpaces>5103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2025-09-23T03:28:48Z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63432F9C5F03477985B7CAA2F20D2062_12</vt:lpwstr>
  </property>
</Properties>
</file>