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550"/>
        <w:spacing w:before="185" w:line="207" w:lineRule="auto"/>
        <w:rPr>
          <w:rFonts w:ascii="Microsoft YaHei" w:hAnsi="Microsoft YaHei" w:eastAsia="Microsoft YaHei" w:cs="Microsoft YaHei"/>
          <w:sz w:val="43"/>
          <w:szCs w:val="43"/>
        </w:rPr>
      </w:pPr>
      <w:r>
        <w:rPr>
          <w:rFonts w:ascii="Microsoft YaHei" w:hAnsi="Microsoft YaHei" w:eastAsia="Microsoft YaHei" w:cs="Microsoft YaHei"/>
          <w:sz w:val="43"/>
          <w:szCs w:val="43"/>
          <w:spacing w:val="4"/>
        </w:rPr>
        <w:t>矿山安全落后工艺及设备淘汰目录（</w:t>
      </w:r>
      <w:r>
        <w:rPr>
          <w:rFonts w:ascii="Microsoft YaHei" w:hAnsi="Microsoft YaHei" w:eastAsia="Microsoft YaHei" w:cs="Microsoft YaHei"/>
          <w:sz w:val="43"/>
          <w:szCs w:val="43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  <w:spacing w:val="4"/>
        </w:rPr>
        <w:t>2024 </w:t>
      </w:r>
      <w:r>
        <w:rPr>
          <w:rFonts w:ascii="Microsoft YaHei" w:hAnsi="Microsoft YaHei" w:eastAsia="Microsoft YaHei" w:cs="Microsoft YaHei"/>
          <w:sz w:val="43"/>
          <w:szCs w:val="43"/>
          <w:spacing w:val="4"/>
        </w:rPr>
        <w:t>年）</w:t>
      </w:r>
    </w:p>
    <w:p>
      <w:pPr>
        <w:spacing w:line="88" w:lineRule="exact"/>
        <w:rPr/>
      </w:pPr>
      <w:r/>
    </w:p>
    <w:tbl>
      <w:tblPr>
        <w:tblStyle w:val="TableNormal"/>
        <w:tblW w:w="1408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61"/>
        <w:gridCol w:w="2046"/>
        <w:gridCol w:w="5842"/>
        <w:gridCol w:w="2176"/>
        <w:gridCol w:w="1932"/>
        <w:gridCol w:w="1324"/>
      </w:tblGrid>
      <w:tr>
        <w:trPr>
          <w:trHeight w:val="661" w:hRule="atLeast"/>
        </w:trPr>
        <w:tc>
          <w:tcPr>
            <w:tcW w:w="761" w:type="dxa"/>
            <w:vAlign w:val="top"/>
          </w:tcPr>
          <w:p>
            <w:pPr>
              <w:ind w:left="145"/>
              <w:spacing w:before="211" w:line="22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-5"/>
              </w:rPr>
              <w:t>序号</w:t>
            </w:r>
          </w:p>
        </w:tc>
        <w:tc>
          <w:tcPr>
            <w:tcW w:w="2046" w:type="dxa"/>
            <w:vAlign w:val="top"/>
          </w:tcPr>
          <w:p>
            <w:pPr>
              <w:ind w:left="668"/>
              <w:spacing w:before="210" w:line="222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-6"/>
              </w:rPr>
              <w:t>名</w:t>
            </w:r>
            <w:r>
              <w:rPr>
                <w:rFonts w:ascii="SimHei" w:hAnsi="SimHei" w:eastAsia="SimHei" w:cs="SimHei"/>
                <w:sz w:val="24"/>
                <w:szCs w:val="24"/>
                <w:spacing w:val="4"/>
              </w:rPr>
              <w:t xml:space="preserve">  </w:t>
            </w:r>
            <w:r>
              <w:rPr>
                <w:rFonts w:ascii="SimHei" w:hAnsi="SimHei" w:eastAsia="SimHei" w:cs="SimHei"/>
                <w:sz w:val="24"/>
                <w:szCs w:val="24"/>
                <w:spacing w:val="-6"/>
              </w:rPr>
              <w:t>称</w:t>
            </w:r>
          </w:p>
        </w:tc>
        <w:tc>
          <w:tcPr>
            <w:tcW w:w="5842" w:type="dxa"/>
            <w:vAlign w:val="top"/>
          </w:tcPr>
          <w:p>
            <w:pPr>
              <w:ind w:left="2444"/>
              <w:spacing w:before="211" w:line="221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-2"/>
              </w:rPr>
              <w:t>淘汰理由</w:t>
            </w:r>
          </w:p>
        </w:tc>
        <w:tc>
          <w:tcPr>
            <w:tcW w:w="2176" w:type="dxa"/>
            <w:vAlign w:val="top"/>
          </w:tcPr>
          <w:p>
            <w:pPr>
              <w:ind w:left="255"/>
              <w:spacing w:before="54" w:line="222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-2"/>
              </w:rPr>
              <w:t>替代产品或工艺</w:t>
            </w:r>
          </w:p>
          <w:p>
            <w:pPr>
              <w:ind w:left="635"/>
              <w:spacing w:before="24" w:line="218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-8"/>
              </w:rPr>
              <w:t>（推荐）</w:t>
            </w:r>
          </w:p>
        </w:tc>
        <w:tc>
          <w:tcPr>
            <w:tcW w:w="1932" w:type="dxa"/>
            <w:vAlign w:val="top"/>
          </w:tcPr>
          <w:p>
            <w:pPr>
              <w:ind w:left="255"/>
              <w:spacing w:before="210" w:line="222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-3"/>
              </w:rPr>
              <w:t>禁止使用时间</w:t>
            </w:r>
          </w:p>
        </w:tc>
        <w:tc>
          <w:tcPr>
            <w:tcW w:w="1324" w:type="dxa"/>
            <w:vAlign w:val="top"/>
          </w:tcPr>
          <w:p>
            <w:pPr>
              <w:ind w:left="186" w:right="180" w:firstLine="4"/>
              <w:spacing w:before="55" w:line="229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-4"/>
              </w:rPr>
              <w:t>禁止使用</w:t>
            </w:r>
            <w:r>
              <w:rPr>
                <w:rFonts w:ascii="SimHei" w:hAnsi="SimHei" w:eastAsia="SimHei" w:cs="SimHei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SimHei" w:hAnsi="SimHei" w:eastAsia="SimHei" w:cs="SimHei"/>
                <w:sz w:val="24"/>
                <w:szCs w:val="24"/>
                <w:spacing w:val="-9"/>
              </w:rPr>
              <w:t>领</w:t>
            </w:r>
            <w:r>
              <w:rPr>
                <w:rFonts w:ascii="SimHei" w:hAnsi="SimHei" w:eastAsia="SimHei" w:cs="SimHei"/>
                <w:sz w:val="24"/>
                <w:szCs w:val="24"/>
                <w:spacing w:val="2"/>
              </w:rPr>
              <w:t xml:space="preserve">    </w:t>
            </w:r>
            <w:r>
              <w:rPr>
                <w:rFonts w:ascii="SimHei" w:hAnsi="SimHei" w:eastAsia="SimHei" w:cs="SimHei"/>
                <w:sz w:val="24"/>
                <w:szCs w:val="24"/>
                <w:spacing w:val="-9"/>
              </w:rPr>
              <w:t>域</w:t>
            </w:r>
          </w:p>
        </w:tc>
      </w:tr>
      <w:tr>
        <w:trPr>
          <w:trHeight w:val="1564" w:hRule="atLeast"/>
        </w:trPr>
        <w:tc>
          <w:tcPr>
            <w:tcW w:w="761" w:type="dxa"/>
            <w:vAlign w:val="top"/>
          </w:tcPr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ind w:left="344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046" w:type="dxa"/>
            <w:vAlign w:val="top"/>
          </w:tcPr>
          <w:p>
            <w:pPr>
              <w:spacing w:line="42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9" w:right="253"/>
              <w:spacing w:before="78" w:line="241" w:lineRule="auto"/>
              <w:rPr/>
            </w:pPr>
            <w:r>
              <w:rPr>
                <w:b/>
                <w:bCs/>
                <w:spacing w:val="-5"/>
              </w:rPr>
              <w:t>采用十字弹簧控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-5"/>
              </w:rPr>
              <w:t>制压力的液压站</w:t>
            </w:r>
          </w:p>
        </w:tc>
        <w:tc>
          <w:tcPr>
            <w:tcW w:w="5842" w:type="dxa"/>
            <w:vAlign w:val="top"/>
          </w:tcPr>
          <w:p>
            <w:pPr>
              <w:pStyle w:val="TableText"/>
              <w:ind w:left="119" w:right="39"/>
              <w:spacing w:before="39" w:line="233" w:lineRule="auto"/>
              <w:jc w:val="both"/>
              <w:rPr/>
            </w:pPr>
            <w:r>
              <w:rPr>
                <w:spacing w:val="-1"/>
              </w:rPr>
              <w:t>矿井提升机制动系统中采用十字弹簧控制压力的液压</w:t>
            </w:r>
            <w:r>
              <w:rPr>
                <w:spacing w:val="3"/>
              </w:rPr>
              <w:t xml:space="preserve">  </w:t>
            </w:r>
            <w:r>
              <w:rPr>
                <w:spacing w:val="-4"/>
              </w:rPr>
              <w:t>站，其弹簧控制压力的方式落后，受加工精度影响大，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调压线性度差，压力调节不稳定，故障率高，易受外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力冲击造成制动油压失控，且调压装置体积大，与液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压站箱体连接复杂，检修和更换困难。</w:t>
            </w:r>
          </w:p>
        </w:tc>
        <w:tc>
          <w:tcPr>
            <w:tcW w:w="2176" w:type="dxa"/>
            <w:vAlign w:val="top"/>
          </w:tcPr>
          <w:p>
            <w:pPr>
              <w:spacing w:line="42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0" w:right="145" w:firstLine="7"/>
              <w:spacing w:before="78" w:line="241" w:lineRule="auto"/>
              <w:rPr/>
            </w:pPr>
            <w:r>
              <w:rPr>
                <w:spacing w:val="-6"/>
              </w:rPr>
              <w:t>电液比例阀或伺服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阀控制的液压站。</w:t>
            </w:r>
          </w:p>
        </w:tc>
        <w:tc>
          <w:tcPr>
            <w:tcW w:w="1932" w:type="dxa"/>
            <w:vAlign w:val="top"/>
          </w:tcPr>
          <w:p>
            <w:pPr>
              <w:pStyle w:val="TableText"/>
              <w:ind w:left="121" w:right="21" w:firstLine="7"/>
              <w:spacing w:before="196"/>
              <w:jc w:val="both"/>
              <w:rPr/>
            </w:pPr>
            <w:r>
              <w:rPr>
                <w:spacing w:val="-4"/>
              </w:rPr>
              <w:t>发布之日起禁止</w:t>
            </w:r>
            <w:r>
              <w:rPr>
                <w:spacing w:val="2"/>
              </w:rPr>
              <w:t xml:space="preserve">  </w:t>
            </w:r>
            <w:r>
              <w:rPr>
                <w:spacing w:val="-3"/>
              </w:rPr>
              <w:t>新选用，在用设</w:t>
            </w:r>
            <w:r>
              <w:rPr>
                <w:spacing w:val="2"/>
              </w:rPr>
              <w:t xml:space="preserve">  </w:t>
            </w:r>
            <w:r>
              <w:rPr>
                <w:spacing w:val="-3"/>
              </w:rPr>
              <w:t>备自发布之日起</w:t>
            </w:r>
            <w:r>
              <w:rPr>
                <w:spacing w:val="2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1 </w:t>
            </w:r>
            <w:r>
              <w:rPr>
                <w:spacing w:val="-9"/>
              </w:rPr>
              <w:t>年后禁止使用。</w:t>
            </w:r>
          </w:p>
        </w:tc>
        <w:tc>
          <w:tcPr>
            <w:tcW w:w="1324" w:type="dxa"/>
            <w:vAlign w:val="top"/>
          </w:tcPr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spacing w:line="29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0"/>
              <w:spacing w:before="78" w:line="220" w:lineRule="auto"/>
              <w:rPr/>
            </w:pPr>
            <w:r>
              <w:rPr>
                <w:spacing w:val="-6"/>
              </w:rPr>
              <w:t>非煤矿山</w:t>
            </w:r>
          </w:p>
        </w:tc>
      </w:tr>
      <w:tr>
        <w:trPr>
          <w:trHeight w:val="1434" w:hRule="atLeast"/>
        </w:trPr>
        <w:tc>
          <w:tcPr>
            <w:tcW w:w="761" w:type="dxa"/>
            <w:vAlign w:val="top"/>
          </w:tcPr>
          <w:p>
            <w:pPr>
              <w:spacing w:line="283" w:lineRule="auto"/>
              <w:rPr>
                <w:rFonts w:ascii="Arial"/>
                <w:sz w:val="21"/>
              </w:rPr>
            </w:pPr>
            <w:r/>
          </w:p>
          <w:p>
            <w:pPr>
              <w:spacing w:line="283" w:lineRule="auto"/>
              <w:rPr>
                <w:rFonts w:ascii="Arial"/>
                <w:sz w:val="21"/>
              </w:rPr>
            </w:pPr>
            <w:r/>
          </w:p>
          <w:p>
            <w:pPr>
              <w:ind w:left="321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046" w:type="dxa"/>
            <w:vAlign w:val="top"/>
          </w:tcPr>
          <w:p>
            <w:pPr>
              <w:spacing w:line="36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8" w:right="253" w:firstLine="26"/>
              <w:spacing w:before="78" w:line="241" w:lineRule="auto"/>
              <w:rPr/>
            </w:pPr>
            <w:r>
              <w:rPr>
                <w:b/>
                <w:bCs/>
                <w:spacing w:val="-8"/>
              </w:rPr>
              <w:t>电传动圆盘式深</w:t>
            </w:r>
            <w:r>
              <w:rPr/>
              <w:t xml:space="preserve"> </w:t>
            </w:r>
            <w:r>
              <w:rPr>
                <w:b/>
                <w:bCs/>
                <w:spacing w:val="-6"/>
              </w:rPr>
              <w:t>度指示器</w:t>
            </w:r>
          </w:p>
        </w:tc>
        <w:tc>
          <w:tcPr>
            <w:tcW w:w="5842" w:type="dxa"/>
            <w:vAlign w:val="top"/>
          </w:tcPr>
          <w:p>
            <w:pPr>
              <w:pStyle w:val="TableText"/>
              <w:ind w:left="119" w:right="213"/>
              <w:spacing w:before="130"/>
              <w:jc w:val="both"/>
              <w:rPr/>
            </w:pPr>
            <w:r>
              <w:rPr>
                <w:spacing w:val="-1"/>
              </w:rPr>
              <w:t>矿用提升系统中采用的电传动圆盘式深度指示器，采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用齿轮传动装置带动自整角机实现提升位置的指示，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存在易断线、易出现调零故障等缺陷，容易产生位置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指示错误，具有较大安全隐患。</w:t>
            </w:r>
          </w:p>
        </w:tc>
        <w:tc>
          <w:tcPr>
            <w:tcW w:w="2176" w:type="dxa"/>
            <w:vAlign w:val="top"/>
          </w:tcPr>
          <w:p>
            <w:pPr>
              <w:spacing w:line="36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1" w:right="145"/>
              <w:spacing w:before="78" w:line="241" w:lineRule="auto"/>
              <w:rPr/>
            </w:pPr>
            <w:r>
              <w:rPr>
                <w:spacing w:val="-2"/>
              </w:rPr>
              <w:t>牌坊式或数字式深</w:t>
            </w:r>
            <w:r>
              <w:rPr/>
              <w:t xml:space="preserve"> </w:t>
            </w:r>
            <w:r>
              <w:rPr>
                <w:spacing w:val="-4"/>
              </w:rPr>
              <w:t>度指示器。</w:t>
            </w:r>
          </w:p>
        </w:tc>
        <w:tc>
          <w:tcPr>
            <w:tcW w:w="1932" w:type="dxa"/>
            <w:vAlign w:val="top"/>
          </w:tcPr>
          <w:p>
            <w:pPr>
              <w:pStyle w:val="TableText"/>
              <w:ind w:left="121" w:right="21" w:firstLine="7"/>
              <w:spacing w:before="126" w:line="241" w:lineRule="auto"/>
              <w:jc w:val="both"/>
              <w:rPr/>
            </w:pPr>
            <w:r>
              <w:rPr>
                <w:spacing w:val="-4"/>
              </w:rPr>
              <w:t>发布之日起禁止</w:t>
            </w:r>
            <w:r>
              <w:rPr>
                <w:spacing w:val="2"/>
              </w:rPr>
              <w:t xml:space="preserve">  </w:t>
            </w:r>
            <w:r>
              <w:rPr>
                <w:spacing w:val="-3"/>
              </w:rPr>
              <w:t>新选用，在用设</w:t>
            </w:r>
            <w:r>
              <w:rPr>
                <w:spacing w:val="2"/>
              </w:rPr>
              <w:t xml:space="preserve">  </w:t>
            </w:r>
            <w:r>
              <w:rPr>
                <w:spacing w:val="-3"/>
              </w:rPr>
              <w:t>备自发布之日起</w:t>
            </w:r>
            <w:r>
              <w:rPr>
                <w:spacing w:val="2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1 </w:t>
            </w:r>
            <w:r>
              <w:rPr>
                <w:spacing w:val="-9"/>
              </w:rPr>
              <w:t>年后禁止使用。</w:t>
            </w:r>
          </w:p>
        </w:tc>
        <w:tc>
          <w:tcPr>
            <w:tcW w:w="1324" w:type="dxa"/>
            <w:vAlign w:val="top"/>
          </w:tcPr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0"/>
              <w:spacing w:before="78" w:line="220" w:lineRule="auto"/>
              <w:rPr/>
            </w:pPr>
            <w:r>
              <w:rPr>
                <w:spacing w:val="-6"/>
              </w:rPr>
              <w:t>非煤矿山</w:t>
            </w:r>
          </w:p>
        </w:tc>
      </w:tr>
      <w:tr>
        <w:trPr>
          <w:trHeight w:val="1042" w:hRule="atLeast"/>
        </w:trPr>
        <w:tc>
          <w:tcPr>
            <w:tcW w:w="761" w:type="dxa"/>
            <w:vAlign w:val="top"/>
          </w:tcPr>
          <w:p>
            <w:pPr>
              <w:spacing w:line="374" w:lineRule="auto"/>
              <w:rPr>
                <w:rFonts w:ascii="Arial"/>
                <w:sz w:val="21"/>
              </w:rPr>
            </w:pPr>
            <w:r/>
          </w:p>
          <w:p>
            <w:pPr>
              <w:ind w:left="326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046" w:type="dxa"/>
            <w:vAlign w:val="top"/>
          </w:tcPr>
          <w:p>
            <w:pPr>
              <w:pStyle w:val="TableText"/>
              <w:ind w:left="121" w:right="253"/>
              <w:spacing w:before="248"/>
              <w:rPr/>
            </w:pPr>
            <w:r>
              <w:rPr>
                <w:b/>
                <w:bCs/>
                <w:spacing w:val="-5"/>
              </w:rPr>
              <w:t>外敷药包爆破法</w:t>
            </w:r>
            <w:r>
              <w:rPr>
                <w:spacing w:val="2"/>
              </w:rPr>
              <w:t xml:space="preserve"> </w:t>
            </w:r>
            <w:r>
              <w:rPr>
                <w:b/>
                <w:bCs/>
                <w:spacing w:val="-5"/>
              </w:rPr>
              <w:t>井下二次破碎</w:t>
            </w:r>
          </w:p>
        </w:tc>
        <w:tc>
          <w:tcPr>
            <w:tcW w:w="5842" w:type="dxa"/>
            <w:vAlign w:val="top"/>
          </w:tcPr>
          <w:p>
            <w:pPr>
              <w:pStyle w:val="TableText"/>
              <w:ind w:left="121" w:right="213"/>
              <w:spacing w:before="92" w:line="241" w:lineRule="auto"/>
              <w:jc w:val="both"/>
              <w:rPr/>
            </w:pPr>
            <w:r>
              <w:rPr>
                <w:spacing w:val="-1"/>
              </w:rPr>
              <w:t>外敷药包爆破法是将药包外敷在大块矿岩表面，直接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采用起爆器材爆破破碎，爆破时产生大量飞石，安全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隐患大。</w:t>
            </w:r>
          </w:p>
        </w:tc>
        <w:tc>
          <w:tcPr>
            <w:tcW w:w="2176" w:type="dxa"/>
            <w:vAlign w:val="top"/>
          </w:tcPr>
          <w:p>
            <w:pPr>
              <w:spacing w:line="32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1"/>
              <w:spacing w:before="78" w:line="221" w:lineRule="auto"/>
              <w:rPr/>
            </w:pPr>
            <w:r>
              <w:rPr>
                <w:spacing w:val="-4"/>
              </w:rPr>
              <w:t>机械破碎。</w:t>
            </w:r>
          </w:p>
        </w:tc>
        <w:tc>
          <w:tcPr>
            <w:tcW w:w="1932" w:type="dxa"/>
            <w:vAlign w:val="top"/>
          </w:tcPr>
          <w:p>
            <w:pPr>
              <w:pStyle w:val="TableText"/>
              <w:ind w:left="129" w:right="140"/>
              <w:spacing w:before="247" w:line="241" w:lineRule="auto"/>
              <w:rPr/>
            </w:pPr>
            <w:r>
              <w:rPr>
                <w:spacing w:val="-4"/>
              </w:rPr>
              <w:t>发布之日起立即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禁止使用。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22" w:right="252" w:firstLine="7"/>
              <w:spacing w:before="247" w:line="242" w:lineRule="auto"/>
              <w:rPr/>
            </w:pPr>
            <w:r>
              <w:rPr>
                <w:spacing w:val="-6"/>
              </w:rPr>
              <w:t>非煤地下</w:t>
            </w:r>
            <w:r>
              <w:rPr/>
              <w:t xml:space="preserve"> </w:t>
            </w:r>
            <w:r>
              <w:rPr>
                <w:spacing w:val="-8"/>
              </w:rPr>
              <w:t>矿山</w:t>
            </w:r>
          </w:p>
        </w:tc>
      </w:tr>
      <w:tr>
        <w:trPr>
          <w:trHeight w:val="1771" w:hRule="atLeast"/>
        </w:trPr>
        <w:tc>
          <w:tcPr>
            <w:tcW w:w="761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left="320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2046" w:type="dxa"/>
            <w:vAlign w:val="top"/>
          </w:tcPr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 w:right="253" w:hanging="3"/>
              <w:spacing w:before="78" w:line="242" w:lineRule="auto"/>
              <w:rPr/>
            </w:pPr>
            <w:r>
              <w:rPr>
                <w:b/>
                <w:bCs/>
                <w:spacing w:val="-5"/>
              </w:rPr>
              <w:t>井下裸装动力开</w:t>
            </w:r>
            <w:r>
              <w:rPr>
                <w:spacing w:val="2"/>
              </w:rPr>
              <w:t xml:space="preserve"> </w:t>
            </w:r>
            <w:r>
              <w:rPr>
                <w:b/>
                <w:bCs/>
                <w:spacing w:val="-10"/>
              </w:rPr>
              <w:t>关装置</w:t>
            </w:r>
          </w:p>
        </w:tc>
        <w:tc>
          <w:tcPr>
            <w:tcW w:w="5842" w:type="dxa"/>
            <w:vAlign w:val="top"/>
          </w:tcPr>
          <w:p>
            <w:pPr>
              <w:pStyle w:val="TableText"/>
              <w:ind w:left="118" w:right="213" w:firstLine="4"/>
              <w:spacing w:before="141" w:line="241" w:lineRule="auto"/>
              <w:jc w:val="both"/>
              <w:rPr/>
            </w:pPr>
            <w:r>
              <w:rPr>
                <w:spacing w:val="-1"/>
              </w:rPr>
              <w:t>井下裸装动力开关装置是一类触点裸露于空气中的刀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闸式动力开关，一般固定在木板或金属支架上，常见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于各类管理尚不够规范的中小型矿山，无安全防护措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施，电气绝缘性差，在井下高湿度条件下，容易发生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触电事故。</w:t>
            </w:r>
          </w:p>
        </w:tc>
        <w:tc>
          <w:tcPr>
            <w:tcW w:w="2176" w:type="dxa"/>
            <w:vAlign w:val="top"/>
          </w:tcPr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6" w:right="145" w:firstLine="2"/>
              <w:spacing w:before="78"/>
              <w:rPr/>
            </w:pPr>
            <w:r>
              <w:rPr>
                <w:spacing w:val="-3"/>
              </w:rPr>
              <w:t>真空开关或开关柜</w:t>
            </w:r>
            <w:r>
              <w:rPr/>
              <w:t xml:space="preserve"> </w:t>
            </w:r>
            <w:r>
              <w:rPr>
                <w:spacing w:val="-6"/>
              </w:rPr>
              <w:t>（箱）。</w:t>
            </w:r>
          </w:p>
        </w:tc>
        <w:tc>
          <w:tcPr>
            <w:tcW w:w="1932" w:type="dxa"/>
            <w:vAlign w:val="top"/>
          </w:tcPr>
          <w:p>
            <w:pPr>
              <w:pStyle w:val="TableText"/>
              <w:ind w:left="121" w:right="21" w:firstLine="7"/>
              <w:spacing w:before="302"/>
              <w:jc w:val="both"/>
              <w:rPr/>
            </w:pPr>
            <w:r>
              <w:rPr>
                <w:spacing w:val="-4"/>
              </w:rPr>
              <w:t>发布之日起禁止</w:t>
            </w:r>
            <w:r>
              <w:rPr>
                <w:spacing w:val="2"/>
              </w:rPr>
              <w:t xml:space="preserve">  </w:t>
            </w:r>
            <w:r>
              <w:rPr>
                <w:spacing w:val="-3"/>
              </w:rPr>
              <w:t>新选用，在用设</w:t>
            </w:r>
            <w:r>
              <w:rPr>
                <w:spacing w:val="2"/>
              </w:rPr>
              <w:t xml:space="preserve">  </w:t>
            </w:r>
            <w:r>
              <w:rPr>
                <w:spacing w:val="-3"/>
              </w:rPr>
              <w:t>备自发布之日起</w:t>
            </w:r>
            <w:r>
              <w:rPr>
                <w:spacing w:val="2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pacing w:val="-9"/>
              </w:rPr>
              <w:t>1 </w:t>
            </w:r>
            <w:r>
              <w:rPr>
                <w:spacing w:val="-9"/>
              </w:rPr>
              <w:t>月后禁止使用。</w:t>
            </w:r>
          </w:p>
        </w:tc>
        <w:tc>
          <w:tcPr>
            <w:tcW w:w="1324" w:type="dxa"/>
            <w:vAlign w:val="top"/>
          </w:tcPr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spacing w:line="34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0"/>
              <w:spacing w:before="79" w:line="220" w:lineRule="auto"/>
              <w:rPr/>
            </w:pPr>
            <w:r>
              <w:rPr>
                <w:spacing w:val="-6"/>
              </w:rPr>
              <w:t>非煤矿山</w:t>
            </w:r>
          </w:p>
        </w:tc>
      </w:tr>
      <w:tr>
        <w:trPr>
          <w:trHeight w:val="943" w:hRule="atLeast"/>
        </w:trPr>
        <w:tc>
          <w:tcPr>
            <w:tcW w:w="761" w:type="dxa"/>
            <w:vAlign w:val="top"/>
          </w:tcPr>
          <w:p>
            <w:pPr>
              <w:spacing w:line="326" w:lineRule="auto"/>
              <w:rPr>
                <w:rFonts w:ascii="Arial"/>
                <w:sz w:val="21"/>
              </w:rPr>
            </w:pPr>
            <w:r/>
          </w:p>
          <w:p>
            <w:pPr>
              <w:ind w:left="328"/>
              <w:spacing w:before="69" w:line="185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2046" w:type="dxa"/>
            <w:vAlign w:val="top"/>
          </w:tcPr>
          <w:p>
            <w:pPr>
              <w:pStyle w:val="TableText"/>
              <w:ind w:left="118" w:right="253" w:firstLine="7"/>
              <w:spacing w:before="195"/>
              <w:rPr/>
            </w:pPr>
            <w:r>
              <w:rPr>
                <w:b/>
                <w:bCs/>
                <w:spacing w:val="-6"/>
              </w:rPr>
              <w:t>干式混凝土喷射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-6"/>
              </w:rPr>
              <w:t>机（车）</w:t>
            </w:r>
          </w:p>
        </w:tc>
        <w:tc>
          <w:tcPr>
            <w:tcW w:w="5842" w:type="dxa"/>
            <w:vAlign w:val="top"/>
          </w:tcPr>
          <w:p>
            <w:pPr>
              <w:pStyle w:val="TableText"/>
              <w:ind w:left="119" w:right="213" w:firstLine="8"/>
              <w:spacing w:before="39" w:line="229" w:lineRule="auto"/>
              <w:jc w:val="both"/>
              <w:rPr/>
            </w:pPr>
            <w:r>
              <w:rPr>
                <w:spacing w:val="-1"/>
              </w:rPr>
              <w:t>干式混凝土喷射机（车）加入的砂石、水泥等喷</w:t>
            </w:r>
            <w:r>
              <w:rPr>
                <w:spacing w:val="-2"/>
              </w:rPr>
              <w:t>射浆</w:t>
            </w:r>
            <w:r>
              <w:rPr/>
              <w:t xml:space="preserve"> </w:t>
            </w:r>
            <w:r>
              <w:rPr>
                <w:spacing w:val="-1"/>
              </w:rPr>
              <w:t>料是干的，工作过程中容易产生较大的粉尘，水灰比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控制难度大，浆料回弹量大，混凝土强度较低，喷射</w:t>
            </w:r>
          </w:p>
        </w:tc>
        <w:tc>
          <w:tcPr>
            <w:tcW w:w="2176" w:type="dxa"/>
            <w:vAlign w:val="top"/>
          </w:tcPr>
          <w:p>
            <w:pPr>
              <w:pStyle w:val="TableText"/>
              <w:ind w:left="126" w:right="145" w:hanging="2"/>
              <w:spacing w:before="195"/>
              <w:rPr/>
            </w:pPr>
            <w:r>
              <w:rPr>
                <w:spacing w:val="-3"/>
              </w:rPr>
              <w:t>湿式混凝土喷射机</w:t>
            </w:r>
            <w:r>
              <w:rPr>
                <w:spacing w:val="4"/>
              </w:rPr>
              <w:t xml:space="preserve"> </w:t>
            </w:r>
            <w:r>
              <w:rPr>
                <w:spacing w:val="-6"/>
              </w:rPr>
              <w:t>（车）。</w:t>
            </w:r>
          </w:p>
        </w:tc>
        <w:tc>
          <w:tcPr>
            <w:tcW w:w="1932" w:type="dxa"/>
            <w:vAlign w:val="top"/>
          </w:tcPr>
          <w:p>
            <w:pPr>
              <w:pStyle w:val="TableText"/>
              <w:ind w:left="121" w:right="140" w:firstLine="7"/>
              <w:spacing w:before="39" w:line="229" w:lineRule="auto"/>
              <w:jc w:val="both"/>
              <w:rPr/>
            </w:pPr>
            <w:r>
              <w:rPr>
                <w:spacing w:val="-4"/>
              </w:rPr>
              <w:t>发布之日起禁止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新选用，在用设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备自发布之日起</w:t>
            </w:r>
          </w:p>
        </w:tc>
        <w:tc>
          <w:tcPr>
            <w:tcW w:w="1324" w:type="dxa"/>
            <w:vAlign w:val="top"/>
          </w:tcPr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0"/>
              <w:spacing w:before="78" w:line="220" w:lineRule="auto"/>
              <w:rPr/>
            </w:pPr>
            <w:r>
              <w:rPr>
                <w:spacing w:val="-6"/>
              </w:rPr>
              <w:t>非煤矿山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"/>
          <w:pgSz w:w="16839" w:h="11906"/>
          <w:pgMar w:top="1012" w:right="1328" w:bottom="1176" w:left="1423" w:header="0" w:footer="99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186"/>
        <w:rPr/>
      </w:pPr>
      <w:r/>
    </w:p>
    <w:tbl>
      <w:tblPr>
        <w:tblStyle w:val="TableNormal"/>
        <w:tblW w:w="1408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61"/>
        <w:gridCol w:w="2046"/>
        <w:gridCol w:w="5842"/>
        <w:gridCol w:w="2176"/>
        <w:gridCol w:w="1932"/>
        <w:gridCol w:w="1324"/>
      </w:tblGrid>
      <w:tr>
        <w:trPr>
          <w:trHeight w:val="399" w:hRule="atLeast"/>
        </w:trPr>
        <w:tc>
          <w:tcPr>
            <w:tcW w:w="76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4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42" w:type="dxa"/>
            <w:vAlign w:val="top"/>
          </w:tcPr>
          <w:p>
            <w:pPr>
              <w:pStyle w:val="TableText"/>
              <w:ind w:left="125"/>
              <w:spacing w:before="42" w:line="220" w:lineRule="auto"/>
              <w:rPr/>
            </w:pPr>
            <w:r>
              <w:rPr>
                <w:spacing w:val="-2"/>
              </w:rPr>
              <w:t>质量与操作手的熟练程度有关。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32" w:type="dxa"/>
            <w:vAlign w:val="top"/>
          </w:tcPr>
          <w:p>
            <w:pPr>
              <w:pStyle w:val="TableText"/>
              <w:spacing w:before="42" w:line="222" w:lineRule="auto"/>
              <w:jc w:val="right"/>
              <w:rPr/>
            </w:pPr>
            <w:r>
              <w:rPr>
                <w:rFonts w:ascii="Times New Roman" w:hAnsi="Times New Roman" w:eastAsia="Times New Roman" w:cs="Times New Roman"/>
                <w:spacing w:val="-10"/>
              </w:rPr>
              <w:t>1 </w:t>
            </w:r>
            <w:r>
              <w:rPr>
                <w:spacing w:val="-10"/>
              </w:rPr>
              <w:t>年后禁止使用。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6" w:hRule="atLeast"/>
        </w:trPr>
        <w:tc>
          <w:tcPr>
            <w:tcW w:w="761" w:type="dxa"/>
            <w:vAlign w:val="top"/>
          </w:tcPr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ind w:left="326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2046" w:type="dxa"/>
            <w:vAlign w:val="top"/>
          </w:tcPr>
          <w:p>
            <w:pPr>
              <w:pStyle w:val="TableText"/>
              <w:ind w:left="117" w:right="274" w:firstLine="8"/>
              <w:spacing w:before="136"/>
              <w:rPr/>
            </w:pPr>
            <w:r>
              <w:rPr>
                <w:b/>
                <w:bCs/>
                <w:spacing w:val="-9"/>
              </w:rPr>
              <w:t>干式锚杆（索）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-6"/>
              </w:rPr>
              <w:t>钻孔作业</w:t>
            </w:r>
          </w:p>
        </w:tc>
        <w:tc>
          <w:tcPr>
            <w:tcW w:w="5842" w:type="dxa"/>
            <w:vAlign w:val="top"/>
          </w:tcPr>
          <w:p>
            <w:pPr>
              <w:pStyle w:val="TableText"/>
              <w:spacing w:before="293" w:line="220" w:lineRule="auto"/>
              <w:jc w:val="right"/>
              <w:rPr/>
            </w:pPr>
            <w:r>
              <w:rPr>
                <w:spacing w:val="-3"/>
              </w:rPr>
              <w:t>干式锚杆（索）钻孔作业，无捕尘装置，粉尘危害</w:t>
            </w:r>
            <w:r>
              <w:rPr>
                <w:spacing w:val="-4"/>
              </w:rPr>
              <w:t>大。</w:t>
            </w:r>
          </w:p>
        </w:tc>
        <w:tc>
          <w:tcPr>
            <w:tcW w:w="2176" w:type="dxa"/>
            <w:vAlign w:val="top"/>
          </w:tcPr>
          <w:p>
            <w:pPr>
              <w:pStyle w:val="TableText"/>
              <w:ind w:left="121" w:right="145" w:firstLine="2"/>
              <w:spacing w:before="138" w:line="246" w:lineRule="auto"/>
              <w:rPr/>
            </w:pPr>
            <w:r>
              <w:rPr>
                <w:spacing w:val="-3"/>
              </w:rPr>
              <w:t>湿式锚杆（索）作</w:t>
            </w:r>
            <w:r>
              <w:rPr>
                <w:spacing w:val="4"/>
              </w:rPr>
              <w:t xml:space="preserve"> </w:t>
            </w:r>
            <w:r>
              <w:rPr>
                <w:spacing w:val="-8"/>
              </w:rPr>
              <w:t>业。</w:t>
            </w:r>
          </w:p>
        </w:tc>
        <w:tc>
          <w:tcPr>
            <w:tcW w:w="1932" w:type="dxa"/>
            <w:vAlign w:val="top"/>
          </w:tcPr>
          <w:p>
            <w:pPr>
              <w:pStyle w:val="TableText"/>
              <w:ind w:left="129" w:right="140"/>
              <w:spacing w:before="136" w:line="241" w:lineRule="auto"/>
              <w:rPr/>
            </w:pPr>
            <w:r>
              <w:rPr>
                <w:spacing w:val="-4"/>
              </w:rPr>
              <w:t>发布之日起立即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禁止使用。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30"/>
              <w:spacing w:before="293" w:line="220" w:lineRule="auto"/>
              <w:rPr/>
            </w:pPr>
            <w:r>
              <w:rPr>
                <w:spacing w:val="-6"/>
              </w:rPr>
              <w:t>非煤矿山</w:t>
            </w:r>
          </w:p>
        </w:tc>
      </w:tr>
      <w:tr>
        <w:trPr>
          <w:trHeight w:val="1252" w:hRule="atLeast"/>
        </w:trPr>
        <w:tc>
          <w:tcPr>
            <w:tcW w:w="761" w:type="dxa"/>
            <w:vAlign w:val="top"/>
          </w:tcPr>
          <w:p>
            <w:pPr>
              <w:spacing w:line="479" w:lineRule="auto"/>
              <w:rPr>
                <w:rFonts w:ascii="Arial"/>
                <w:sz w:val="21"/>
              </w:rPr>
            </w:pPr>
            <w:r/>
          </w:p>
          <w:p>
            <w:pPr>
              <w:ind w:left="325"/>
              <w:spacing w:before="69" w:line="185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2046" w:type="dxa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8" w:right="253" w:firstLine="6"/>
              <w:spacing w:before="78" w:line="241" w:lineRule="auto"/>
              <w:rPr/>
            </w:pPr>
            <w:r>
              <w:rPr>
                <w:b/>
                <w:bCs/>
                <w:spacing w:val="-6"/>
              </w:rPr>
              <w:t>活塞式移动空压</w:t>
            </w:r>
            <w:r>
              <w:rPr>
                <w:spacing w:val="5"/>
              </w:rPr>
              <w:t xml:space="preserve"> </w:t>
            </w:r>
            <w:r>
              <w:rPr>
                <w:b/>
                <w:bCs/>
                <w:spacing w:val="-3"/>
              </w:rPr>
              <w:t>机</w:t>
            </w:r>
          </w:p>
        </w:tc>
        <w:tc>
          <w:tcPr>
            <w:tcW w:w="5842" w:type="dxa"/>
            <w:vAlign w:val="top"/>
          </w:tcPr>
          <w:p>
            <w:pPr>
              <w:pStyle w:val="TableText"/>
              <w:ind w:left="122" w:right="39" w:firstLine="3"/>
              <w:spacing w:before="4" w:line="238" w:lineRule="auto"/>
              <w:jc w:val="both"/>
              <w:rPr/>
            </w:pPr>
            <w:r>
              <w:rPr>
                <w:spacing w:val="-1"/>
              </w:rPr>
              <w:t>活塞式移动空压机需要</w:t>
            </w:r>
            <w:hyperlink w:history="true" r:id="rId3">
              <w:r>
                <w:rPr>
                  <w:spacing w:val="-1"/>
                </w:rPr>
                <w:t>贮气罐</w:t>
              </w:r>
            </w:hyperlink>
            <w:r>
              <w:rPr>
                <w:spacing w:val="-1"/>
              </w:rPr>
              <w:t>，电机功率偏大，振动</w:t>
            </w:r>
            <w:r>
              <w:rPr/>
              <w:t xml:space="preserve">  </w:t>
            </w:r>
            <w:r>
              <w:rPr>
                <w:spacing w:val="-4"/>
              </w:rPr>
              <w:t>大，噪声大，排气有脉冲，压力不稳定，排气温度高，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易造成润滑油积碳，存在着火及燃爆隐患，安全性能</w:t>
            </w:r>
            <w:r>
              <w:rPr>
                <w:spacing w:val="1"/>
              </w:rPr>
              <w:t xml:space="preserve">  </w:t>
            </w:r>
            <w:r>
              <w:rPr>
                <w:spacing w:val="-10"/>
              </w:rPr>
              <w:t>差。</w:t>
            </w:r>
          </w:p>
        </w:tc>
        <w:tc>
          <w:tcPr>
            <w:tcW w:w="2176" w:type="dxa"/>
            <w:vAlign w:val="top"/>
          </w:tcPr>
          <w:p>
            <w:pPr>
              <w:pStyle w:val="TableText"/>
              <w:ind w:left="121" w:right="145" w:firstLine="2"/>
              <w:spacing w:before="192" w:line="241" w:lineRule="auto"/>
              <w:jc w:val="both"/>
              <w:rPr/>
            </w:pPr>
            <w:r>
              <w:rPr>
                <w:spacing w:val="-3"/>
              </w:rPr>
              <w:t>螺杆式空压机或集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中管路供气式空压</w:t>
            </w:r>
            <w:r>
              <w:rPr/>
              <w:t xml:space="preserve"> </w:t>
            </w:r>
            <w:r>
              <w:rPr>
                <w:spacing w:val="-8"/>
              </w:rPr>
              <w:t>机。</w:t>
            </w:r>
          </w:p>
        </w:tc>
        <w:tc>
          <w:tcPr>
            <w:tcW w:w="1932" w:type="dxa"/>
            <w:vAlign w:val="top"/>
          </w:tcPr>
          <w:p>
            <w:pPr>
              <w:pStyle w:val="TableText"/>
              <w:ind w:left="111" w:right="21" w:firstLine="17"/>
              <w:spacing w:before="35" w:line="232" w:lineRule="auto"/>
              <w:jc w:val="both"/>
              <w:rPr/>
            </w:pPr>
            <w:r>
              <w:rPr>
                <w:spacing w:val="-4"/>
              </w:rPr>
              <w:t>发布之日起禁止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新选用，在用设</w:t>
            </w:r>
            <w:r>
              <w:rPr/>
              <w:t xml:space="preserve">  </w:t>
            </w:r>
            <w:r>
              <w:rPr>
                <w:spacing w:val="-1"/>
              </w:rPr>
              <w:t>备自发布之日起</w:t>
            </w:r>
            <w:r>
              <w:rPr/>
              <w:t xml:space="preserve">  </w:t>
            </w:r>
            <w:r>
              <w:rPr>
                <w:rFonts w:ascii="Times New Roman" w:hAnsi="Times New Roman" w:eastAsia="Times New Roman" w:cs="Times New Roman"/>
                <w:spacing w:val="-8"/>
              </w:rPr>
              <w:t>2 </w:t>
            </w:r>
            <w:r>
              <w:rPr>
                <w:spacing w:val="-8"/>
              </w:rPr>
              <w:t>年后禁止使用。</w:t>
            </w:r>
          </w:p>
        </w:tc>
        <w:tc>
          <w:tcPr>
            <w:tcW w:w="1324" w:type="dxa"/>
            <w:vAlign w:val="top"/>
          </w:tcPr>
          <w:p>
            <w:pPr>
              <w:spacing w:line="42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0"/>
              <w:spacing w:before="78" w:line="220" w:lineRule="auto"/>
              <w:rPr/>
            </w:pPr>
            <w:r>
              <w:rPr>
                <w:spacing w:val="-6"/>
              </w:rPr>
              <w:t>非煤矿山</w:t>
            </w:r>
          </w:p>
        </w:tc>
      </w:tr>
      <w:tr>
        <w:trPr>
          <w:trHeight w:val="1454" w:hRule="atLeast"/>
        </w:trPr>
        <w:tc>
          <w:tcPr>
            <w:tcW w:w="761" w:type="dxa"/>
            <w:vAlign w:val="top"/>
          </w:tcPr>
          <w:p>
            <w:pPr>
              <w:spacing w:line="289" w:lineRule="auto"/>
              <w:rPr>
                <w:rFonts w:ascii="Arial"/>
                <w:sz w:val="21"/>
              </w:rPr>
            </w:pPr>
            <w:r/>
          </w:p>
          <w:p>
            <w:pPr>
              <w:spacing w:line="289" w:lineRule="auto"/>
              <w:rPr>
                <w:rFonts w:ascii="Arial"/>
                <w:sz w:val="21"/>
              </w:rPr>
            </w:pPr>
            <w:r/>
          </w:p>
          <w:p>
            <w:pPr>
              <w:ind w:left="331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2046" w:type="dxa"/>
            <w:vAlign w:val="top"/>
          </w:tcPr>
          <w:p>
            <w:pPr>
              <w:pStyle w:val="TableText"/>
              <w:ind w:left="118" w:right="253" w:firstLine="1"/>
              <w:spacing w:before="299"/>
              <w:jc w:val="both"/>
              <w:rPr/>
            </w:pPr>
            <w:r>
              <w:rPr>
                <w:b/>
                <w:bCs/>
                <w:spacing w:val="-5"/>
              </w:rPr>
              <w:t>提升机和提升绞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-5"/>
              </w:rPr>
              <w:t>车油缸前置式盘</w:t>
            </w:r>
            <w:r>
              <w:rPr>
                <w:spacing w:val="5"/>
              </w:rPr>
              <w:t xml:space="preserve"> </w:t>
            </w:r>
            <w:r>
              <w:rPr>
                <w:b/>
                <w:bCs/>
                <w:spacing w:val="-6"/>
              </w:rPr>
              <w:t>形制动器</w:t>
            </w:r>
          </w:p>
        </w:tc>
        <w:tc>
          <w:tcPr>
            <w:tcW w:w="5842" w:type="dxa"/>
            <w:vAlign w:val="top"/>
          </w:tcPr>
          <w:p>
            <w:pPr>
              <w:pStyle w:val="TableText"/>
              <w:ind w:left="119" w:right="213" w:firstLine="2"/>
              <w:spacing w:before="143" w:line="242" w:lineRule="auto"/>
              <w:jc w:val="both"/>
              <w:rPr/>
            </w:pPr>
            <w:r>
              <w:rPr>
                <w:spacing w:val="-1"/>
              </w:rPr>
              <w:t>在柱销密封圈磨损后，压力油容易通过柱销孔渗至闸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瓦从而污染制动盘，造成磨损系数减小、制动力矩不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足，安全隐患大，且制动器调整和维护困难，可靠性</w:t>
            </w:r>
            <w:r>
              <w:rPr>
                <w:spacing w:val="6"/>
              </w:rPr>
              <w:t xml:space="preserve"> </w:t>
            </w:r>
            <w:r>
              <w:rPr>
                <w:spacing w:val="-8"/>
              </w:rPr>
              <w:t>差。</w:t>
            </w:r>
          </w:p>
        </w:tc>
        <w:tc>
          <w:tcPr>
            <w:tcW w:w="2176" w:type="dxa"/>
            <w:vAlign w:val="top"/>
          </w:tcPr>
          <w:p>
            <w:pPr>
              <w:pStyle w:val="TableText"/>
              <w:ind w:left="123" w:right="145"/>
              <w:spacing w:before="298" w:line="241" w:lineRule="auto"/>
              <w:jc w:val="both"/>
              <w:rPr/>
            </w:pPr>
            <w:r>
              <w:rPr>
                <w:spacing w:val="-3"/>
              </w:rPr>
              <w:t>提升机和提升绞车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油缸后置式盘形制</w:t>
            </w:r>
            <w:r>
              <w:rPr>
                <w:spacing w:val="4"/>
              </w:rPr>
              <w:t xml:space="preserve"> </w:t>
            </w:r>
            <w:r>
              <w:rPr>
                <w:spacing w:val="-7"/>
              </w:rPr>
              <w:t>动器。</w:t>
            </w:r>
          </w:p>
        </w:tc>
        <w:tc>
          <w:tcPr>
            <w:tcW w:w="1932" w:type="dxa"/>
            <w:vAlign w:val="top"/>
          </w:tcPr>
          <w:p>
            <w:pPr>
              <w:pStyle w:val="TableText"/>
              <w:ind w:left="121" w:right="140" w:firstLine="7"/>
              <w:spacing w:before="144"/>
              <w:jc w:val="both"/>
              <w:rPr/>
            </w:pPr>
            <w:r>
              <w:rPr>
                <w:spacing w:val="-4"/>
              </w:rPr>
              <w:t>发布之日起禁止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新选用，发布之</w:t>
            </w:r>
            <w:r>
              <w:rPr>
                <w:spacing w:val="4"/>
              </w:rPr>
              <w:t xml:space="preserve"> </w:t>
            </w:r>
            <w:r>
              <w:rPr>
                <w:spacing w:val="-10"/>
              </w:rPr>
              <w:t>日起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0"/>
                <w:w w:val="101"/>
              </w:rPr>
              <w:t xml:space="preserve"> </w:t>
            </w:r>
            <w:r>
              <w:rPr>
                <w:spacing w:val="-10"/>
              </w:rPr>
              <w:t>年后禁止</w:t>
            </w:r>
            <w:r>
              <w:rPr/>
              <w:t xml:space="preserve"> </w:t>
            </w:r>
            <w:r>
              <w:rPr>
                <w:spacing w:val="-6"/>
              </w:rPr>
              <w:t>使用。</w:t>
            </w:r>
          </w:p>
        </w:tc>
        <w:tc>
          <w:tcPr>
            <w:tcW w:w="1324" w:type="dxa"/>
            <w:vAlign w:val="top"/>
          </w:tcPr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0"/>
              <w:spacing w:before="78" w:line="220" w:lineRule="auto"/>
              <w:rPr/>
            </w:pPr>
            <w:r>
              <w:rPr>
                <w:spacing w:val="-6"/>
              </w:rPr>
              <w:t>非煤矿山</w:t>
            </w:r>
          </w:p>
        </w:tc>
      </w:tr>
      <w:tr>
        <w:trPr>
          <w:trHeight w:val="628" w:hRule="atLeast"/>
        </w:trPr>
        <w:tc>
          <w:tcPr>
            <w:tcW w:w="761" w:type="dxa"/>
            <w:vAlign w:val="top"/>
          </w:tcPr>
          <w:p>
            <w:pPr>
              <w:ind w:left="326"/>
              <w:spacing w:before="238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2046" w:type="dxa"/>
            <w:vAlign w:val="top"/>
          </w:tcPr>
          <w:p>
            <w:pPr>
              <w:pStyle w:val="TableText"/>
              <w:ind w:left="123" w:right="253" w:hanging="2"/>
              <w:spacing w:before="40" w:line="222" w:lineRule="auto"/>
              <w:rPr/>
            </w:pPr>
            <w:r>
              <w:rPr>
                <w:b/>
                <w:bCs/>
                <w:spacing w:val="-5"/>
              </w:rPr>
              <w:t>普通轨插爪式人</w:t>
            </w:r>
            <w:r>
              <w:rPr>
                <w:spacing w:val="2"/>
              </w:rPr>
              <w:t xml:space="preserve"> </w:t>
            </w:r>
            <w:r>
              <w:rPr>
                <w:b/>
                <w:bCs/>
                <w:spacing w:val="-3"/>
              </w:rPr>
              <w:t>车</w:t>
            </w:r>
          </w:p>
        </w:tc>
        <w:tc>
          <w:tcPr>
            <w:tcW w:w="5842" w:type="dxa"/>
            <w:vAlign w:val="top"/>
          </w:tcPr>
          <w:p>
            <w:pPr>
              <w:pStyle w:val="TableText"/>
              <w:ind w:left="120" w:right="107" w:firstLine="2"/>
              <w:spacing w:before="40" w:line="222" w:lineRule="auto"/>
              <w:rPr/>
            </w:pPr>
            <w:r>
              <w:rPr>
                <w:spacing w:val="3"/>
              </w:rPr>
              <w:t>存在跑车、掉道及侧翻等安全隐患，事故率较高，车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体重，制动可靠性较低。</w:t>
            </w:r>
          </w:p>
        </w:tc>
        <w:tc>
          <w:tcPr>
            <w:tcW w:w="2176" w:type="dxa"/>
            <w:vAlign w:val="top"/>
          </w:tcPr>
          <w:p>
            <w:pPr>
              <w:pStyle w:val="TableText"/>
              <w:ind w:left="122"/>
              <w:spacing w:before="197" w:line="224" w:lineRule="auto"/>
              <w:rPr/>
            </w:pPr>
            <w:r>
              <w:rPr>
                <w:spacing w:val="-4"/>
              </w:rPr>
              <w:t>企业自选。</w:t>
            </w:r>
          </w:p>
        </w:tc>
        <w:tc>
          <w:tcPr>
            <w:tcW w:w="1932" w:type="dxa"/>
            <w:vAlign w:val="top"/>
          </w:tcPr>
          <w:p>
            <w:pPr>
              <w:pStyle w:val="TableText"/>
              <w:ind w:left="129" w:right="140"/>
              <w:spacing w:before="40" w:line="222" w:lineRule="auto"/>
              <w:rPr/>
            </w:pPr>
            <w:r>
              <w:rPr>
                <w:spacing w:val="-4"/>
              </w:rPr>
              <w:t>发布之日起立即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禁止使用。</w:t>
            </w:r>
          </w:p>
        </w:tc>
        <w:tc>
          <w:tcPr>
            <w:tcW w:w="1324" w:type="dxa"/>
            <w:vAlign w:val="top"/>
          </w:tcPr>
          <w:p>
            <w:pPr>
              <w:pStyle w:val="TableText"/>
              <w:ind w:left="130"/>
              <w:spacing w:before="197" w:line="220" w:lineRule="auto"/>
              <w:rPr/>
            </w:pPr>
            <w:r>
              <w:rPr>
                <w:spacing w:val="-6"/>
              </w:rPr>
              <w:t>非煤矿山</w:t>
            </w:r>
          </w:p>
        </w:tc>
      </w:tr>
      <w:tr>
        <w:trPr>
          <w:trHeight w:val="1257" w:hRule="atLeast"/>
        </w:trPr>
        <w:tc>
          <w:tcPr>
            <w:tcW w:w="761" w:type="dxa"/>
            <w:vAlign w:val="top"/>
          </w:tcPr>
          <w:p>
            <w:pPr>
              <w:spacing w:line="479" w:lineRule="auto"/>
              <w:rPr>
                <w:rFonts w:ascii="Arial"/>
                <w:sz w:val="21"/>
              </w:rPr>
            </w:pPr>
            <w:r/>
          </w:p>
          <w:p>
            <w:pPr>
              <w:ind w:left="284"/>
              <w:spacing w:before="69" w:line="188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-15"/>
              </w:rPr>
              <w:t>10</w:t>
            </w:r>
          </w:p>
        </w:tc>
        <w:tc>
          <w:tcPr>
            <w:tcW w:w="2046" w:type="dxa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3" w:right="253" w:firstLine="2"/>
              <w:spacing w:before="78"/>
              <w:rPr/>
            </w:pPr>
            <w:r>
              <w:rPr>
                <w:b/>
                <w:bCs/>
                <w:spacing w:val="-6"/>
              </w:rPr>
              <w:t>非标准的矿山井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-5"/>
              </w:rPr>
              <w:t>下机动运输车辆</w:t>
            </w:r>
          </w:p>
        </w:tc>
        <w:tc>
          <w:tcPr>
            <w:tcW w:w="5842" w:type="dxa"/>
            <w:vAlign w:val="top"/>
          </w:tcPr>
          <w:p>
            <w:pPr>
              <w:pStyle w:val="TableText"/>
              <w:ind w:left="120" w:right="105" w:hanging="1"/>
              <w:spacing w:before="196"/>
              <w:jc w:val="both"/>
              <w:rPr/>
            </w:pPr>
            <w:r>
              <w:rPr>
                <w:spacing w:val="4"/>
              </w:rPr>
              <w:t>矿用机动运输车辆的结构和零部件被非标改</w:t>
            </w:r>
            <w:r>
              <w:rPr>
                <w:spacing w:val="3"/>
              </w:rPr>
              <w:t>造或拼装</w:t>
            </w:r>
            <w:r>
              <w:rPr/>
              <w:t xml:space="preserve"> </w:t>
            </w:r>
            <w:r>
              <w:rPr>
                <w:spacing w:val="4"/>
              </w:rPr>
              <w:t>后，存在刹车失灵、动力性能不足、车辆防护</w:t>
            </w:r>
            <w:r>
              <w:rPr>
                <w:spacing w:val="3"/>
              </w:rPr>
              <w:t>性能差</w:t>
            </w:r>
            <w:r>
              <w:rPr/>
              <w:t xml:space="preserve"> </w:t>
            </w:r>
            <w:r>
              <w:rPr>
                <w:spacing w:val="-2"/>
              </w:rPr>
              <w:t>等问题，严重降低了车辆的安全性。</w:t>
            </w:r>
          </w:p>
        </w:tc>
        <w:tc>
          <w:tcPr>
            <w:tcW w:w="2176" w:type="dxa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2" w:right="145" w:hanging="1"/>
              <w:spacing w:before="78"/>
              <w:rPr/>
            </w:pPr>
            <w:r>
              <w:rPr>
                <w:spacing w:val="-2"/>
              </w:rPr>
              <w:t>矿山井下专用机动</w:t>
            </w:r>
            <w:r>
              <w:rPr/>
              <w:t xml:space="preserve"> </w:t>
            </w:r>
            <w:r>
              <w:rPr>
                <w:spacing w:val="-4"/>
              </w:rPr>
              <w:t>运输车辆。</w:t>
            </w:r>
          </w:p>
        </w:tc>
        <w:tc>
          <w:tcPr>
            <w:tcW w:w="1932" w:type="dxa"/>
            <w:vAlign w:val="top"/>
          </w:tcPr>
          <w:p>
            <w:pPr>
              <w:pStyle w:val="TableText"/>
              <w:ind w:left="121" w:right="140" w:firstLine="7"/>
              <w:spacing w:before="40" w:line="232" w:lineRule="auto"/>
              <w:jc w:val="both"/>
              <w:rPr/>
            </w:pPr>
            <w:r>
              <w:rPr>
                <w:spacing w:val="-4"/>
              </w:rPr>
              <w:t>发布之日起禁止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新选用，发布之</w:t>
            </w:r>
            <w:r>
              <w:rPr>
                <w:spacing w:val="4"/>
              </w:rPr>
              <w:t xml:space="preserve"> </w:t>
            </w:r>
            <w:r>
              <w:rPr>
                <w:spacing w:val="-10"/>
              </w:rPr>
              <w:t>日起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</w:rPr>
              <w:t>1</w:t>
            </w:r>
            <w:r>
              <w:rPr>
                <w:rFonts w:ascii="Times New Roman" w:hAnsi="Times New Roman" w:eastAsia="Times New Roman" w:cs="Times New Roman"/>
                <w:spacing w:val="20"/>
                <w:w w:val="101"/>
              </w:rPr>
              <w:t xml:space="preserve"> </w:t>
            </w:r>
            <w:r>
              <w:rPr>
                <w:spacing w:val="-10"/>
              </w:rPr>
              <w:t>年后禁止</w:t>
            </w:r>
            <w:r>
              <w:rPr/>
              <w:t xml:space="preserve"> </w:t>
            </w:r>
            <w:r>
              <w:rPr>
                <w:spacing w:val="-6"/>
              </w:rPr>
              <w:t>使用。</w:t>
            </w:r>
          </w:p>
        </w:tc>
        <w:tc>
          <w:tcPr>
            <w:tcW w:w="1324" w:type="dxa"/>
            <w:vAlign w:val="top"/>
          </w:tcPr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2" w:right="252"/>
              <w:spacing w:before="78"/>
              <w:rPr/>
            </w:pPr>
            <w:r>
              <w:rPr>
                <w:spacing w:val="-4"/>
              </w:rPr>
              <w:t>煤矿和非</w:t>
            </w:r>
            <w:r>
              <w:rPr/>
              <w:t xml:space="preserve"> </w:t>
            </w:r>
            <w:r>
              <w:rPr>
                <w:spacing w:val="-6"/>
              </w:rPr>
              <w:t>煤矿山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2"/>
      <w:pgSz w:w="16839" w:h="11906"/>
      <w:pgMar w:top="1012" w:right="1328" w:bottom="1176" w:left="1423" w:header="0" w:footer="9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968"/>
      <w:spacing w:line="184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949"/>
      <w:spacing w:line="184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2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FangSong" w:hAnsi="FangSong" w:eastAsia="FangSong" w:cs="FangSong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hyperlink" Target="https://baike.baidu.com/item/%E8%B4%AE%E6%B0%94%E7%BD%90/12734088?fromModule=lemma_inlink" TargetMode="External"/><Relationship Id="rId2" Type="http://schemas.openxmlformats.org/officeDocument/2006/relationships/footer" Target="footer2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刘逸</dc:creator>
  <dcterms:created xsi:type="dcterms:W3CDTF">2024-06-21T15:45:28Z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2025-09-23T11:25:43</vt:filetime>
  </property>
</Properties>
</file>