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before="351" w:line="219" w:lineRule="auto"/>
        <w:outlineLvl w:val="0"/>
        <w:jc w:val="right"/>
        <w:rPr>
          <w:rFonts w:ascii="SimSun" w:hAnsi="SimSun" w:eastAsia="SimSun" w:cs="SimSun"/>
          <w:sz w:val="108"/>
          <w:szCs w:val="108"/>
        </w:rPr>
      </w:pPr>
      <w:r>
        <w:rPr>
          <w:rFonts w:ascii="SimSun" w:hAnsi="SimSun" w:eastAsia="SimSun" w:cs="SimSun"/>
          <w:sz w:val="108"/>
          <w:szCs w:val="108"/>
          <w:b/>
          <w:bCs/>
          <w:color w:val="D04030"/>
          <w:spacing w:val="-62"/>
          <w:w w:val="54"/>
        </w:rPr>
        <w:t>国务院安全生产委员会办公室文</w:t>
      </w:r>
      <w:r>
        <w:rPr>
          <w:rFonts w:ascii="SimSun" w:hAnsi="SimSun" w:eastAsia="SimSun" w:cs="SimSun"/>
          <w:sz w:val="108"/>
          <w:szCs w:val="108"/>
          <w:b/>
          <w:bCs/>
          <w:color w:val="D04030"/>
          <w:spacing w:val="-47"/>
          <w:w w:val="54"/>
        </w:rPr>
        <w:t>件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3149"/>
        <w:spacing w:before="95" w:line="223" w:lineRule="auto"/>
        <w:rPr>
          <w:sz w:val="29"/>
          <w:szCs w:val="29"/>
        </w:rPr>
      </w:pPr>
      <w:r>
        <w:rPr>
          <w:sz w:val="29"/>
          <w:szCs w:val="29"/>
          <w:spacing w:val="8"/>
        </w:rPr>
        <w:t>安委办〔2019〕9号</w:t>
      </w:r>
    </w:p>
    <w:p>
      <w:pPr>
        <w:ind w:firstLine="9"/>
        <w:spacing w:before="208" w:line="60" w:lineRule="exact"/>
        <w:rPr/>
      </w:pPr>
      <w:r>
        <w:rPr>
          <w:position w:val="-1"/>
        </w:rPr>
        <w:drawing>
          <wp:inline distT="0" distB="0" distL="0" distR="0">
            <wp:extent cx="5607073" cy="3806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7073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1695"/>
        <w:spacing w:before="130" w:line="219" w:lineRule="auto"/>
        <w:rPr>
          <w:rFonts w:ascii="SimSun" w:hAnsi="SimSun" w:eastAsia="SimSun" w:cs="SimSun"/>
          <w:sz w:val="40"/>
          <w:szCs w:val="40"/>
        </w:rPr>
      </w:pPr>
      <w:r>
        <w:rPr>
          <w:rFonts w:ascii="SimSun" w:hAnsi="SimSun" w:eastAsia="SimSun" w:cs="SimSun"/>
          <w:sz w:val="40"/>
          <w:szCs w:val="40"/>
          <w:b/>
          <w:bCs/>
          <w:spacing w:val="13"/>
        </w:rPr>
        <w:t>国务院安委会办公室关于做好</w:t>
      </w:r>
    </w:p>
    <w:p>
      <w:pPr>
        <w:ind w:left="465"/>
        <w:spacing w:before="178" w:line="219" w:lineRule="auto"/>
        <w:rPr>
          <w:rFonts w:ascii="SimSun" w:hAnsi="SimSun" w:eastAsia="SimSun" w:cs="SimSun"/>
          <w:sz w:val="40"/>
          <w:szCs w:val="40"/>
        </w:rPr>
      </w:pPr>
      <w:r>
        <w:rPr>
          <w:rFonts w:ascii="SimSun" w:hAnsi="SimSun" w:eastAsia="SimSun" w:cs="SimSun"/>
          <w:sz w:val="40"/>
          <w:szCs w:val="40"/>
          <w:b/>
          <w:bCs/>
          <w:spacing w:val="-8"/>
        </w:rPr>
        <w:t>关闭不具备安全生产条件非煤矿山工作的通知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right="41"/>
        <w:spacing w:before="98" w:line="363" w:lineRule="auto"/>
        <w:rPr/>
      </w:pPr>
      <w:r>
        <w:rPr>
          <w:spacing w:val="3"/>
        </w:rPr>
        <w:t>各省、自治区、直辖市及新疆生产建设兵团安全生产委员会，国务</w:t>
      </w:r>
      <w:r>
        <w:rPr>
          <w:spacing w:val="10"/>
        </w:rPr>
        <w:t xml:space="preserve"> </w:t>
      </w:r>
      <w:r>
        <w:rPr>
          <w:spacing w:val="8"/>
        </w:rPr>
        <w:t>院安委会有关成员单位：</w:t>
      </w:r>
    </w:p>
    <w:p>
      <w:pPr>
        <w:pStyle w:val="BodyText"/>
        <w:ind w:right="10" w:firstLine="659"/>
        <w:spacing w:before="4" w:line="357" w:lineRule="auto"/>
        <w:jc w:val="both"/>
        <w:rPr/>
      </w:pPr>
      <w:r>
        <w:rPr>
          <w:spacing w:val="13"/>
        </w:rPr>
        <w:t>为认真贯彻落实《国务院安全生产委员会关于印发2019年工</w:t>
      </w:r>
      <w:r>
        <w:rPr>
          <w:spacing w:val="4"/>
        </w:rPr>
        <w:t xml:space="preserve"> </w:t>
      </w:r>
      <w:r>
        <w:rPr>
          <w:spacing w:val="-1"/>
        </w:rPr>
        <w:t>作要点的通知》(安委〔2019〕1号)</w:t>
      </w:r>
      <w:r>
        <w:rPr>
          <w:spacing w:val="-2"/>
        </w:rPr>
        <w:t>和《国务院安全生产委员会关于</w:t>
      </w:r>
      <w:r>
        <w:rPr/>
        <w:t xml:space="preserve"> </w:t>
      </w:r>
      <w:r>
        <w:rPr>
          <w:spacing w:val="14"/>
        </w:rPr>
        <w:t>认真贯彻落实习近平总书记重要指示精神坚决防范遏制重特大事</w:t>
      </w:r>
      <w:r>
        <w:rPr>
          <w:spacing w:val="12"/>
        </w:rPr>
        <w:t xml:space="preserve"> </w:t>
      </w:r>
      <w:r>
        <w:rPr>
          <w:spacing w:val="7"/>
        </w:rPr>
        <w:t>故的紧急通知》(安委明电〔2019〕1号)要求，确保完成2019年关</w:t>
      </w:r>
      <w:r>
        <w:rPr>
          <w:spacing w:val="14"/>
        </w:rPr>
        <w:t xml:space="preserve"> </w:t>
      </w:r>
      <w:r>
        <w:rPr>
          <w:spacing w:val="13"/>
        </w:rPr>
        <w:t>闭1000处以上不具备安全生产条件非煤矿山(含尾矿库)</w:t>
      </w:r>
      <w:r>
        <w:rPr>
          <w:spacing w:val="12"/>
        </w:rPr>
        <w:t>任务，现</w:t>
      </w:r>
      <w:r>
        <w:rPr/>
        <w:t xml:space="preserve"> </w:t>
      </w:r>
      <w:r>
        <w:rPr>
          <w:spacing w:val="39"/>
        </w:rPr>
        <w:t>就做好关闭不具备安全生产条件非煤矿山工作</w:t>
      </w:r>
      <w:r>
        <w:rPr>
          <w:spacing w:val="38"/>
        </w:rPr>
        <w:t>有关事项通知</w:t>
      </w:r>
      <w:r>
        <w:rPr/>
        <w:t xml:space="preserve"> </w:t>
      </w:r>
      <w:r>
        <w:rPr>
          <w:spacing w:val="-5"/>
        </w:rPr>
        <w:t>如下：</w:t>
      </w:r>
    </w:p>
    <w:p>
      <w:pPr>
        <w:spacing w:line="357" w:lineRule="auto"/>
        <w:sectPr>
          <w:footerReference w:type="default" r:id="rId1"/>
          <w:pgSz w:w="11900" w:h="16840"/>
          <w:pgMar w:top="1431" w:right="1629" w:bottom="1769" w:left="1430" w:header="0" w:footer="1390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614"/>
        <w:spacing w:before="94" w:line="222" w:lineRule="auto"/>
        <w:outlineLvl w:val="2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-22"/>
        </w:rPr>
        <w:t>一</w:t>
      </w:r>
      <w:r>
        <w:rPr>
          <w:rFonts w:ascii="SimHei" w:hAnsi="SimHei" w:eastAsia="SimHei" w:cs="SimHei"/>
          <w:sz w:val="29"/>
          <w:szCs w:val="29"/>
          <w:spacing w:val="-60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-22"/>
        </w:rPr>
        <w:t>、关闭对象</w:t>
      </w:r>
    </w:p>
    <w:p>
      <w:pPr>
        <w:pStyle w:val="BodyText"/>
        <w:ind w:left="609"/>
        <w:spacing w:before="199" w:line="220" w:lineRule="auto"/>
        <w:rPr>
          <w:sz w:val="29"/>
          <w:szCs w:val="29"/>
        </w:rPr>
      </w:pPr>
      <w:r>
        <w:rPr>
          <w:sz w:val="29"/>
          <w:szCs w:val="29"/>
          <w:spacing w:val="14"/>
        </w:rPr>
        <w:t>符合下列条件之一的非煤矿山，纳入重点关闭范围：</w:t>
      </w:r>
    </w:p>
    <w:p>
      <w:pPr>
        <w:pStyle w:val="BodyText"/>
        <w:ind w:right="12" w:firstLine="609"/>
        <w:spacing w:before="204" w:line="291" w:lineRule="auto"/>
        <w:rPr>
          <w:sz w:val="31"/>
          <w:szCs w:val="31"/>
        </w:rPr>
      </w:pPr>
      <w:r>
        <w:rPr>
          <w:sz w:val="31"/>
          <w:szCs w:val="31"/>
          <w:spacing w:val="4"/>
        </w:rPr>
        <w:t>(一)存在重大生产安全事故隐患被依法责令停产整改，逾期</w:t>
      </w:r>
      <w:r>
        <w:rPr>
          <w:sz w:val="31"/>
          <w:szCs w:val="31"/>
          <w:spacing w:val="6"/>
        </w:rPr>
        <w:t xml:space="preserve"> </w:t>
      </w:r>
      <w:r>
        <w:rPr>
          <w:sz w:val="31"/>
          <w:szCs w:val="31"/>
          <w:spacing w:val="2"/>
        </w:rPr>
        <w:t>不整改或整改后仍达不到法定安全生产条件的。</w:t>
      </w:r>
    </w:p>
    <w:p>
      <w:pPr>
        <w:pStyle w:val="BodyText"/>
        <w:ind w:right="28" w:firstLine="609"/>
        <w:spacing w:before="214" w:line="305" w:lineRule="auto"/>
        <w:rPr>
          <w:sz w:val="29"/>
          <w:szCs w:val="29"/>
        </w:rPr>
      </w:pPr>
      <w:r>
        <w:rPr>
          <w:sz w:val="29"/>
          <w:szCs w:val="29"/>
          <w:spacing w:val="12"/>
        </w:rPr>
        <w:t>(二)违反建设项目安全设施“三同时”规定</w:t>
      </w:r>
      <w:r>
        <w:rPr>
          <w:sz w:val="29"/>
          <w:szCs w:val="29"/>
          <w:spacing w:val="11"/>
        </w:rPr>
        <w:t>，拒不执行安全监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spacing w:val="10"/>
        </w:rPr>
        <w:t>管指令、逾期未完善相关手续的。</w:t>
      </w:r>
    </w:p>
    <w:p>
      <w:pPr>
        <w:pStyle w:val="BodyText"/>
        <w:ind w:right="27" w:firstLine="609"/>
        <w:spacing w:before="218" w:line="299" w:lineRule="auto"/>
        <w:rPr>
          <w:sz w:val="29"/>
          <w:szCs w:val="29"/>
        </w:rPr>
      </w:pPr>
      <w:r>
        <w:rPr>
          <w:sz w:val="29"/>
          <w:szCs w:val="29"/>
          <w:spacing w:val="22"/>
        </w:rPr>
        <w:t>(三)与煤共(伴)生金属非金属矿山安全生产条件达不到煤矿</w:t>
      </w:r>
      <w:r>
        <w:rPr>
          <w:sz w:val="29"/>
          <w:szCs w:val="29"/>
          <w:spacing w:val="3"/>
        </w:rPr>
        <w:t xml:space="preserve"> </w:t>
      </w:r>
      <w:r>
        <w:rPr>
          <w:sz w:val="29"/>
          <w:szCs w:val="29"/>
          <w:spacing w:val="19"/>
        </w:rPr>
        <w:t>国家标准或行业标准要求的。</w:t>
      </w:r>
    </w:p>
    <w:p>
      <w:pPr>
        <w:pStyle w:val="BodyText"/>
        <w:ind w:firstLine="609"/>
        <w:spacing w:before="215" w:line="287" w:lineRule="auto"/>
        <w:rPr>
          <w:sz w:val="31"/>
          <w:szCs w:val="31"/>
        </w:rPr>
      </w:pPr>
      <w:r>
        <w:rPr>
          <w:sz w:val="31"/>
          <w:szCs w:val="31"/>
          <w:spacing w:val="10"/>
        </w:rPr>
        <w:t>(四)相邻小型露天采石场开采范围之间最小距离达不到300</w:t>
      </w:r>
      <w:r>
        <w:rPr>
          <w:sz w:val="31"/>
          <w:szCs w:val="31"/>
          <w:spacing w:val="1"/>
        </w:rPr>
        <w:t xml:space="preserve"> </w:t>
      </w:r>
      <w:r>
        <w:rPr>
          <w:sz w:val="31"/>
          <w:szCs w:val="31"/>
          <w:spacing w:val="-8"/>
        </w:rPr>
        <w:t>米的。</w:t>
      </w:r>
    </w:p>
    <w:p>
      <w:pPr>
        <w:pStyle w:val="BodyText"/>
        <w:ind w:right="52"/>
        <w:spacing w:before="214" w:line="220" w:lineRule="auto"/>
        <w:jc w:val="right"/>
        <w:rPr>
          <w:sz w:val="31"/>
          <w:szCs w:val="31"/>
        </w:rPr>
      </w:pPr>
      <w:r>
        <w:rPr>
          <w:sz w:val="31"/>
          <w:szCs w:val="31"/>
          <w:spacing w:val="3"/>
        </w:rPr>
        <w:t>(五)已运行到设计最终标高或不再进行排</w:t>
      </w:r>
      <w:r>
        <w:rPr>
          <w:sz w:val="31"/>
          <w:szCs w:val="31"/>
          <w:spacing w:val="2"/>
        </w:rPr>
        <w:t>尾作业的尾矿库。</w:t>
      </w:r>
    </w:p>
    <w:p>
      <w:pPr>
        <w:ind w:left="614"/>
        <w:spacing w:before="243" w:line="224" w:lineRule="auto"/>
        <w:outlineLvl w:val="2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-7"/>
        </w:rPr>
        <w:t>二、关闭标准</w:t>
      </w:r>
    </w:p>
    <w:p>
      <w:pPr>
        <w:pStyle w:val="BodyText"/>
        <w:ind w:right="18" w:firstLine="609"/>
        <w:spacing w:before="240" w:line="301" w:lineRule="auto"/>
        <w:rPr>
          <w:sz w:val="29"/>
          <w:szCs w:val="29"/>
        </w:rPr>
      </w:pPr>
      <w:r>
        <w:rPr>
          <w:sz w:val="29"/>
          <w:szCs w:val="29"/>
          <w:spacing w:val="12"/>
        </w:rPr>
        <w:t>(一)吊销或注销采矿许可证、安全生产许可证、工商营业执照</w:t>
      </w:r>
      <w:r>
        <w:rPr>
          <w:sz w:val="29"/>
          <w:szCs w:val="29"/>
          <w:spacing w:val="1"/>
        </w:rPr>
        <w:t xml:space="preserve"> </w:t>
      </w:r>
      <w:r>
        <w:rPr>
          <w:sz w:val="29"/>
          <w:szCs w:val="29"/>
          <w:spacing w:val="14"/>
        </w:rPr>
        <w:t>等相关证照。</w:t>
      </w:r>
    </w:p>
    <w:p>
      <w:pPr>
        <w:pStyle w:val="BodyText"/>
        <w:ind w:right="24" w:firstLine="609"/>
        <w:spacing w:before="234" w:line="296" w:lineRule="auto"/>
        <w:rPr>
          <w:sz w:val="29"/>
          <w:szCs w:val="29"/>
        </w:rPr>
      </w:pPr>
      <w:r>
        <w:rPr>
          <w:sz w:val="29"/>
          <w:szCs w:val="29"/>
          <w:spacing w:val="1"/>
        </w:rPr>
        <w:t>(二)拆除供电、供水、通风、提升、运输等直接用于生产的设施</w:t>
      </w:r>
      <w:r>
        <w:rPr>
          <w:sz w:val="29"/>
          <w:szCs w:val="29"/>
          <w:spacing w:val="12"/>
        </w:rPr>
        <w:t xml:space="preserve"> </w:t>
      </w:r>
      <w:r>
        <w:rPr>
          <w:sz w:val="29"/>
          <w:szCs w:val="29"/>
          <w:spacing w:val="11"/>
        </w:rPr>
        <w:t>和设备。</w:t>
      </w:r>
    </w:p>
    <w:p>
      <w:pPr>
        <w:pStyle w:val="BodyText"/>
        <w:ind w:right="29" w:firstLine="609"/>
        <w:spacing w:before="228" w:line="297" w:lineRule="auto"/>
        <w:rPr>
          <w:sz w:val="29"/>
          <w:szCs w:val="29"/>
        </w:rPr>
      </w:pPr>
      <w:r>
        <w:rPr>
          <w:sz w:val="29"/>
          <w:szCs w:val="29"/>
          <w:spacing w:val="23"/>
        </w:rPr>
        <w:t>(三)地下矿山要炸毁或填实矿井井筒，露天矿山</w:t>
      </w:r>
      <w:r>
        <w:rPr>
          <w:sz w:val="29"/>
          <w:szCs w:val="29"/>
          <w:spacing w:val="22"/>
        </w:rPr>
        <w:t>要完成边坡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spacing w:val="12"/>
        </w:rPr>
        <w:t>治理，尾矿库要完成闭库治理并公告销号。</w:t>
      </w:r>
    </w:p>
    <w:p>
      <w:pPr>
        <w:pStyle w:val="BodyText"/>
        <w:ind w:left="609"/>
        <w:spacing w:before="248" w:line="222" w:lineRule="auto"/>
        <w:rPr>
          <w:sz w:val="29"/>
          <w:szCs w:val="29"/>
        </w:rPr>
      </w:pPr>
      <w:r>
        <w:rPr>
          <w:sz w:val="29"/>
          <w:szCs w:val="29"/>
          <w:spacing w:val="18"/>
        </w:rPr>
        <w:t>(四)地表设立明显警示标志。</w:t>
      </w:r>
    </w:p>
    <w:p>
      <w:pPr>
        <w:pStyle w:val="BodyText"/>
        <w:ind w:left="609"/>
        <w:spacing w:before="237" w:line="219" w:lineRule="auto"/>
        <w:rPr>
          <w:sz w:val="29"/>
          <w:szCs w:val="29"/>
        </w:rPr>
      </w:pPr>
      <w:r>
        <w:rPr>
          <w:sz w:val="29"/>
          <w:szCs w:val="29"/>
          <w:spacing w:val="21"/>
        </w:rPr>
        <w:t>(五)清理收缴矿山留存的民用爆炸物品和危险化学品。</w:t>
      </w:r>
    </w:p>
    <w:p>
      <w:pPr>
        <w:ind w:left="614"/>
        <w:spacing w:before="246" w:line="222" w:lineRule="auto"/>
        <w:outlineLvl w:val="2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-10"/>
        </w:rPr>
        <w:t>三、关闭程序</w:t>
      </w:r>
    </w:p>
    <w:p>
      <w:pPr>
        <w:pStyle w:val="BodyText"/>
        <w:ind w:right="47"/>
        <w:spacing w:before="243" w:line="224" w:lineRule="auto"/>
        <w:jc w:val="right"/>
        <w:rPr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spacing w:val="22"/>
        </w:rPr>
        <w:t>(一)确定关闭对象</w:t>
      </w:r>
      <w:r>
        <w:rPr>
          <w:sz w:val="29"/>
          <w:szCs w:val="29"/>
          <w:spacing w:val="22"/>
        </w:rPr>
        <w:t>。督促县级以上地方人民政府组织对辖区</w:t>
      </w:r>
    </w:p>
    <w:p>
      <w:pPr>
        <w:spacing w:line="224" w:lineRule="auto"/>
        <w:sectPr>
          <w:footerReference w:type="default" r:id="rId3"/>
          <w:pgSz w:w="11900" w:h="16840"/>
          <w:pgMar w:top="1431" w:right="1562" w:bottom="1779" w:left="1539" w:header="0" w:footer="1400" w:gutter="0"/>
        </w:sectPr>
        <w:rPr>
          <w:sz w:val="29"/>
          <w:szCs w:val="29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20"/>
        <w:spacing w:before="97" w:line="360" w:lineRule="auto"/>
        <w:rPr/>
      </w:pPr>
      <w:r>
        <w:rPr>
          <w:spacing w:val="6"/>
        </w:rPr>
        <w:t>内非煤矿山进行全面摸底排查，研究确定拟关闭的非煤矿山名单，</w:t>
      </w:r>
      <w:r>
        <w:rPr>
          <w:spacing w:val="15"/>
        </w:rPr>
        <w:t xml:space="preserve"> </w:t>
      </w:r>
      <w:r>
        <w:rPr>
          <w:spacing w:val="5"/>
        </w:rPr>
        <w:t>并在当地主要媒体上向社会公告，接受社会监督。</w:t>
      </w:r>
    </w:p>
    <w:p>
      <w:pPr>
        <w:pStyle w:val="BodyText"/>
        <w:ind w:right="143" w:firstLine="629"/>
        <w:spacing w:before="2" w:line="295" w:lineRule="auto"/>
        <w:rPr/>
      </w:pPr>
      <w:r>
        <w:rPr>
          <w:rFonts w:ascii="KaiTi" w:hAnsi="KaiTi" w:eastAsia="KaiTi" w:cs="KaiTi"/>
          <w:spacing w:val="9"/>
        </w:rPr>
        <w:t>(二)依法实施关闭。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spacing w:val="9"/>
        </w:rPr>
        <w:t>督促县级以上地方人</w:t>
      </w:r>
      <w:r>
        <w:rPr>
          <w:spacing w:val="8"/>
        </w:rPr>
        <w:t>民政府组织相关部</w:t>
      </w:r>
      <w:r>
        <w:rPr/>
        <w:t xml:space="preserve"> </w:t>
      </w:r>
      <w:r>
        <w:rPr>
          <w:spacing w:val="2"/>
        </w:rPr>
        <w:t>门和企业对照关闭标准，依法实施关闭措施。</w:t>
      </w:r>
    </w:p>
    <w:p>
      <w:pPr>
        <w:pStyle w:val="BodyText"/>
        <w:ind w:right="150" w:firstLine="629"/>
        <w:spacing w:before="209" w:line="291" w:lineRule="auto"/>
        <w:rPr/>
      </w:pPr>
      <w:r>
        <w:rPr>
          <w:rFonts w:ascii="KaiTi" w:hAnsi="KaiTi" w:eastAsia="KaiTi" w:cs="KaiTi"/>
          <w:spacing w:val="12"/>
        </w:rPr>
        <w:t>(三)严格检查验收</w:t>
      </w:r>
      <w:r>
        <w:rPr>
          <w:spacing w:val="12"/>
        </w:rPr>
        <w:t>。督促县级以上地方人民政府组织相关部</w:t>
      </w:r>
      <w:r>
        <w:rPr>
          <w:spacing w:val="5"/>
        </w:rPr>
        <w:t xml:space="preserve"> </w:t>
      </w:r>
      <w:r>
        <w:rPr>
          <w:spacing w:val="-1"/>
        </w:rPr>
        <w:t>门对照关闭标准，进行检查验收。</w:t>
      </w:r>
    </w:p>
    <w:p>
      <w:pPr>
        <w:ind w:left="634"/>
        <w:spacing w:before="222" w:line="222" w:lineRule="auto"/>
        <w:outlineLvl w:val="2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-22"/>
        </w:rPr>
        <w:t>四、工作要求</w:t>
      </w:r>
    </w:p>
    <w:p>
      <w:pPr>
        <w:pStyle w:val="BodyText"/>
        <w:ind w:right="120" w:firstLine="629"/>
        <w:spacing w:before="226" w:line="330" w:lineRule="auto"/>
        <w:rPr/>
      </w:pPr>
      <w:r>
        <w:rPr>
          <w:rFonts w:ascii="KaiTi" w:hAnsi="KaiTi" w:eastAsia="KaiTi" w:cs="KaiTi"/>
          <w:spacing w:val="11"/>
        </w:rPr>
        <w:t>(一)提高思想认识，积极主动作为</w:t>
      </w:r>
      <w:r>
        <w:rPr>
          <w:spacing w:val="11"/>
        </w:rPr>
        <w:t>。各地区要充分认识关闭</w:t>
      </w:r>
      <w:r>
        <w:rPr>
          <w:spacing w:val="12"/>
        </w:rPr>
        <w:t xml:space="preserve"> </w:t>
      </w:r>
      <w:r>
        <w:rPr>
          <w:spacing w:val="14"/>
        </w:rPr>
        <w:t>不具备安全生产条件的非煤矿山对于防范化解重大</w:t>
      </w:r>
      <w:r>
        <w:rPr>
          <w:spacing w:val="13"/>
        </w:rPr>
        <w:t>安全风险、遏</w:t>
      </w:r>
      <w:r>
        <w:rPr/>
        <w:t xml:space="preserve"> </w:t>
      </w:r>
      <w:r>
        <w:rPr>
          <w:spacing w:val="14"/>
        </w:rPr>
        <w:t>制重特大事故发生、促进非煤矿山安全生产形势持续稳</w:t>
      </w:r>
      <w:r>
        <w:rPr>
          <w:spacing w:val="13"/>
        </w:rPr>
        <w:t>定好转的</w:t>
      </w:r>
      <w:r>
        <w:rPr/>
        <w:t xml:space="preserve"> </w:t>
      </w:r>
      <w:r>
        <w:rPr>
          <w:spacing w:val="3"/>
        </w:rPr>
        <w:t>重要意义，进一步增强责任感和使命感，采取有效措施做好关闭不</w:t>
      </w:r>
      <w:r>
        <w:rPr/>
        <w:t xml:space="preserve"> </w:t>
      </w:r>
      <w:r>
        <w:rPr>
          <w:spacing w:val="11"/>
        </w:rPr>
        <w:t>具备安全生产条件非煤矿山工作。</w:t>
      </w:r>
    </w:p>
    <w:p>
      <w:pPr>
        <w:pStyle w:val="BodyText"/>
        <w:ind w:firstLine="629"/>
        <w:spacing w:before="255" w:line="331" w:lineRule="auto"/>
        <w:rPr/>
      </w:pPr>
      <w:r>
        <w:rPr>
          <w:rFonts w:ascii="KaiTi" w:hAnsi="KaiTi" w:eastAsia="KaiTi" w:cs="KaiTi"/>
          <w:spacing w:val="13"/>
        </w:rPr>
        <w:t>(二)明确工作目标，依法依规实施</w:t>
      </w:r>
      <w:r>
        <w:rPr>
          <w:spacing w:val="13"/>
        </w:rPr>
        <w:t>。各地区要根据全国</w:t>
      </w:r>
      <w:r>
        <w:rPr>
          <w:spacing w:val="12"/>
        </w:rPr>
        <w:t>非煤</w:t>
      </w:r>
      <w:r>
        <w:rPr/>
        <w:t xml:space="preserve"> </w:t>
      </w:r>
      <w:r>
        <w:rPr>
          <w:spacing w:val="7"/>
        </w:rPr>
        <w:t>矿山数量和关闭工作目标，结合本地区非煤矿山数量及分布情况，</w:t>
      </w:r>
      <w:r>
        <w:rPr>
          <w:spacing w:val="5"/>
        </w:rPr>
        <w:t xml:space="preserve"> </w:t>
      </w:r>
      <w:r>
        <w:rPr>
          <w:spacing w:val="12"/>
        </w:rPr>
        <w:t>科学合理确定关闭计划，并将目标任务逐级分解落实到各市(州、</w:t>
      </w:r>
      <w:r>
        <w:rPr>
          <w:spacing w:val="10"/>
        </w:rPr>
        <w:t xml:space="preserve"> </w:t>
      </w:r>
      <w:r>
        <w:rPr>
          <w:spacing w:val="-2"/>
        </w:rPr>
        <w:t>盟)、县(区、旗)。要督促市、县级地方人民政府严格对照关闭程序</w:t>
      </w:r>
      <w:r>
        <w:rPr/>
        <w:t xml:space="preserve"> </w:t>
      </w:r>
      <w:r>
        <w:rPr>
          <w:spacing w:val="3"/>
        </w:rPr>
        <w:t>和标准落实关闭任务，依法依规组织实施。</w:t>
      </w:r>
    </w:p>
    <w:p>
      <w:pPr>
        <w:pStyle w:val="BodyText"/>
        <w:ind w:right="129" w:firstLine="629"/>
        <w:spacing w:before="253" w:line="328" w:lineRule="auto"/>
        <w:rPr/>
      </w:pPr>
      <w:r>
        <w:rPr>
          <w:rFonts w:ascii="KaiTi" w:hAnsi="KaiTi" w:eastAsia="KaiTi" w:cs="KaiTi"/>
          <w:spacing w:val="12"/>
        </w:rPr>
        <w:t>(三)加强沟通协调，形成工作合力</w:t>
      </w:r>
      <w:r>
        <w:rPr>
          <w:spacing w:val="12"/>
        </w:rPr>
        <w:t>。各地区要健全完善政府</w:t>
      </w:r>
      <w:r>
        <w:rPr>
          <w:spacing w:val="5"/>
        </w:rPr>
        <w:t xml:space="preserve"> </w:t>
      </w:r>
      <w:r>
        <w:rPr>
          <w:spacing w:val="1"/>
        </w:rPr>
        <w:t>统一领导、相关部门共同参与的协调联动机制，细化落实各相关部</w:t>
      </w:r>
      <w:r>
        <w:rPr>
          <w:spacing w:val="17"/>
        </w:rPr>
        <w:t xml:space="preserve"> </w:t>
      </w:r>
      <w:r>
        <w:rPr>
          <w:spacing w:val="-7"/>
        </w:rPr>
        <w:t>门职责，加强沟通配合，形成工作合力，及</w:t>
      </w:r>
      <w:r>
        <w:rPr>
          <w:spacing w:val="-8"/>
        </w:rPr>
        <w:t>时研究、协调解决重点难</w:t>
      </w:r>
      <w:r>
        <w:rPr/>
        <w:t xml:space="preserve"> </w:t>
      </w:r>
      <w:r>
        <w:rPr>
          <w:spacing w:val="-1"/>
        </w:rPr>
        <w:t>点问题，确保关闭工作顺利推进。</w:t>
      </w:r>
    </w:p>
    <w:p>
      <w:pPr>
        <w:pStyle w:val="BodyText"/>
        <w:spacing w:before="226" w:line="220" w:lineRule="auto"/>
        <w:jc w:val="right"/>
        <w:rPr/>
      </w:pPr>
      <w:r>
        <w:rPr>
          <w:rFonts w:ascii="KaiTi" w:hAnsi="KaiTi" w:eastAsia="KaiTi" w:cs="KaiTi"/>
          <w:spacing w:val="4"/>
        </w:rPr>
        <w:t>(四)严格督促检查，确保完成任务。</w:t>
      </w:r>
      <w:r>
        <w:rPr>
          <w:rFonts w:ascii="KaiTi" w:hAnsi="KaiTi" w:eastAsia="KaiTi" w:cs="KaiTi"/>
          <w:spacing w:val="-83"/>
        </w:rPr>
        <w:t xml:space="preserve"> </w:t>
      </w:r>
      <w:r>
        <w:rPr>
          <w:spacing w:val="4"/>
        </w:rPr>
        <w:t>各地区要强化督促指导，</w:t>
      </w:r>
    </w:p>
    <w:p>
      <w:pPr>
        <w:spacing w:line="220" w:lineRule="auto"/>
        <w:sectPr>
          <w:footerReference w:type="default" r:id="rId4"/>
          <w:pgSz w:w="11900" w:h="16840"/>
          <w:pgMar w:top="1431" w:right="1449" w:bottom="1827" w:left="1539" w:header="0" w:footer="1438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29" w:right="49"/>
        <w:spacing w:before="91" w:line="388" w:lineRule="auto"/>
        <w:jc w:val="both"/>
        <w:rPr>
          <w:sz w:val="28"/>
          <w:szCs w:val="28"/>
        </w:rPr>
      </w:pPr>
      <w:r>
        <w:rPr>
          <w:sz w:val="28"/>
          <w:szCs w:val="28"/>
          <w:spacing w:val="38"/>
        </w:rPr>
        <w:t>定期调度关闭工作进度，及时督促解决工作中存在</w:t>
      </w:r>
      <w:r>
        <w:rPr>
          <w:sz w:val="28"/>
          <w:szCs w:val="28"/>
          <w:spacing w:val="37"/>
        </w:rPr>
        <w:t>的主要问题。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pacing w:val="27"/>
        </w:rPr>
        <w:t>对责任落实不到位、工作开展不得力、不能按期完成任</w:t>
      </w:r>
      <w:r>
        <w:rPr>
          <w:sz w:val="28"/>
          <w:szCs w:val="28"/>
          <w:spacing w:val="26"/>
        </w:rPr>
        <w:t>务的地区，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pacing w:val="33"/>
        </w:rPr>
        <w:t>要及时采取约谈、通报批评等措施督促落实。要强化对关闭对象</w:t>
      </w:r>
      <w:r>
        <w:rPr>
          <w:sz w:val="28"/>
          <w:szCs w:val="28"/>
          <w:spacing w:val="16"/>
        </w:rPr>
        <w:t xml:space="preserve"> </w:t>
      </w:r>
      <w:r>
        <w:rPr>
          <w:sz w:val="28"/>
          <w:szCs w:val="28"/>
          <w:spacing w:val="23"/>
        </w:rPr>
        <w:t>的执法检查，防止企业因关闭前突击生产和超</w:t>
      </w:r>
      <w:r>
        <w:rPr>
          <w:sz w:val="28"/>
          <w:szCs w:val="28"/>
          <w:spacing w:val="22"/>
        </w:rPr>
        <w:t>能力、超强度、超定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spacing w:val="25"/>
        </w:rPr>
        <w:t>员生产而造成生产安全事故，防止已经关闭的矿山死灰复燃。</w:t>
      </w:r>
    </w:p>
    <w:p>
      <w:pPr>
        <w:pStyle w:val="BodyText"/>
        <w:ind w:left="29" w:firstLine="649"/>
        <w:spacing w:before="3" w:line="393" w:lineRule="auto"/>
        <w:jc w:val="both"/>
        <w:rPr>
          <w:rFonts w:ascii="SimSun" w:hAnsi="SimSun" w:eastAsia="SimSun" w:cs="SimSun"/>
          <w:sz w:val="28"/>
          <w:szCs w:val="28"/>
        </w:rPr>
      </w:pPr>
      <w:r>
        <w:rPr>
          <w:sz w:val="28"/>
          <w:szCs w:val="28"/>
          <w:spacing w:val="40"/>
        </w:rPr>
        <w:t>请于2019年5月31日前将本地区关闭计划及分解落实情</w:t>
      </w:r>
      <w:r>
        <w:rPr>
          <w:sz w:val="28"/>
          <w:szCs w:val="28"/>
          <w:spacing w:val="39"/>
        </w:rPr>
        <w:t>况、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pacing w:val="25"/>
        </w:rPr>
        <w:t>2019年12月15日前将关闭工作总结报送国务院安委会办公室(联系</w:t>
      </w:r>
      <w:r>
        <w:rPr>
          <w:sz w:val="28"/>
          <w:szCs w:val="28"/>
          <w:spacing w:val="9"/>
        </w:rPr>
        <w:t xml:space="preserve">  </w:t>
      </w:r>
      <w:r>
        <w:rPr>
          <w:sz w:val="28"/>
          <w:szCs w:val="28"/>
          <w:spacing w:val="-4"/>
        </w:rPr>
        <w:t>人及联系方式：杨凌云，010—64463215,</w:t>
      </w:r>
      <w:r>
        <w:rPr>
          <w:rFonts w:ascii="SimSun" w:hAnsi="SimSun" w:eastAsia="SimSun" w:cs="SimSun"/>
          <w:sz w:val="28"/>
          <w:szCs w:val="28"/>
          <w:spacing w:val="-4"/>
        </w:rPr>
        <w:t>yly@chinasafety.gov.cn)。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4939"/>
        <w:spacing w:before="91" w:line="222" w:lineRule="auto"/>
        <w:rPr>
          <w:sz w:val="28"/>
          <w:szCs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3194056</wp:posOffset>
            </wp:positionH>
            <wp:positionV relativeFrom="paragraph">
              <wp:posOffset>-982697</wp:posOffset>
            </wp:positionV>
            <wp:extent cx="1650944" cy="1606576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0944" cy="160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spacing w:val="30"/>
        </w:rPr>
        <w:t>国务院安委会办公室</w:t>
      </w:r>
    </w:p>
    <w:p>
      <w:pPr>
        <w:pStyle w:val="BodyText"/>
        <w:ind w:left="5169"/>
        <w:spacing w:before="213" w:line="222" w:lineRule="auto"/>
        <w:rPr>
          <w:sz w:val="28"/>
          <w:szCs w:val="28"/>
        </w:rPr>
      </w:pPr>
      <w:r>
        <w:rPr>
          <w:sz w:val="28"/>
          <w:szCs w:val="28"/>
          <w:spacing w:val="19"/>
        </w:rPr>
        <w:t>2019年4</w:t>
      </w:r>
      <w:r>
        <w:rPr>
          <w:sz w:val="28"/>
          <w:szCs w:val="28"/>
          <w:spacing w:val="-65"/>
        </w:rPr>
        <w:t xml:space="preserve"> </w:t>
      </w:r>
      <w:r>
        <w:rPr>
          <w:sz w:val="28"/>
          <w:szCs w:val="28"/>
          <w:spacing w:val="19"/>
        </w:rPr>
        <w:t>月</w:t>
      </w:r>
      <w:r>
        <w:rPr>
          <w:sz w:val="28"/>
          <w:szCs w:val="28"/>
          <w:spacing w:val="-19"/>
        </w:rPr>
        <w:t xml:space="preserve"> </w:t>
      </w:r>
      <w:r>
        <w:rPr>
          <w:sz w:val="28"/>
          <w:szCs w:val="28"/>
          <w:spacing w:val="19"/>
        </w:rPr>
        <w:t>2</w:t>
      </w:r>
      <w:r>
        <w:rPr>
          <w:sz w:val="28"/>
          <w:szCs w:val="28"/>
          <w:spacing w:val="-54"/>
        </w:rPr>
        <w:t xml:space="preserve"> </w:t>
      </w:r>
      <w:r>
        <w:rPr>
          <w:sz w:val="28"/>
          <w:szCs w:val="28"/>
          <w:spacing w:val="19"/>
        </w:rPr>
        <w:t>7</w:t>
      </w:r>
      <w:r>
        <w:rPr>
          <w:sz w:val="28"/>
          <w:szCs w:val="28"/>
          <w:spacing w:val="19"/>
        </w:rPr>
        <w:t xml:space="preserve"> </w:t>
      </w:r>
      <w:r>
        <w:rPr>
          <w:sz w:val="28"/>
          <w:szCs w:val="28"/>
          <w:spacing w:val="19"/>
        </w:rPr>
        <w:t>日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91" w:line="222" w:lineRule="auto"/>
        <w:rPr>
          <w:sz w:val="28"/>
          <w:szCs w:val="28"/>
        </w:rPr>
      </w:pPr>
      <w:r>
        <w:rPr>
          <w:sz w:val="28"/>
          <w:szCs w:val="28"/>
          <w:spacing w:val="20"/>
        </w:rPr>
        <w:t>(信息公开形式：主动公开)</w:t>
      </w:r>
    </w:p>
    <w:p>
      <w:pPr>
        <w:spacing w:before="4"/>
        <w:rPr/>
      </w:pPr>
      <w:r/>
    </w:p>
    <w:tbl>
      <w:tblPr>
        <w:tblStyle w:val="TableNormal"/>
        <w:tblW w:w="886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273"/>
        <w:gridCol w:w="4587"/>
      </w:tblGrid>
      <w:tr>
        <w:trPr>
          <w:trHeight w:val="680" w:hRule="atLeast"/>
        </w:trPr>
        <w:tc>
          <w:tcPr>
            <w:tcW w:w="427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29"/>
              <w:spacing w:before="179" w:line="222" w:lineRule="auto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z w:val="28"/>
                <w:szCs w:val="28"/>
                <w:spacing w:val="-3"/>
              </w:rPr>
              <w:t>国务院安委会办公室</w:t>
            </w:r>
          </w:p>
        </w:tc>
        <w:tc>
          <w:tcPr>
            <w:tcW w:w="458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536"/>
              <w:spacing w:before="187" w:line="222" w:lineRule="auto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z w:val="28"/>
                <w:szCs w:val="28"/>
                <w:spacing w:val="29"/>
              </w:rPr>
              <w:t>2019年4月28日印发</w:t>
            </w:r>
          </w:p>
        </w:tc>
      </w:tr>
    </w:tbl>
    <w:p>
      <w:pPr>
        <w:pStyle w:val="BodyText"/>
        <w:ind w:left="29"/>
        <w:spacing w:before="176" w:line="222" w:lineRule="auto"/>
        <w:rPr>
          <w:sz w:val="28"/>
          <w:szCs w:val="2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3428987</wp:posOffset>
            </wp:positionH>
            <wp:positionV relativeFrom="paragraph">
              <wp:posOffset>336154</wp:posOffset>
            </wp:positionV>
            <wp:extent cx="1841518" cy="55873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1518" cy="55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spacing w:val="-9"/>
        </w:rPr>
        <w:t>承办单位：安全基础司</w:t>
      </w:r>
      <w:r>
        <w:rPr>
          <w:sz w:val="28"/>
          <w:szCs w:val="28"/>
          <w:spacing w:val="28"/>
        </w:rPr>
        <w:t xml:space="preserve">   </w:t>
      </w:r>
      <w:r>
        <w:rPr>
          <w:sz w:val="28"/>
          <w:szCs w:val="28"/>
          <w:spacing w:val="-9"/>
        </w:rPr>
        <w:t>经办人：杨凌云</w:t>
      </w:r>
      <w:r>
        <w:rPr>
          <w:sz w:val="28"/>
          <w:szCs w:val="28"/>
          <w:spacing w:val="47"/>
        </w:rPr>
        <w:t xml:space="preserve">  </w:t>
      </w:r>
      <w:r>
        <w:rPr>
          <w:sz w:val="28"/>
          <w:szCs w:val="28"/>
          <w:spacing w:val="-9"/>
        </w:rPr>
        <w:t>电话：</w:t>
      </w:r>
      <w:r>
        <w:rPr>
          <w:sz w:val="28"/>
          <w:szCs w:val="28"/>
          <w:spacing w:val="-10"/>
        </w:rPr>
        <w:t>64463215</w:t>
      </w:r>
      <w:r>
        <w:rPr>
          <w:sz w:val="28"/>
          <w:szCs w:val="28"/>
          <w:spacing w:val="-10"/>
        </w:rPr>
        <w:t xml:space="preserve">   </w:t>
      </w:r>
      <w:r>
        <w:rPr>
          <w:sz w:val="28"/>
          <w:szCs w:val="28"/>
          <w:spacing w:val="-10"/>
        </w:rPr>
        <w:t>共印50份</w:t>
      </w:r>
    </w:p>
    <w:p>
      <w:pPr>
        <w:ind w:left="290"/>
        <w:spacing w:before="227" w:line="24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7"/>
        </w:rPr>
        <w:t>—</w:t>
      </w:r>
      <w:r>
        <w:rPr>
          <w:rFonts w:ascii="SimSun" w:hAnsi="SimSun" w:eastAsia="SimSun" w:cs="SimSun"/>
          <w:sz w:val="28"/>
          <w:szCs w:val="28"/>
          <w:spacing w:val="8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4—</w:t>
      </w:r>
    </w:p>
    <w:sectPr>
      <w:footerReference w:type="default" r:id="rId5"/>
      <w:pgSz w:w="11900" w:h="16840"/>
      <w:pgMar w:top="1431" w:right="1500" w:bottom="400" w:left="14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380"/>
      <w:spacing w:line="234" w:lineRule="auto"/>
      <w:rPr>
        <w:rFonts w:ascii="SimSun" w:hAnsi="SimSun" w:eastAsia="SimSun" w:cs="SimSun"/>
        <w:sz w:val="29"/>
        <w:szCs w:val="29"/>
      </w:rPr>
    </w:pPr>
    <w:r>
      <w:rPr>
        <w:rFonts w:ascii="SimSun" w:hAnsi="SimSun" w:eastAsia="SimSun" w:cs="SimSun"/>
        <w:sz w:val="29"/>
        <w:szCs w:val="29"/>
        <w:spacing w:val="-14"/>
      </w:rPr>
      <w:t>—</w:t>
    </w:r>
    <w:r>
      <w:rPr>
        <w:rFonts w:ascii="SimSun" w:hAnsi="SimSun" w:eastAsia="SimSun" w:cs="SimSun"/>
        <w:sz w:val="29"/>
        <w:szCs w:val="29"/>
        <w:spacing w:val="63"/>
      </w:rPr>
      <w:t xml:space="preserve"> </w:t>
    </w:r>
    <w:r>
      <w:rPr>
        <w:rFonts w:ascii="SimSun" w:hAnsi="SimSun" w:eastAsia="SimSun" w:cs="SimSun"/>
        <w:sz w:val="29"/>
        <w:szCs w:val="29"/>
        <w:spacing w:val="-14"/>
      </w:rPr>
      <w:t>1—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"/>
      <w:spacing w:line="234" w:lineRule="auto"/>
      <w:rPr>
        <w:rFonts w:ascii="SimSun" w:hAnsi="SimSun" w:eastAsia="SimSun" w:cs="SimSun"/>
        <w:sz w:val="29"/>
        <w:szCs w:val="29"/>
      </w:rPr>
    </w:pPr>
    <w:r>
      <w:rPr>
        <w:rFonts w:ascii="SimSun" w:hAnsi="SimSun" w:eastAsia="SimSun" w:cs="SimSun"/>
        <w:sz w:val="29"/>
        <w:szCs w:val="29"/>
        <w:spacing w:val="-8"/>
      </w:rPr>
      <w:t>—</w:t>
    </w:r>
    <w:r>
      <w:rPr>
        <w:rFonts w:ascii="SimSun" w:hAnsi="SimSun" w:eastAsia="SimSun" w:cs="SimSun"/>
        <w:sz w:val="29"/>
        <w:szCs w:val="29"/>
        <w:spacing w:val="64"/>
      </w:rPr>
      <w:t xml:space="preserve"> </w:t>
    </w:r>
    <w:r>
      <w:rPr>
        <w:rFonts w:ascii="SimSun" w:hAnsi="SimSun" w:eastAsia="SimSun" w:cs="SimSun"/>
        <w:sz w:val="29"/>
        <w:szCs w:val="29"/>
        <w:spacing w:val="-8"/>
      </w:rPr>
      <w:t>2—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380"/>
      <w:spacing w:line="233" w:lineRule="auto"/>
      <w:rPr>
        <w:rFonts w:ascii="SimSun" w:hAnsi="SimSun" w:eastAsia="SimSun" w:cs="SimSun"/>
        <w:sz w:val="30"/>
        <w:szCs w:val="30"/>
      </w:rPr>
    </w:pPr>
    <w:r>
      <w:rPr>
        <w:rFonts w:ascii="SimSun" w:hAnsi="SimSun" w:eastAsia="SimSun" w:cs="SimSun"/>
        <w:sz w:val="30"/>
        <w:szCs w:val="30"/>
        <w:spacing w:val="-17"/>
      </w:rPr>
      <w:t>—</w:t>
    </w:r>
    <w:r>
      <w:rPr>
        <w:rFonts w:ascii="SimSun" w:hAnsi="SimSun" w:eastAsia="SimSun" w:cs="SimSun"/>
        <w:sz w:val="30"/>
        <w:szCs w:val="30"/>
        <w:spacing w:val="72"/>
      </w:rPr>
      <w:t xml:space="preserve"> </w:t>
    </w:r>
    <w:r>
      <w:rPr>
        <w:rFonts w:ascii="SimSun" w:hAnsi="SimSun" w:eastAsia="SimSun" w:cs="SimSun"/>
        <w:sz w:val="30"/>
        <w:szCs w:val="30"/>
        <w:spacing w:val="-17"/>
      </w:rPr>
      <w:t>3—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30"/>
      <w:szCs w:val="3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footer" Target="footer4.xml"/><Relationship Id="rId4" Type="http://schemas.openxmlformats.org/officeDocument/2006/relationships/footer" Target="footer3.xml"/><Relationship Id="rId3" Type="http://schemas.openxmlformats.org/officeDocument/2006/relationships/footer" Target="footer2.xml"/><Relationship Id="rId2" Type="http://schemas.openxmlformats.org/officeDocument/2006/relationships/image" Target="media/image1.png"/><Relationship Id="rId10" Type="http://schemas.openxmlformats.org/officeDocument/2006/relationships/fontTable" Target="fontTable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2025-09-23T11:16:08Z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2025-09-23T11:16:09</vt:filetime>
  </property>
  <property fmtid="{D5CDD505-2E9C-101B-9397-08002B2CF9AE}" pid="4" name="UsrData">
    <vt:lpwstr>68d210f610e070001f27544dwl</vt:lpwstr>
  </property>
</Properties>
</file>