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煤矿重大事故隐患判定标准</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2020年11月20日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《煤矿重大事故隐患判定标准》已经2020年11月2日应急管理部第31次部务会议审议通过，现予公布，自2021年1月1日起施行。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部长  王玉普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2020年11月20日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煤矿重大事故隐患判定标准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为了准确认定、及时消除煤矿重大事故隐患，根据《中华人民共和国安全生产法》和《国务院关于预防煤矿生产安全事故的特别规定》（国务院令第446号）等法律、行政法规，制定本标准。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本标准适用于判定各类煤矿重大事故隐患。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煤矿重大事故隐患包括下列15个方面：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（一）超能力、超强度或者超定员组织生产；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（二）瓦斯超限作业；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（三）煤与瓦斯突出矿井，未依照规定实施防突出措施；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（四）高瓦斯矿井未建立瓦斯抽采系统和监控系统，或者系统不能正常运行；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（五）通风系统不完善、不可靠；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（六）有严重水患，未采取有效措施；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（七）超层越界开采；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（八）有冲击地压危险，未采取有效措施；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（九）自然发火严重，未采取有效措施；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（十）使用明令禁止使用或者淘汰的设备、工艺；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（十一）煤矿没有双回路供电系统；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（十二）新建煤矿边建设边生产，煤矿改扩建期间，在改扩建的区域生产，或者在其他区域的生产超出安全设施设计规定的范围和规模；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（十三）煤矿实行整体承包生产经营后，未重新取得或者及时变更安全生产许可证而从事生产，或者承包方再次转包，以及将井下采掘工作面和井巷维修作业进行劳务承包；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（十四）煤矿改制期间，未明确安全生产责任人和安全管理机构，或者在完成改制后，未重新取得或者变更采矿许可证、安全生产许可证和营业执照；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（十五）其他重大事故隐患。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“超能力、超强度或者超定员组织生产”重大事故隐患，是指有下列情形之一的：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（一）煤矿全年原煤产量超过核定（设计）生产能力幅度在10%以上，或者月原煤产量大于核定（设计）生产能力的10%的；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（二）煤矿或其上级公司超过煤矿核定（设计）生产能力下达生产计划或者经营指标的；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（三）煤矿开拓、准备、回采煤量可采期小于国家规定的最短时间，未主动采取限产或者停产措施，仍然组织生产的（衰老煤矿和地方人民政府计划停产关闭煤矿除外）；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 煤矿井下同时生产的水平超过2个，或者一个采（盘）区内同时作业的采煤、煤（半煤岩）巷掘进工作面个数超过《煤矿安全规程》规定的；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（五）瓦斯抽采不达标组织生产的；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（六）煤矿未制定或者未严格执行井下劳动定员制度，或者采掘作业地点单班作业人数超过国家有关限员规定20%以上的。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“瓦斯超限作业”重大事故隐患，是指有下列情形之一的：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（一）瓦斯检查存在漏检、假检情况且进行作业的；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（二）井下瓦斯超限后继续作业或者未按照国家规定处置继续进行作业的；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（三）井下排放积聚瓦斯未按照国家规定制定并实施安全技术措施进行作业的。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“煤与瓦斯突出矿井，未依照规定实施防突出措施”重大事故隐患，是指有下列情形之一的：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（一）未设立防突机构并配备相应专业人员的；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（二）未建立地面永久瓦斯抽采系统或者系统不能正常运行的；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（三）未按照国家规定进行区域或者工作面突出危险性预测的（直接认定为突出危险区域或者突出危险工作面的除外）；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（四）未按照国家规定采取防治突出措施的；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（五）未按照国家规定进行防突措施效果检验和验证，或者防突措施效果检验和验证不达标仍然组织生产建设，或者防突措施效果检验和验证数据造假的；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（六）未按照国家规定采取安全防护措施的；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（七）使用架线式电机车的。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“高瓦斯矿井未建立瓦斯抽采系统和监控系统，或者系统不能正常运行”重大事故隐患，是指有下列情形之一的：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（一）按照《煤矿安全规程》规定应当建立而未建立瓦斯抽采系统或者系统不正常使用的；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（二）未按照国家规定安设、调校甲烷传感器，人为造成甲烷传感器失效，或者瓦斯超限后不能报警、断电或者断电范围不符合国家规定的。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“通风系统不完善、不可靠”重大事故隐患，是指有下列情形之一的：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（一）矿井总风量不足或者采掘工作面等主要用风地点风量不足的；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（二）没有备用主要通风机，或者两台主要通风机不具有同等能力的；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（三）违反《煤矿安全规程》规定采用串联通风的；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（四）未按照设计形成通风系统，或者生产水平和采（盘）区未实现分区通风的；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（五）高瓦斯、煤与瓦斯突出矿井的任一采（盘）区，开采容易自燃煤层、低瓦斯矿井开采煤层群和分层开采采用联合布置的采（盘）区，未设置专用回风巷，或者突出煤层工作面没有独立的回风系统的；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（六）进、回风井之间和主要进、回风巷之间联络巷中的风墙、风门不符合《煤矿安全规程》规定，造成风流短路的；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（七）采区进、回风巷未贯穿整个采区，或者虽贯穿整个采区但一段进风、一段回风，或者采用倾斜长壁布置，大巷未超前至少2个区段构成通风系统即开掘其他巷道的；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（八）煤巷、半煤岩巷和有瓦斯涌出的岩巷掘进未按照国家规定装备甲烷电、风电闭锁装置或者有关装置不能正常使用的；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（九）高瓦斯、煤（岩）与瓦斯（二氧化碳）突出矿井的煤巷、半煤岩巷和有瓦斯涌出的岩巷掘进工作面采用局部通风时，不能实现双风机、双电源且自动切换的；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（十）高瓦斯、煤（岩）与瓦斯（二氧化碳）突出建设矿井进入二期工程前，其他建设矿井进入三期工程前，没有形成地面主要通风机供风的全风压通风系统的。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“有严重水患，未采取有效措施”重大事故隐患，是指有下列情形之一的：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（一）未查明矿井水文地质条件和井田范围内采空区、废弃老窑积水等情况而组织生产建设的；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（二）水文地质类型复杂、极复杂的矿井未设置专门的防治水机构、未配备专门的探放水作业队伍，或者未配齐专用探放水设备的；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（三）在需要探放水的区域进行采掘作业未按照国家规定进行探放水的；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（四）未按照国家规定留设或者擅自开采（破坏）各种防隔水煤（岩）柱的；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（五）有突（透、溃）水征兆未撤出井下所有受水患威胁地点人员的；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（六）受地表水倒灌威胁的矿井在强降雨天气或其来水上游发生洪水期间未实施停产撤人的；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（七）建设矿井进入三期工程前，未按照设计建成永久排水系统，或者生产矿井延深到设计水平时，未建成防、排水系统而违规开拓掘进的；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（八）矿井主要排水系统水泵排水能力、管路和水仓容量不符合《煤矿安全规程》规定的；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（九）开采地表水体、老空水淹区域或者强含水层下急倾斜煤层，未按照国家规定消除水患威胁的。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“超层越界开采”重大事故隐患，是指有下列情形之一的：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（一）超出采矿许可证载明的开采煤层层位或者标高进行开采的；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（二）超出采矿许可证载明的坐标控制范围进行开采的；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（三）擅自开采（破坏）安全煤柱的。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“有冲击地压危险，未采取有效措施”重大事故隐患，是指有下列情形之一的：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（一）未按照国家规定进行煤层（岩层）冲击倾向性鉴定，或者开采有冲击倾向性煤层未进行冲击危险性评价，或者开采冲击地压煤层，未进行采区、采掘工作面冲击危险性评价的；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（二）有冲击地压危险的矿井未设置专门的防冲机构、未配备专业人员或者未编制专门设计的；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（三）未进行冲击地压危险性预测，或者未进行防冲措施效果检验以及防冲措施效果检验不达标仍组织生产建设的；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（四）开采冲击地压煤层时，违规开采孤岛煤柱，采掘工作面位置、间距不符合国家规定，或者开采顺序不合理、采掘速度不符合国家规定、违反国家规定布置巷道或者留设煤（岩）柱造成应力集中的；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（五）未制定或者未严格执行冲击地压危险区域人员准入制度的。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“自然发火严重，未采取有效措施”重大事故隐患，是指有下列情形之一的：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（一）开采容易自燃和自燃煤层的矿井，未编制防灭火专项设计或者未采取综合防灭火措施的；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（二）高瓦斯矿井采用放顶煤采煤法不能有效防治煤层自然发火的；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（三）有自然发火征兆没有采取相应的安全防范措施继续生产建设的；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（四）违反《煤矿安全规程》规定启封火区的。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“使用明令禁止使用或者淘汰的设备、工艺”重大事故隐患，是指有下列情形之一的：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（一）使用被列入国家禁止井工煤矿使用的设备及工艺目录的产品或者工艺的；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（二）井下电气设备、电缆未取得煤矿矿用产品安全标志的；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（三）井下电气设备选型与矿井瓦斯等级不符，或者采（盘）区内防爆型电气设备存在失爆，或者井下使用非防爆无轨胶轮车的；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（四）未按照矿井瓦斯等级选用相应的煤矿许用炸药和雷管、未使用专用发爆器，或者裸露爆破的；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（五）采煤工作面不能保证2个畅通的安全出口的；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（六）高瓦斯矿井、煤与瓦斯突出矿井、开采容易自燃和自燃煤层（薄煤层除外）矿井，采煤工作面采用前进式采煤方法的。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“煤矿没有双回路供电系统”重大事故隐患，是指有下列情形之一的：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（一）单回路供电的；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（二）有两回路电源线路但取自一个区域变电所同一母线段的；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（三）进入二期工程的高瓦斯、煤与瓦斯突出、水文地质类型为复杂和极复杂的建设矿井，以及进入三期工程的其他建设矿井，未形成两回路供电的。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“新建煤矿边建设边生产，煤矿改扩建期间，在改扩建的区域生产，或者在其他区域的生产超出安全设施设计规定的范围和规模”重大事故隐患，是指有下列情形之一的：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（一）建设项目安全设施设计未经审查批准，或者审查批准后作出重大变更未经再次审查批准擅自组织施工的；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（二）新建煤矿在建设期间组织采煤的（经批准的联合试运转除外）；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（三）改扩建矿井在改扩建区域生产的；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（四）改扩建矿井在非改扩建区域超出设计规定范围和规模生产的。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“煤矿实行整体承包生产经营后，未重新取得或者及时变更安全生产许可证而从事生产，或者承包方再次转包，以及将井下采掘工作面和井巷维修作业进行劳务承包”重大事故隐患，是指有下列情形之一的：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（一）煤矿未采取整体承包形式进行发包，或者将煤矿整体发包给不具有法人资格或者未取得合法有效营业执照的单位或者个人的；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（二）实行整体承包的煤矿，未签订安全生产管理协议，或者未按照国家规定约定双方安全生产管理职责而进行生产的；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（三）实行整体承包的煤矿，未重新取得或者变更安全生产许可证进行生产的；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（四）实行整体承包的煤矿，承包方再次将煤矿转包给其他单位或者个人的；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井工煤矿将井下采掘作业或者井巷维修作业（井筒及井下新水平延深的井底车场、主运输、主通风、主排水、主要机电硐室开拓工程除外）作为独立工程发包给其他企业或者个人的，以及转包井下新水平延深开拓工程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“煤矿改制期间，未明确安全生产责任人和安全管理机构，或者在完成改制后，未重新取得或者变更采矿许可证、安全生产许可证和营业执照”重大事故隐患，是指有下列情形之一的：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（一）改制期间，未明确安全生产责任人进行生产建设的；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（二）改制期间，未健全安全生产管理机构和配备安全管理人员进行生产建设的；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（三）完成改制后，未重新取得或者变更采矿许可证、安全生产许可证、营业执照而进行生产建设的。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“其他重大事故隐患”，是指有下列情形之一的：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（一）未分别配备专职的矿长、总工程师和分管安全、生产、机电的副矿长，以及负责采煤、掘进、机电运输、通风、地测、防治水工作的专业技术人员的；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（二）未按照国家规定足额提取或者未按照国家规定范围使用安全生产费用的；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（三）未按照国家规定进行瓦斯等级鉴定，或者瓦斯等级鉴定弄虚作假的；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出现瓦斯动力现象，或者相邻矿井开采的同一煤层发生了突出事故，或者被鉴定、认定为突出煤层，以及煤层瓦斯压力达到或者超过0.74MPa的非突出矿井，未立即按照突出煤层管理并在国家规定期限内进行突出危险性鉴定的（直接认定为突出矿井的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（五）图纸作假、隐瞒采掘工作面，提供虚假信息、隐瞒下井人数，或者矿长、总工程师（技术负责人）履行安全生产岗位责任制及管理制度时伪造记录，弄虚作假的；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（六）矿井未安装安全监控系统、人员位置监测系统或者系统不能正常运行，以及对系统数据进行修改、删除及屏蔽，或者煤与瓦斯突出矿井存在第七条第二项情形的；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（七）提升（运送）人员的提升机未按照《煤矿安全规程》规定安装保护装置，或者保护装置失效，或者超员运行的；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（八）带式输送机的输送带入井前未经过第三方阻燃和抗静电性能试验，或者试验不合格入井，或者输送带防打滑、跑偏、堆煤等保护装置或者温度、烟雾监测装置失效的；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（九）掘进工作面后部巷道或者独头巷道维修（着火点、高温点处理）时，维修（处理）点以里继续掘进或者有人员进入，或者采掘工作面未按照国家规定安设压风、供水、通信线路及装置的；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（十）露天煤矿边坡角大于设计最大值，或者边坡发生严重变形未及时采取措施进行治理的；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（十一）国家矿山安全监察机构认定的其他重大事故隐患。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本标准所称的国家规定，是指有关法律、行政法规、部门规章、国家标准、行业标准，以及国务院及其应急管理部门、国家矿山安全监察机构依法制定的行政规范性文件。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本标准自2021年1月1日起施行。原国家安全生产监督管理总局2015年12月3日公布的《煤矿重大生产安全事故隐患判定标准》（国家安全生产监督管理总局令第85号）同时废止。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煤矿重大事故隐患判定标准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28e7753e713a61abbcf97b8cf9aa54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