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矿山地质环境保护规定（2019修正）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自然资源部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2019年07月24日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2019年07月24日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保护矿山地质环境，减少矿产资源勘查开采活动造成的矿山地质环境破坏，保护人民生命和财产安全，促进矿产资源的合理开发利用和经济社会、资源环境的协调发展，根据《中华人民共和国矿产资源法》《地质灾害防治条例》《土地复垦条例》，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因矿产资源勘查开采等活动造成矿区地面塌陷、地裂缝、崩塌、滑坡，含水层破坏，地形地貌景观破坏等的预防和治理恢复，适用本规定。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开采矿产资源涉及土地复垦的，依照国家有关土地复垦的法律法规执行。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矿山地质环境保护，坚持预防为主、防治结合，谁开发谁保护、谁破坏谁治理、谁投资谁受益的原则。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自然资源部负责全国矿山地质环境的保护工作。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县级以上地方自然资源主管部门负责本行政区的矿山地质环境保护工作。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国家鼓励开展矿山地质环境保护科学技术研究，普及相关科学技术知识，推广先进技术和方法，制定有关技术标准，提高矿山地质环境保护的科学技术水平。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国家鼓励企业、社会团体或者个人投资，对已关闭或者废弃矿山的地质环境进行治理恢复。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任何单位和个人对破坏矿山地质环境的违法行为都有权进行检举和控告。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第二章规划</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自然资源部负责全国矿山地质环境的调查评价工作。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省、自治区、直辖市自然资源主管部门负责本行政区域内的矿山地质环境调查评价工作。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市、县自然资源主管部门根据本地区的实际情况，开展本行政区域的矿山地质环境调查评价工作。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自然资源部依据全国矿山地质环境调查评价结果，编制全国矿山地质环境保护规划。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自然资源主管部门依据全国矿山地质环境保护规划，结合本行政区域的矿山地质环境调查评价结果，编制省、自治区、直辖市的矿山地质环境保护规划，报省、自治区、直辖市人民政府批准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市、县级矿山地质环境保护规划的编制和审批，由省、自治区、直辖市自然资源主管部门规定。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矿山地质环境保护规划应当包括下列内容：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（一）矿山地质环境现状和发展趋势；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（二）矿山地质环境保护的指导思想、原则和目标；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（三）矿山地质环境保护的主要任务；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（四）矿山地质环境保护的重点工程；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（五）规划实施保障措施。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矿山地质环境保护规划应当符合矿产资源规划，并与土地利用总体规划、地质灾害防治规划等相协调。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第三章治理恢复</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采矿权申请人申请办理采矿许可证时，应当编制矿山地质环境保护与土地复垦方案，报有批准权的自然资源主管部门批准。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矿山地质环境保护与土地复垦方案应当包括下列内容：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（一）矿山基本情况；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（二）矿区基础信息；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（三）矿山地质环境影响和土地损毁评估；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（四）矿山地质环境治理与土地复垦可行性分析；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（五）矿山地质环境治理与土地复垦工程；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（六）矿山地质环境治理与土地复垦工作部署；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（七）经费估算与进度安排；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（八）保障措施与效益分析。</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采矿权申请人未编制矿山地质环境保护与土地复垦方案，或者编制的矿山地质环境保护与土地复垦方案不符合要求的，有批准权的自然资源主管部门应当告知申请人补正；逾期不补正的，不予受理其采矿权申请。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采矿权人扩大开采规模、变更矿区范围或者开采方式的，应当重新编制矿山地质环境保护与土地复垦方案，并报原批准机关批准。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采矿权人应当严格执行经批准的矿山地质环境保护与土地复垦方案。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矿山地质环境保护与治理恢复工程的设计和施工，应当与矿产资源开采活动同步进行。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开采矿产资源造成矿山地质环境破坏的，由采矿权人负责治理恢复，治理恢复费用列入生产成本。</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矿山地质环境治理恢复责任人灭失的，由矿山所在地的市、县自然资源主管部门，使用经市、县人民政府批准设立的政府专项资金进行治理恢复。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自然资源部，省、自治区、直辖市自然资源主管部门依据矿山地质环境保护规划，按照矿山地质环境治理工程项目管理制度的要求，对市、县自然资源主管部门给予资金补助。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采矿权人应当依照国家有关规定，计提矿山地质环境治理恢复基金。基金由企业自主使用，根据其矿山地质环境保护与土地复垦方案确定的经费预算、工程实施计划、进度安排等，统筹用于开展矿山地质环境治理恢复和土地复垦。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采矿权人应当按照矿山地质环境保护与土地复垦方案的要求履行矿山地质环境保护与土地复垦义务。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采矿权人未履行矿山地质环境保护与土地复垦义务，或者未达到矿山地质环境保护与土地复垦方案要求，有关自然资源主管部门应当责令采矿权人限期履行矿山地质环境保护与土地复垦义务。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矿山关闭前，采矿权人应当完成矿山地质环境保护与土地复垦义务。采矿权人在申请办理闭坑手续时，应当经自然资源主管部门验收合格，并提交验收合格文件。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采矿权转让的，矿山地质环境保护与土地复垦的义务同时转让。采矿权受让人应当依照本规定，履行矿山地质环境保护与土地复垦的义务。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以槽探、坑探方式勘查矿产资源，探矿权人在矿产资源勘查活动结束后未申请采矿权的，应当采取相应的治理恢复措施，对其勘查矿产资源遗留的钻孔、探井、探槽、巷道进行回填、封闭，对形成的危岩、危坡等进行治理恢复，消除安全隐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第四章监督管理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县级以上自然资源主管部门对采矿权人履行矿山地质环境保护与土地复垦义务的情况进行监督检查。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相关责任人应当配合县级以上自然资源主管部门的监督检查，并提供必要的资料，如实反映情况。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县级以上自然资源主管部门应当建立本行政区域内的矿山地质环境监测工作体系，健全监测网络，对矿山地质环境进行动态监测，指导、监督采矿权人开展矿山地质环境监测。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采矿权人应当定期向矿山所在地的县级自然资源主管部门报告矿山地质环境情况，如实提交监测资料。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县级自然资源主管部门应当定期将汇总的矿山地质环境监测资料报上一级自然资源主管部门。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县级以上自然资源主管部门在履行矿山地质环境保护的监督检查职责时，有权对矿山地质环境与土地复垦方案确立的治理恢复措施落实情况和矿山地质环境监测情况进行现场检查，对违反本规定的行为有权制止并依法查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开采矿产资源等活动造成矿山地质环境突发事件的，有关责任人应当采取应急措施，并立即向当地人民政府报告。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违反本规定，应当编制矿山地质环境保护与土地复垦方案而未编制的，或者扩大开采规模、变更矿区范围或者开采方式，未重新编制矿山地质环境保护与土地复垦方案并经原审批机关批准的，责令限期改正，并列入矿业权人异常名录或严重违法名单；逾期不改正的，处3万元以下的罚款，不受理其申请新的采矿许可证或者申请采矿许可证延续、变更、注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违反本规定，未按照批准的矿山地质环境保护与土地复垦方案治理的，或者在矿山被批准关闭、闭坑前未完成治理恢复的，责令限期改正，并列入矿业权人异常名录或严重违法名单；逾期拒不改正的或整改不到位的，处3万元以下的罚款，不受理其申请新的采矿权许可证或者申请采矿权许可证延续、变更、注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违反本规定，未按规定计提矿山地质环境治理恢复基金的，由县级以上自然资源主管部门责令限期计提；逾期不计提的，处3万元以下的罚款。颁发采矿许可证的自然资源主管部门不得通过其采矿活动年度报告，不受理其采矿权延续变更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违反本规定第二十一条规定，探矿权人未采取治理恢复措施的，由县级以上自然资源主管部门责令限期改正；逾期拒不改正的，处3万元以下的罚款，5年内不受理其新的探矿权、采矿权申请。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违反本规定，扰乱、阻碍矿山地质环境保护与治理恢复工作，侵占、损坏、损毁矿山地质环境监测设施或者矿山地质环境保护与治理恢复设施的，由县级以上自然资源主管部门责令停止违法行为，限期恢复原状或者采取补救措施，并处3万元以下的罚款；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县级以上自然资源主管部门工作人员违反本规定，在矿山地质环境保护与治理恢复监督管理中玩忽职守、滥用职权、徇私舞弊的，对相关责任人依法给予处分；构成犯罪的，依法追究刑事责任。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本规定实施前已建和在建矿山，采矿权人应当依照本规定编制矿山地质环境保护与土地复垦方案，报原采矿许可证审批机关批准。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本规定自2009年5月1日起施行。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矿山地质环境保护规定（2019修正）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4d84830029f6451d918cd92d054148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