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新疆维吾尔自治区实施《中华人民共和国水法》办法（2023修正）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2023年09月28日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2023年09月28日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自治条例和单行条例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（1992年5月8日新疆维吾尔自治区第七届人民代表大会常务委员会第二十六次会议通过 2003年12月26日新疆维吾尔自治区第十届人民代表大会常务委员会第七次会议修订 根据2023年9月28日新疆维吾尔自治区第十四届人民代表大会常务委员会第五次会议《关于修改〈新疆维吾尔自治区实施《中华人民共和国水法》办法〉的决定》修正）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根据《中华人民共和国水法》，结合自治区实际，制定本办法。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在自治区行政区域内开发、利用、节约、保护、管理水资源，防治水害，适用本办法。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本办法所称水资源，包括地表水和地下水。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水资源属于国家所有。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取用水资源实行取水许可制度和有偿使用制度。法律、行政法规另有规定的，按其规定执行。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县级以上人民政府应当加强水利基础设施建设，将其纳入本级国民经济和社会发展计划，并采取有效措施节约和保护水资源，实现水资源的可持续利用。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自治区对水资源实行流域管理与行政区域管理相结合的管理体制，加强流域水资源的统一管理和科学调度。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自治区水行政主管部门负责全区水资源的统一管理和监督工作；州、市（地）、县（市）水行政主管部门按照规定的权限，负责本行政区域内水资源的统一管理和监督工作。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水行政主管部门可以在自治区确定的重要河流、湖泊和跨州、市（地）的河流、湖泊设立流域管理机构，州、市（地）水行政主管部门可以在跨县（市）的河流、湖泊设立流域管理机构。流域管理机构在所管辖的范围内依其职责对水资源实施统一管理和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自治区兵地水资源协调联系机制负责协调解决水资源开发、利用、保护中的重大问题，实行联合水行政监察制度。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县级以上人民政府其他有关部门按照职责分工，负责本行政区域内水资源开发、利用、节约和保护的有关工作。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县级以上人民政府水行政主管部门和流域管理机构应当建立水政监察制度，加强水政队伍建设，加强水事活动监督，履行法定职责，维护水事秩序。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水资源规划和开发利用</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自治区制定全区的水资源综合规划。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自治区确定的重要河流、湖泊和跨州、市（地）的河流、湖泊的流域综合规划由自治区水行政主管部门会同同级有关部门和有关州、市（地）人民政府编制，报自治区人民政府批准。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其他河流、湖泊的流域综合规划和区域综合规划由州、市（地）、县（市）水行政主管部门会同同级有关部门和有关地方人民政府编制，经上一级水行政主管部门组织论证后，报本级人民政府批准。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灌溉、供水、水力发电、渔业、水资源保护、节约用水、水土保持、防沙治沙等专业规划由县级以上人民政府有关部门编制，征求同级其他有关部门意见后，报本级人民政府批准。其中，水行政主管部门编制的专业规划报批前应当经上一级水行政主管部门组织论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流域范围内的区域规划应当服从流域规划，专业规划应当服从综合规划。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经批准的水资源综合规划、流域综合规划和区域综合规划应当报上一级水行政主管部门备案。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水资源规划应当适时修改，并按规定程序报批。规划一经批准，必须严格执行，任何单位和个人不得违背。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编制水资源规划，开发利用水资源，应当根据流域或区域生态环境状况和生态用水需求，确定生态用水比例，维持河流的合理流量和湖泊、地下水的合理水位，保护生态环境。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在生态环境脆弱的区域和已经出现河道断流、湖泊萎缩等生态问题的流域或区域，应当调整产业结构，从严控制非生态用水，增加生态用水，禁止开荒。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在河流、湖泊上建设水工程，其工程可行性研究报告报请批准前，由县级以上人民政府水行政主管部门或者有关流域管理机构按照自治区规定的管理权限，对水工程的建设是否符合水资源规划进行审查并签署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未经审查或者经审查不符合水资源规划的建设项目，有关部门不得批准。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县级以上人民政府应当增加投入，加强防洪、灌溉、发电、人畜饮水和生态用水等水利工程的建设。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在已发生和易发生盐碱化和渍害的灌区，应当改进灌排方式，控制地下水位，防治土壤盐碱化和渍害。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自治区鼓励单位和个人投资兴建水工程。水工程建设和管理实行谁投资、谁受益的原则，并依法保护投资人的合法权益。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引水、开采地下水、截（蓄）水、排水以及建设其他水资源开发利用项目，应当兼顾上下游、左右岸和有关各方的利益。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不同行政区域之间的边界河流、跨界河流上建设水资源开发利用项目，未经有关各方协商一致，并报经其共同的上一级人民政府水行政主管部门或者有关流域管理机构批准，任何一方不得单方面建设水资源开发利用项目。</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水资源、水域和水工程的保护</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县级以上人民政府生态环境主管部门应当会同水行政主管部门和有关部门，对其管辖的河流、湖泊拟定水功能区划，报本级人民政府批准，并报上一级生态环境主管部门和水行政主管部门备案。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水功能区划应当划定水源保护区、工业用水区、农业用水区、渔业用水区、景观旅游用水区、生态用水区等。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水功能区划经批准后，应当划定水功能区界线、设置标志。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开发利用水资源、水域的活动以及向水体排污应当符合经批准的水功能区划的要求。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县级以上人民政府水行政主管部门应当加强对地下水开发利用的统一规划，合理开发利用地下水。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有关地方人民政府在地下水超采区应当压缩地下水开采量，逐步达到采补平衡；对地下水禁采区，在规定的期限内禁止兴建地下水取水工程，对原有的取水工程应当制定关停方案和水源替代方案。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在河流、湖泊新建、改建、扩大排污口，应当经有管辖权的水行政主管部门或者流域管理机构审查同意，由生态环境主管部门对该建设项目的环境影响报告书进行审批。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排入河流、湖泊等水域的废水、污水，应当符合水功能区划的要求和规定的排放标准。有管辖权的水行政主管部门或者流域管理机构应当进行监测和监督。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河道、湖泊和水工程的管理和保护范围按照下列规定确定：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（一）无堤防河道的管理范围为：有岸坎的为两岸岸坎以内的区域；无岸坎的为河道设计洪水位或者历史最高洪水位线以内的区域；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堤防河道的管理范围为：两岸堤防之间的水域、沙洲、滩地（包括可耕地）、行洪区、堤防及护堤地。护堤地宽度为自外脚线向外计起，年径流量在1亿立方米以上的，20—50米；年径流量在1亿立方米以下的，15—30米以内的区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（三）水库、大坝、溢洪道、水电站、渠道、水利枢纽等水工程设施的管理和保护范围，按照自治区人民政府制定的具体标准执行。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河道、湖泊和水工程的管理和保护范围，由有关水行政主管部门或者流域管理机构、水工程管理单位勘查并提出方案，报县级以上人民政府批准。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在河道管理范围内建设桥梁、码头、闸坝和其他拦河、跨河、穿河、穿堤、临河建筑物、构筑物，铺设管道、电缆等建设工程，应当符合国家规定的防洪标准和其他有关的要求，按照《中华人民共和国防洪法》的有关规定报经有管辖权的水行政主管部门或流域管理机构审查同意，方可办理其他建设审批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利用河流、湖泊等水域从事旅游开发和养殖等经营活动，应当在有管辖权的水行政主管部门或者流域管理机构规定的区域内进行，并采取措施对废水、固体废弃物等污染物进行处理，达到水功能区划和水资源保护的要求，防止对水体的污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河道采砂实行采砂许可制度。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水行政主管部门或者流域管理机构应当根据河道行洪和堤防安全的需要，制定河道采砂规划，划定可采区、禁采区，规定可采期、禁采期，并予以公告。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在河道管理范围内进行采砂、取土、采石、淘金等活动，应当符合规划，并向有管辖权的水行政主管部门或流域管理机构依法申请许可；涉及其他部门的，会同有关部门依法办理。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水资源配置和节约使用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自治区发展改革主管部门和自治区水行政主管部门负责全区水资源的宏观调配。自治区和跨州、市（地）的水中长期供求规划，由自治区水行政主管部门会同有关部门制订，经自治区发展改革主管部门审查批准后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州、市（地）和县（市）水中长期供求规划，由当地水行政主管部门会同同级有关部门依据上一级水中长期供求规划和本地区的实际情况制订，经本级人民政府发展改革主管部门审查批准后执行。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调蓄径流和分配水量，应当依据流域规划和水中长期供求规划，以流域为单元制定水量分配方案。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水量分配方案应当合理安排生态用水。因生态治理需要，可以按照原批准程序对已经制定的水量分配方案进行调整。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跨行政区域河流的水量分配方案和旱情紧急情况下的水量调度预案，由其共同的上一级水行政主管部门或者有关流域管理机构会同有关地方人民政府编制，报本级人民政府批准。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县级以上人民政府水行政主管部门或者流域管理机构应当根据批准的水量分配方案和年度预测来水量，制定年度水量分配方案和调度计划，实施水量统一调度并进行考核；对超计划用水的加倍扣回超用水量。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流域年度水量分配方案和调度计划，有关用水单位应当执行。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区域的年度水量分配方案和调度计划应当依据流域的年度水量分配方案和调度计划制订。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直接从河流、湖泊或者地下取用水资源的（含水力、火力发电取用水），应当依法向县级以上人民政府水行政主管部门或者流域管理机构申请取水许可，并缴纳水资源费。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建设单位新建、改建、扩建建设项目申请取水许可的，应当同时提交水资源论证报告。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县级以上人民政府水行政主管部门应当根据水资源供需变化、技术进步和经济社会发展水平，确定不同时期全社会节水目标，建立和完善节水制度，加强对节水工作的领导，发展节水型农业、工业和服务业，建设节水型社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各级人民政府应当因地制宜推广节水灌溉技术，加快现有工程的节水改造，用水单位和个人应当积极应用节水灌溉技术，采用节水栽培技术，积极发展节水型高效农业和生态农业。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工业企业应当加强节水技术改造，淘汰落后工艺和设备，降低水的消耗，提高水的重复利用率。水行政主管部门应当组织用水单位开展水平衡测试，考核企业用水水平，挖掘企业节水潜力。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城市公共设施与民用建筑应当使用节水型器具和设备。城市人民政府应当采取措施，推行中水利用、提高污水再生利用率。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新建、改建、扩建需要取用水的建设项目，应当配套建设节水设施，推广使用节水新技术、新设备、新工艺、新产品。节水设施应当与建设项目同时设计、同时施工、同时投入使用。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自治区人民政府有关行业主管部门应当制订行业用水定额，报同级水行政主管部门和市场监督管理部门审核同意后，由自治区人民政府公布，并报国务院水行政主管部门和市场监督管理部门备案。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单位和个人的用水计划应当根据用水定额核定，超定额或者超计划用水实行累进加价收费。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用水单位和个人应当安装符合规定的计量设施，并保证计量设施正常运行。无计量设施或者设施运行不正常的，可按用水设施的最大设计能力计算用水量。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县级以上人民政府应当制定有利于节约水资源和保护环境的水价政策。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农业水源转向城市、工业供水的，水价中应当附加农业节水补偿资金，专项用于农业节水。具体规定由自治区财政、发展改革和水行政主管部门制定。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农业供水推行配水到户，计量到户，按方收费。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使用水工程供应的水，应当向供水单位缴纳水费。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供水单位征收的水费应当定期公布。任何组织、单位和个人不得在水价之外加收其他任何费用。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水费应当按国家和自治区有关规定主要用于水工程的维护和运行管理，不得挪作他用。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水行政主管部门或者其他有关部门以及水工程管理单位及其工作人员，有下列情形之一的，对直接负责的主管人员和其他责任人员给予行政处分；情节严重，构成犯罪的，依法追究刑事责任：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（一）对不符合法定条件的单位或个人核发许可证、签署审查同意意见，或者予以批准的；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（二）不按规定征收水资源费等费用的；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（三）违反规定在禁止开荒区域批准开荒的；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（四）不按照水量分配方案分配水量或者对违规开荒供水的；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（五）不履行监督职责，或者发现违法行为不予查处的；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（六）其他滥用职权、徇私舞弊的行为。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违反本办法第二十条规定，超出规定水域从事旅游开发和养殖等经营活动的，由县级以上人民政府水行政主管部门或者流域管理机构依据职权，责令其限期改正，逾期不改正的，处二万元以下罚款。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违反本办法第二十五条规定，未经许可在河流、湖泊上扒口设泵或者修筑临时设施擅自取水的，由县级以上人民政府水行政主管部门或者流域管理机构依据职权，责令停止违法行为，限期采取补救措施，处二万元以上十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违反本办法规定，应当给予行政处罚的其他行为，依照《中华人民共和国水法》《中华人民共和国水污染防治法》和有关法律、法规的规定予以处罚。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本办法自2004年3月1日起施行。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新疆维吾尔自治区实施《中华人民共和国水法》办法（2023修正）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d1bf6c5d31e2c209635037661185ad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