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372A3F">
      <w:pPr>
        <w:pStyle w:val="11"/>
        <w:bidi w:val="0"/>
      </w:pPr>
    </w:p>
    <w:p w14:paraId="42C96018">
      <w:pPr>
        <w:pStyle w:val="15"/>
        <w:widowControl/>
      </w:pPr>
      <mc:AlternateContent>
        <mc:Choice Requires="wpsCustomData">
          <wpsCustomData:docfieldStart id="0" docfieldname="标题_1" hidden="0" print="1" readonly="0" index="9"/>
        </mc:Choice>
      </mc:AlternateContent>
      <w:r>
        <w:t>公安部令</w:t>
      </w:r>
      <mc:AlternateContent>
        <mc:Choice Requires="wpsCustomData">
          <wpsCustomData:docfieldEnd id="0"/>
        </mc:Choice>
      </mc:AlternateContent>
    </w:p>
    <w:p w14:paraId="3EB82C09">
      <w:pPr>
        <w:pStyle w:val="11"/>
        <w:bidi w:val="0"/>
        <w:rPr>
          <w:rFonts w:hint="eastAsia"/>
        </w:rPr>
      </w:pPr>
    </w:p>
    <w:p w14:paraId="5A298D35">
      <w:pPr>
        <w:pStyle w:val="11"/>
        <w:widowControl/>
        <w:ind w:firstLine="0" w:firstLineChars="0"/>
        <w:jc w:val="center"/>
      </w:pPr>
      <w:r>
        <w:t>(第87号)</w:t>
      </w:r>
    </w:p>
    <w:p w14:paraId="46C57F48">
      <w:pPr>
        <w:pStyle w:val="11"/>
        <w:bidi w:val="0"/>
        <w:rPr>
          <w:rFonts w:hint="eastAsia"/>
        </w:rPr>
      </w:pPr>
    </w:p>
    <w:p w14:paraId="581449EF">
      <w:pPr>
        <w:pStyle w:val="11"/>
        <w:bidi w:val="0"/>
        <w:rPr>
          <w:rFonts w:hint="eastAsia"/>
        </w:rPr>
      </w:pPr>
      <w:r>
        <w:rPr>
          <w:rFonts w:hint="eastAsia"/>
        </w:rPr>
        <w:t>　　《易制毒化学品购销和运输管理办法》已经2006年4月21日公安部部长办公会议通过，现予发布，自2006年10月1日起施行。</w:t>
      </w:r>
    </w:p>
    <w:p w14:paraId="082FCA29">
      <w:pPr>
        <w:pStyle w:val="11"/>
        <w:bidi w:val="0"/>
        <w:rPr>
          <w:rFonts w:hint="eastAsia"/>
          <w:lang w:val="en-US" w:eastAsia="zh-CN"/>
        </w:rPr>
      </w:pPr>
    </w:p>
    <w:p w14:paraId="12750FF8">
      <w:pPr>
        <w:pStyle w:val="11"/>
        <w:bidi w:val="0"/>
        <w:rPr>
          <w:rFonts w:hint="eastAsia"/>
        </w:rPr>
      </w:pPr>
    </w:p>
    <w:p w14:paraId="5A8ADDD8">
      <w:pPr>
        <w:pStyle w:val="15"/>
        <w:widowControl/>
      </w:pPr>
      <w:bookmarkStart w:id="0" w:name="_GoBack"/>
      <mc:AlternateContent>
        <mc:Choice Requires="wpsCustomData">
          <wpsCustomData:docfieldStart id="1" docfieldname="标题_2" hidden="0" print="1" readonly="0" index="8"/>
        </mc:Choice>
      </mc:AlternateContent>
      <w:r>
        <w:t>易制毒化学品购销和运输管理办法</w:t>
      </w:r>
      <mc:AlternateContent>
        <mc:Choice Requires="wpsCustomData">
          <wpsCustomData:docfieldEnd id="1"/>
        </mc:Choice>
      </mc:AlternateContent>
    </w:p>
    <w:bookmarkEnd w:id="0"/>
    <w:p w14:paraId="05E55611">
      <w:pPr>
        <w:pStyle w:val="18"/>
        <w:widowControl/>
        <w:numPr>
          <w:ilvl w:val="0"/>
          <w:numId w:val="1"/>
        </w:numPr>
        <w:ind w:left="0" w:leftChars="0" w:firstLine="0" w:firstLineChars="0"/>
        <w:rPr>
          <w:b w:val="0"/>
          <w:bdr w:val="none" w:sz="0" w:space="0"/>
        </w:rPr>
      </w:pPr>
      <w:r>
        <w:t>总则</w:t>
      </w:r>
    </w:p>
    <w:p w14:paraId="68363C52">
      <w:pPr>
        <w:pStyle w:val="11"/>
        <w:bidi w:val="0"/>
        <w:rPr>
          <w:rFonts w:hint="eastAsia"/>
        </w:rPr>
      </w:pPr>
    </w:p>
    <w:p w14:paraId="2AA5F242">
      <w:pPr>
        <w:pStyle w:val="11"/>
        <w:widowControl/>
        <w:numPr>
          <w:ilvl w:val="0"/>
          <w:numId w:val="2"/>
        </w:numPr>
        <w:topLinePunct w:val="0"/>
        <w:ind w:left="0" w:leftChars="0" w:firstLine="616" w:firstLineChars="0"/>
        <w:rPr>
          <w:b/>
          <w:bdr w:val="none" w:sz="0" w:space="0"/>
        </w:rPr>
      </w:pPr>
      <w:r>
        <w:t>为加强易制毒化学品管理，规范购销和运输易制毒化学品行为，防止易制毒化学品被用于制造毒品，维护经济和社会秩序，根据《易制毒化学品管理条例》，制定本办法。</w:t>
      </w:r>
    </w:p>
    <w:p w14:paraId="01B8AD79">
      <w:pPr>
        <w:pStyle w:val="11"/>
        <w:widowControl/>
        <w:numPr>
          <w:ilvl w:val="0"/>
          <w:numId w:val="2"/>
        </w:numPr>
        <w:topLinePunct w:val="0"/>
        <w:ind w:left="0" w:leftChars="0" w:firstLine="616" w:firstLineChars="0"/>
        <w:rPr>
          <w:b/>
          <w:bdr w:val="none" w:sz="0" w:space="0"/>
        </w:rPr>
      </w:pPr>
      <w:r>
        <w:t>公安部是全国易制毒化学品购销、运输管理和监督检查的主管部门。</w:t>
      </w:r>
    </w:p>
    <w:p w14:paraId="66F4BCA1">
      <w:pPr>
        <w:pStyle w:val="11"/>
        <w:widowControl/>
      </w:pPr>
      <w:r>
        <w:t>县级以上地方人民政府公安机关负责本辖区内易制毒化学品购销、运输管理和监督检查工作。</w:t>
      </w:r>
    </w:p>
    <w:p w14:paraId="2D6E23C7">
      <w:pPr>
        <w:pStyle w:val="11"/>
        <w:widowControl/>
      </w:pPr>
      <w:r>
        <w:t>各省、自治区、直辖市和设区的市级人民政府公安机关禁毒部门应当设立易制毒化学品管理专门机构，县级人民政府公安机关应当设专门人员，负责易制毒化学品的购买、运输许可或者备案和监督检查工作。</w:t>
      </w:r>
    </w:p>
    <w:p w14:paraId="61EA2AD9">
      <w:pPr>
        <w:pStyle w:val="18"/>
        <w:widowControl/>
        <w:numPr>
          <w:ilvl w:val="0"/>
          <w:numId w:val="1"/>
        </w:numPr>
        <w:ind w:left="0" w:leftChars="0" w:firstLine="0" w:firstLineChars="0"/>
        <w:rPr>
          <w:b w:val="0"/>
          <w:bdr w:val="none" w:sz="0" w:space="0"/>
        </w:rPr>
      </w:pPr>
      <w:r>
        <w:t>购销管理</w:t>
      </w:r>
    </w:p>
    <w:p w14:paraId="185CE8C2">
      <w:pPr>
        <w:pStyle w:val="11"/>
        <w:bidi w:val="0"/>
        <w:rPr>
          <w:rFonts w:hint="eastAsia"/>
        </w:rPr>
      </w:pPr>
    </w:p>
    <w:p w14:paraId="67F698A9">
      <w:pPr>
        <w:pStyle w:val="11"/>
        <w:widowControl/>
        <w:numPr>
          <w:ilvl w:val="0"/>
          <w:numId w:val="3"/>
        </w:numPr>
        <w:topLinePunct w:val="0"/>
        <w:ind w:left="0" w:leftChars="0" w:firstLine="616" w:firstLineChars="0"/>
        <w:rPr>
          <w:b/>
          <w:bdr w:val="none" w:sz="0" w:space="0"/>
        </w:rPr>
      </w:pPr>
      <w:r>
        <w:t>购买第一类中的非药品类易制毒化学品的，应当向所在地省级人民政府公安机关申请购买许可证；购买第二类、第三类易制毒化学品的，应当向所在地县级人民政府公安机关备案。取得购买许可证或者购买备案证明后，方可购买易制毒化学品。</w:t>
      </w:r>
    </w:p>
    <w:p w14:paraId="0477BA94">
      <w:pPr>
        <w:pStyle w:val="11"/>
        <w:widowControl/>
        <w:numPr>
          <w:ilvl w:val="0"/>
          <w:numId w:val="3"/>
        </w:numPr>
        <w:topLinePunct w:val="0"/>
        <w:ind w:left="0" w:leftChars="0" w:firstLine="616" w:firstLineChars="0"/>
        <w:rPr>
          <w:b/>
          <w:bdr w:val="none" w:sz="0" w:space="0"/>
        </w:rPr>
      </w:pPr>
      <w:r>
        <w:t>个人不得购买第一类易制毒化学品和第二类易制毒化学品。</w:t>
      </w:r>
    </w:p>
    <w:p w14:paraId="7C472091">
      <w:pPr>
        <w:pStyle w:val="11"/>
        <w:widowControl/>
      </w:pPr>
      <w:r>
        <w:t>禁止使用现金或者实物进行易制毒化学品交易，但是个人合法购买第一类中的药品类易制毒化学品药品制剂和第三类易制毒化学品的除外。</w:t>
      </w:r>
    </w:p>
    <w:p w14:paraId="31A9CD56">
      <w:pPr>
        <w:pStyle w:val="11"/>
        <w:widowControl/>
        <w:numPr>
          <w:ilvl w:val="0"/>
          <w:numId w:val="3"/>
        </w:numPr>
        <w:topLinePunct w:val="0"/>
        <w:ind w:left="0" w:leftChars="0" w:firstLine="616" w:firstLineChars="0"/>
        <w:rPr>
          <w:b/>
          <w:bdr w:val="none" w:sz="0" w:space="0"/>
        </w:rPr>
      </w:pPr>
      <w:r>
        <w:t>申请购买第一类中的非药品类易制毒化学品和第二类、第三类易制毒化学品的，应当提交下列申请材料：</w:t>
      </w:r>
    </w:p>
    <w:p w14:paraId="42CF09E3">
      <w:pPr>
        <w:pStyle w:val="11"/>
        <w:widowControl/>
        <w:numPr>
          <w:ilvl w:val="0"/>
          <w:numId w:val="4"/>
        </w:numPr>
        <w:topLinePunct w:val="0"/>
        <w:ind w:left="0" w:leftChars="0" w:firstLine="616" w:firstLineChars="0"/>
        <w:rPr>
          <w:b w:val="0"/>
          <w:bdr w:val="none" w:sz="0" w:space="0"/>
        </w:rPr>
      </w:pPr>
      <w:r>
        <w:t>经营企业的营业执照（副本和复印件），其他组织的登记证书或者成立批准文件（原件和复印件），或者个人的身份证明（原件和复印件）；</w:t>
      </w:r>
    </w:p>
    <w:p w14:paraId="7619C132">
      <w:pPr>
        <w:pStyle w:val="11"/>
        <w:widowControl/>
        <w:numPr>
          <w:ilvl w:val="0"/>
          <w:numId w:val="4"/>
        </w:numPr>
        <w:topLinePunct w:val="0"/>
        <w:ind w:left="0" w:leftChars="0" w:firstLine="616" w:firstLineChars="0"/>
        <w:rPr>
          <w:b w:val="0"/>
          <w:bdr w:val="none" w:sz="0" w:space="0"/>
        </w:rPr>
      </w:pPr>
      <w:r>
        <w:t>合法使用需要证明（原件）。</w:t>
      </w:r>
    </w:p>
    <w:p w14:paraId="39106EDE">
      <w:pPr>
        <w:pStyle w:val="11"/>
        <w:widowControl/>
      </w:pPr>
      <w:r>
        <w:t>合法使用需要证明由购买单位或者个人出具，注明拟购买易制毒化学品的品种、数量和用途，并加盖购买单位印章或者个人签名。</w:t>
      </w:r>
    </w:p>
    <w:p w14:paraId="31B1BFEA">
      <w:pPr>
        <w:pStyle w:val="11"/>
        <w:widowControl/>
        <w:numPr>
          <w:ilvl w:val="0"/>
          <w:numId w:val="3"/>
        </w:numPr>
        <w:topLinePunct w:val="0"/>
        <w:ind w:left="0" w:leftChars="0" w:firstLine="616" w:firstLineChars="0"/>
        <w:rPr>
          <w:b/>
          <w:bdr w:val="none" w:sz="0" w:space="0"/>
        </w:rPr>
      </w:pPr>
      <w:r>
        <w:t>申请购买第一类中的非药品类易制毒化学品的，由申请人所在地的省级人民政府公安机关审批。负责审批的公安机关应当自收到申请之日起十日内，对申请人提交的申请材料进行审查。对符合规定的，发给购买许可证；不予许可的，应当书面说明理由。</w:t>
      </w:r>
    </w:p>
    <w:p w14:paraId="4C3E6777">
      <w:pPr>
        <w:pStyle w:val="11"/>
        <w:widowControl/>
      </w:pPr>
      <w:r>
        <w:t>负责审批的公安机关对购买许可证的申请能够当场予以办理的，应当当场办理；对材料不齐备需要补充的，应当一次告知申请人需补充的内容；对提供材料不符合规定不予受理的，应当书面说明理由。</w:t>
      </w:r>
    </w:p>
    <w:p w14:paraId="18BA7616">
      <w:pPr>
        <w:pStyle w:val="11"/>
        <w:widowControl/>
        <w:numPr>
          <w:ilvl w:val="0"/>
          <w:numId w:val="3"/>
        </w:numPr>
        <w:topLinePunct w:val="0"/>
        <w:ind w:left="0" w:leftChars="0" w:firstLine="616" w:firstLineChars="0"/>
        <w:rPr>
          <w:b/>
          <w:bdr w:val="none" w:sz="0" w:space="0"/>
        </w:rPr>
      </w:pPr>
      <w:r>
        <w:t>公安机关审查第一类易制毒化学品购买许可申请材料时，根据需要，可以进行实地核查。遇有下列情形之一的，应当进行实地核查：</w:t>
      </w:r>
    </w:p>
    <w:p w14:paraId="79A61CED">
      <w:pPr>
        <w:pStyle w:val="11"/>
        <w:widowControl/>
        <w:numPr>
          <w:ilvl w:val="0"/>
          <w:numId w:val="5"/>
        </w:numPr>
        <w:topLinePunct w:val="0"/>
        <w:ind w:left="0" w:leftChars="0" w:firstLine="616" w:firstLineChars="0"/>
        <w:rPr>
          <w:b w:val="0"/>
          <w:bdr w:val="none" w:sz="0" w:space="0"/>
        </w:rPr>
      </w:pPr>
      <w:r>
        <w:t>购买单位第一次申请的；</w:t>
      </w:r>
    </w:p>
    <w:p w14:paraId="5DB8A77B">
      <w:pPr>
        <w:pStyle w:val="11"/>
        <w:widowControl/>
        <w:numPr>
          <w:ilvl w:val="0"/>
          <w:numId w:val="5"/>
        </w:numPr>
        <w:topLinePunct w:val="0"/>
        <w:ind w:left="0" w:leftChars="0" w:firstLine="616" w:firstLineChars="0"/>
        <w:rPr>
          <w:b w:val="0"/>
          <w:bdr w:val="none" w:sz="0" w:space="0"/>
        </w:rPr>
      </w:pPr>
      <w:r>
        <w:t>购买单位提供的申请材料不符合要求的；</w:t>
      </w:r>
    </w:p>
    <w:p w14:paraId="5E294B39">
      <w:pPr>
        <w:pStyle w:val="11"/>
        <w:widowControl/>
        <w:numPr>
          <w:ilvl w:val="0"/>
          <w:numId w:val="5"/>
        </w:numPr>
        <w:topLinePunct w:val="0"/>
        <w:ind w:left="0" w:leftChars="0" w:firstLine="616" w:firstLineChars="0"/>
        <w:rPr>
          <w:b w:val="0"/>
          <w:bdr w:val="none" w:sz="0" w:space="0"/>
        </w:rPr>
      </w:pPr>
      <w:r>
        <w:t>对购买单位提供的申请材料有疑问的。</w:t>
      </w:r>
    </w:p>
    <w:p w14:paraId="2EFB285A">
      <w:pPr>
        <w:pStyle w:val="11"/>
        <w:widowControl/>
        <w:numPr>
          <w:ilvl w:val="0"/>
          <w:numId w:val="3"/>
        </w:numPr>
        <w:topLinePunct w:val="0"/>
        <w:ind w:left="0" w:leftChars="0" w:firstLine="616" w:firstLineChars="0"/>
        <w:rPr>
          <w:b/>
          <w:bdr w:val="none" w:sz="0" w:space="0"/>
        </w:rPr>
      </w:pPr>
      <w:r>
        <w:t>购买第二类、第三类易制毒化学品的，应当在购买前将所需购买的品种、数量，向所在地的县级人民政府公安机关备案。公安机关受理备案后，应当于当日出具购买备案证明。</w:t>
      </w:r>
    </w:p>
    <w:p w14:paraId="318ABA96">
      <w:pPr>
        <w:pStyle w:val="11"/>
        <w:widowControl/>
      </w:pPr>
      <w:r>
        <w:t>自用一次性购买五公斤以下且年用量五十公斤以下高锰酸钾的，无须备案。</w:t>
      </w:r>
    </w:p>
    <w:p w14:paraId="6D3EDA80">
      <w:pPr>
        <w:pStyle w:val="11"/>
        <w:widowControl/>
        <w:numPr>
          <w:ilvl w:val="0"/>
          <w:numId w:val="3"/>
        </w:numPr>
        <w:topLinePunct w:val="0"/>
        <w:ind w:left="0" w:leftChars="0" w:firstLine="616" w:firstLineChars="0"/>
        <w:rPr>
          <w:b/>
          <w:bdr w:val="none" w:sz="0" w:space="0"/>
        </w:rPr>
      </w:pPr>
      <w:r>
        <w:t>易制毒化学品购买许可证一次使用有效，有效期一个月。</w:t>
      </w:r>
    </w:p>
    <w:p w14:paraId="5D5AA010">
      <w:pPr>
        <w:pStyle w:val="11"/>
        <w:widowControl/>
      </w:pPr>
      <w:r>
        <w:t>易制毒化学品购买备案证明一次使用有效，有效期一个月。对备案后一年内无违规行为的单位，可以发给多次使用有效的备案证明，有效期六个月。</w:t>
      </w:r>
    </w:p>
    <w:p w14:paraId="3467859A">
      <w:pPr>
        <w:pStyle w:val="11"/>
        <w:widowControl/>
      </w:pPr>
      <w:r>
        <w:t>对个人购买的，只办理一次使用有效的备案证明。</w:t>
      </w:r>
    </w:p>
    <w:p w14:paraId="3D87279A">
      <w:pPr>
        <w:pStyle w:val="11"/>
        <w:widowControl/>
        <w:numPr>
          <w:ilvl w:val="0"/>
          <w:numId w:val="3"/>
        </w:numPr>
        <w:topLinePunct w:val="0"/>
        <w:ind w:left="0" w:leftChars="0" w:firstLine="616" w:firstLineChars="0"/>
        <w:rPr>
          <w:b/>
          <w:bdr w:val="none" w:sz="0" w:space="0"/>
        </w:rPr>
      </w:pPr>
      <w:r>
        <w:t>经营单位销售第一类易制毒化学品时，应当查验购买许可证和经办人的身份证明。对委托代购的，还应当查验购买人持有的委托文书。</w:t>
      </w:r>
    </w:p>
    <w:p w14:paraId="7413500A">
      <w:pPr>
        <w:pStyle w:val="11"/>
        <w:widowControl/>
      </w:pPr>
      <w:r>
        <w:t>委托文书应当载明委托人与被委托人双方情况、委托购买的品种、数量等事项。</w:t>
      </w:r>
    </w:p>
    <w:p w14:paraId="0503EA8E">
      <w:pPr>
        <w:pStyle w:val="11"/>
        <w:widowControl/>
      </w:pPr>
      <w:r>
        <w:t>经营单位在查验无误、留存前两款规定的证明材料的复印件后，方可出售第一类易制毒化学品；发现可疑情况的，应当立即向当地公安机关报告。</w:t>
      </w:r>
    </w:p>
    <w:p w14:paraId="57E42CE3">
      <w:pPr>
        <w:pStyle w:val="11"/>
        <w:widowControl/>
      </w:pPr>
      <w:r>
        <w:t>经营单位在查验购买方提供的许可证和身份证明时，对不能确定其真实性的，可以请当地公安机关协助核查。公安机关应当当场予以核查，对于不能当场核实的，应当于三日内将核查结果告知经营单位。</w:t>
      </w:r>
    </w:p>
    <w:p w14:paraId="644AFE12">
      <w:pPr>
        <w:pStyle w:val="11"/>
        <w:widowControl/>
        <w:numPr>
          <w:ilvl w:val="0"/>
          <w:numId w:val="3"/>
        </w:numPr>
        <w:topLinePunct w:val="0"/>
        <w:ind w:left="0" w:leftChars="0" w:firstLine="616" w:firstLineChars="0"/>
        <w:rPr>
          <w:b/>
          <w:bdr w:val="none" w:sz="0" w:space="0"/>
        </w:rPr>
      </w:pPr>
      <w:r>
        <w:t>经营单位应当建立易制毒化学品销售台账，如实记录销售的品种、数量、日期、购买方等情况。经营单位销售易制毒化学品时，还应当留存购买许可证或者购买备案证明以及购买经办人的身份证明的复印件。</w:t>
      </w:r>
    </w:p>
    <w:p w14:paraId="0E9AD087">
      <w:pPr>
        <w:pStyle w:val="11"/>
        <w:widowControl/>
      </w:pPr>
      <w:r>
        <w:t>销售台账和证明材料复印件应当保存二年备查。</w:t>
      </w:r>
    </w:p>
    <w:p w14:paraId="2DA718D9">
      <w:pPr>
        <w:pStyle w:val="11"/>
        <w:widowControl/>
        <w:numPr>
          <w:ilvl w:val="0"/>
          <w:numId w:val="3"/>
        </w:numPr>
        <w:topLinePunct w:val="0"/>
        <w:ind w:left="0" w:leftChars="0" w:firstLine="616" w:firstLineChars="0"/>
        <w:rPr>
          <w:b/>
          <w:bdr w:val="none" w:sz="0" w:space="0"/>
        </w:rPr>
      </w:pPr>
      <w:r>
        <w:t>经营单位应当将第一类易制毒化学品的销售情况于销售之日起五日内报当地县级人民政府公安机关备案，将第二类、第三类易制毒化学品的销售情况于三十日内报当地县级人民政府公安机关备案。</w:t>
      </w:r>
    </w:p>
    <w:p w14:paraId="046976E4">
      <w:pPr>
        <w:pStyle w:val="11"/>
        <w:widowControl/>
      </w:pPr>
      <w:r>
        <w:t>备案的销售情况应当包括销售单位、地址，销售易制毒化学品的种类、数量等，并同时提交留存的购买方的证明材料复印件。</w:t>
      </w:r>
    </w:p>
    <w:p w14:paraId="03AE33E6">
      <w:pPr>
        <w:pStyle w:val="11"/>
        <w:widowControl/>
        <w:numPr>
          <w:ilvl w:val="0"/>
          <w:numId w:val="3"/>
        </w:numPr>
        <w:topLinePunct w:val="0"/>
        <w:ind w:left="0" w:leftChars="0" w:firstLine="616" w:firstLineChars="0"/>
        <w:rPr>
          <w:b/>
          <w:bdr w:val="none" w:sz="0" w:space="0"/>
        </w:rPr>
      </w:pPr>
      <w:r>
        <w:t>第一类易制毒化学品的使用单位，应当建立使用台账，如实记录购进易制毒化学品的种类、数量、使用情况和库存等，并保存二年备查。</w:t>
      </w:r>
    </w:p>
    <w:p w14:paraId="53F4BDF3">
      <w:pPr>
        <w:pStyle w:val="11"/>
        <w:widowControl/>
        <w:numPr>
          <w:ilvl w:val="0"/>
          <w:numId w:val="3"/>
        </w:numPr>
        <w:topLinePunct w:val="0"/>
        <w:ind w:left="0" w:leftChars="0" w:firstLine="616" w:firstLineChars="0"/>
        <w:rPr>
          <w:b/>
          <w:bdr w:val="none" w:sz="0" w:space="0"/>
        </w:rPr>
      </w:pPr>
      <w:r>
        <w:t>购买、销售和使用易制毒化学品的单位，应当在易制毒化学品的出入库登记、易制毒化学品管理岗位责任分工以及企业从业人员的易制毒化学品知识培训等方面建立单位内部管理制度。</w:t>
      </w:r>
    </w:p>
    <w:p w14:paraId="74C5A5B8">
      <w:pPr>
        <w:pStyle w:val="18"/>
        <w:widowControl/>
        <w:numPr>
          <w:ilvl w:val="0"/>
          <w:numId w:val="1"/>
        </w:numPr>
        <w:ind w:left="0" w:leftChars="0" w:firstLine="0" w:firstLineChars="0"/>
        <w:rPr>
          <w:b w:val="0"/>
          <w:bdr w:val="none" w:sz="0" w:space="0"/>
        </w:rPr>
      </w:pPr>
      <w:r>
        <w:t>运输管理</w:t>
      </w:r>
    </w:p>
    <w:p w14:paraId="77D83EB4">
      <w:pPr>
        <w:pStyle w:val="11"/>
        <w:bidi w:val="0"/>
        <w:rPr>
          <w:rFonts w:hint="eastAsia"/>
        </w:rPr>
      </w:pPr>
    </w:p>
    <w:p w14:paraId="436206C3">
      <w:pPr>
        <w:pStyle w:val="11"/>
        <w:widowControl/>
        <w:numPr>
          <w:ilvl w:val="0"/>
          <w:numId w:val="6"/>
        </w:numPr>
        <w:topLinePunct w:val="0"/>
        <w:ind w:left="0" w:leftChars="0" w:firstLine="616" w:firstLineChars="0"/>
        <w:rPr>
          <w:b/>
          <w:bdr w:val="none" w:sz="0" w:space="0"/>
        </w:rPr>
      </w:pPr>
      <w:r>
        <w:t>运输易制毒化学品，有下列情形之一的，应当申请运输许可证或者进行备案：</w:t>
      </w:r>
    </w:p>
    <w:p w14:paraId="0C22341C">
      <w:pPr>
        <w:pStyle w:val="11"/>
        <w:widowControl/>
        <w:numPr>
          <w:ilvl w:val="0"/>
          <w:numId w:val="7"/>
        </w:numPr>
        <w:topLinePunct w:val="0"/>
        <w:ind w:left="0" w:leftChars="0" w:firstLine="616" w:firstLineChars="0"/>
        <w:rPr>
          <w:b w:val="0"/>
          <w:bdr w:val="none" w:sz="0" w:space="0"/>
        </w:rPr>
      </w:pPr>
      <w:r>
        <w:t>跨设区的市级行政区域（直辖市为跨市界）运输的；</w:t>
      </w:r>
    </w:p>
    <w:p w14:paraId="080772E1">
      <w:pPr>
        <w:pStyle w:val="11"/>
        <w:widowControl/>
        <w:numPr>
          <w:ilvl w:val="0"/>
          <w:numId w:val="7"/>
        </w:numPr>
        <w:topLinePunct w:val="0"/>
        <w:ind w:left="0" w:leftChars="0" w:firstLine="616" w:firstLineChars="0"/>
        <w:rPr>
          <w:b w:val="0"/>
          <w:bdr w:val="none" w:sz="0" w:space="0"/>
        </w:rPr>
      </w:pPr>
      <w:r>
        <w:t>在禁毒形势严峻的重点地区跨县级行政区域运输的。禁毒形势严峻的重点地区由公安部确定和调整，名单另行公布。</w:t>
      </w:r>
    </w:p>
    <w:p w14:paraId="2C57B327">
      <w:pPr>
        <w:pStyle w:val="11"/>
        <w:widowControl/>
      </w:pPr>
      <w:r>
        <w:t>运输第一类易制毒化学品的，应当向运出地的设区的市级人民政府公安机关申请运输许可证。</w:t>
      </w:r>
    </w:p>
    <w:p w14:paraId="5A9F54D6">
      <w:pPr>
        <w:pStyle w:val="11"/>
        <w:widowControl/>
      </w:pPr>
      <w:r>
        <w:t>运输第二类易制毒化学品的，应当向运出地县级人民政府公安机关申请运输许可证。</w:t>
      </w:r>
    </w:p>
    <w:p w14:paraId="6209BD2B">
      <w:pPr>
        <w:pStyle w:val="11"/>
        <w:widowControl/>
      </w:pPr>
      <w:r>
        <w:t>运输第三类易制毒化学品的，应当向运出地县级人民政府公安机关备案。</w:t>
      </w:r>
    </w:p>
    <w:p w14:paraId="0CBD904E">
      <w:pPr>
        <w:pStyle w:val="11"/>
        <w:widowControl/>
        <w:numPr>
          <w:ilvl w:val="0"/>
          <w:numId w:val="6"/>
        </w:numPr>
        <w:topLinePunct w:val="0"/>
        <w:ind w:left="0" w:leftChars="0" w:firstLine="616" w:firstLineChars="0"/>
        <w:rPr>
          <w:b/>
          <w:bdr w:val="none" w:sz="0" w:space="0"/>
        </w:rPr>
      </w:pPr>
      <w:r>
        <w:t>运输供教学、科研使用的一百克以下的麻黄素样品和供医疗机构制剂配方使用的小包装麻黄素以及医疗机构或者麻醉药品经营企业购买麻黄素片剂六万片以下、注射剂一万五千支以下，货主或者承运人持有依法取得的购买许可证明或者麻醉药品调拨单的，无须申请易制毒化学品运输许可。</w:t>
      </w:r>
    </w:p>
    <w:p w14:paraId="4454301D">
      <w:pPr>
        <w:pStyle w:val="11"/>
        <w:widowControl/>
        <w:numPr>
          <w:ilvl w:val="0"/>
          <w:numId w:val="6"/>
        </w:numPr>
        <w:topLinePunct w:val="0"/>
        <w:ind w:left="0" w:leftChars="0" w:firstLine="616" w:firstLineChars="0"/>
        <w:rPr>
          <w:b/>
          <w:bdr w:val="none" w:sz="0" w:space="0"/>
        </w:rPr>
      </w:pPr>
      <w:r>
        <w:t>因治疗疾病需要，患者、患者近亲属或者患者委托的人凭医疗机构出具的医疗诊断书和本人的身份证明，可以随身携带第一类中的药品类易制毒化学品药品制剂，但是不得超过医用单张处方的最大剂量。</w:t>
      </w:r>
    </w:p>
    <w:p w14:paraId="7FB06C53">
      <w:pPr>
        <w:pStyle w:val="11"/>
        <w:widowControl/>
        <w:numPr>
          <w:ilvl w:val="0"/>
          <w:numId w:val="6"/>
        </w:numPr>
        <w:topLinePunct w:val="0"/>
        <w:ind w:left="0" w:leftChars="0" w:firstLine="616" w:firstLineChars="0"/>
        <w:rPr>
          <w:b/>
          <w:bdr w:val="none" w:sz="0" w:space="0"/>
        </w:rPr>
      </w:pPr>
      <w:r>
        <w:t>运输易制毒化学品，应当由货主向公安机关申请运输许可证或者进行备案。</w:t>
      </w:r>
    </w:p>
    <w:p w14:paraId="485DE615">
      <w:pPr>
        <w:pStyle w:val="11"/>
        <w:widowControl/>
      </w:pPr>
      <w:r>
        <w:t>申请易制毒化学品运输许可证或者进行备案，应当提交下列材料：</w:t>
      </w:r>
    </w:p>
    <w:p w14:paraId="32740B2B">
      <w:pPr>
        <w:pStyle w:val="11"/>
        <w:widowControl/>
        <w:numPr>
          <w:ilvl w:val="0"/>
          <w:numId w:val="8"/>
        </w:numPr>
        <w:topLinePunct w:val="0"/>
        <w:ind w:left="0" w:leftChars="0" w:firstLine="616" w:firstLineChars="0"/>
        <w:rPr>
          <w:b w:val="0"/>
          <w:bdr w:val="none" w:sz="0" w:space="0"/>
        </w:rPr>
      </w:pPr>
      <w:r>
        <w:t>经营企业的营业执照（副本和复印件），其他组织的登记证书或者成立批准文件（原件和复印件），个人的身份证明（原件和复印件）；</w:t>
      </w:r>
    </w:p>
    <w:p w14:paraId="3F337F8A">
      <w:pPr>
        <w:pStyle w:val="11"/>
        <w:widowControl/>
        <w:numPr>
          <w:ilvl w:val="0"/>
          <w:numId w:val="8"/>
        </w:numPr>
        <w:topLinePunct w:val="0"/>
        <w:ind w:left="0" w:leftChars="0" w:firstLine="616" w:firstLineChars="0"/>
        <w:rPr>
          <w:b w:val="0"/>
          <w:bdr w:val="none" w:sz="0" w:space="0"/>
        </w:rPr>
      </w:pPr>
      <w:r>
        <w:t>易制毒化学品购销合同（复印件）；</w:t>
      </w:r>
    </w:p>
    <w:p w14:paraId="6FC22B16">
      <w:pPr>
        <w:pStyle w:val="11"/>
        <w:widowControl/>
        <w:numPr>
          <w:ilvl w:val="0"/>
          <w:numId w:val="8"/>
        </w:numPr>
        <w:topLinePunct w:val="0"/>
        <w:ind w:left="0" w:leftChars="0" w:firstLine="616" w:firstLineChars="0"/>
        <w:rPr>
          <w:b w:val="0"/>
          <w:bdr w:val="none" w:sz="0" w:space="0"/>
        </w:rPr>
      </w:pPr>
      <w:r>
        <w:t>经办人的身份证明（原件和复印件）。</w:t>
      </w:r>
    </w:p>
    <w:p w14:paraId="68A5AB92">
      <w:pPr>
        <w:pStyle w:val="11"/>
        <w:widowControl/>
        <w:numPr>
          <w:ilvl w:val="0"/>
          <w:numId w:val="6"/>
        </w:numPr>
        <w:topLinePunct w:val="0"/>
        <w:ind w:left="0" w:leftChars="0" w:firstLine="616" w:firstLineChars="0"/>
        <w:rPr>
          <w:b/>
          <w:bdr w:val="none" w:sz="0" w:space="0"/>
        </w:rPr>
      </w:pPr>
      <w:r>
        <w:t>负责审批的公安机关应当自收到第一类易制毒化学品运输许可申请之日起十日内，收到第二类易制毒化学品运输许可申请之日起三日内，对申请人提交的申请材料进行审查。对</w:t>
      </w:r>
      <w:r>
        <w:rPr>
          <w:spacing wpsCustomData:val="-6" w:val="0"/>
        </w:rPr>
        <w:t>符合规定的，发给运输许可证；不予许可的，应当书面说</w:t>
      </w:r>
      <w:r>
        <w:rPr>
          <w:spacing wpsCustomData:val="-6" w:val="-6"/>
        </w:rPr>
        <w:t>明</w:t>
      </w:r>
      <w:r>
        <w:t>理由。</w:t>
      </w:r>
    </w:p>
    <w:p w14:paraId="3576085B">
      <w:pPr>
        <w:pStyle w:val="11"/>
        <w:widowControl/>
      </w:pPr>
      <w:r>
        <w:t>负责审批的公安机关对运输许可申请能够当场予以办理的，应当当场办理；对材料不齐备需要补充的，应当一次告知申请人需补充的内容；对提供材料不符合规定不予受理的，应当书面说明理由。</w:t>
      </w:r>
    </w:p>
    <w:p w14:paraId="3709B737">
      <w:pPr>
        <w:pStyle w:val="11"/>
        <w:widowControl/>
      </w:pPr>
      <w:r>
        <w:t>运输第三类易制毒化学品的，应当在运输前向运出地的县级人民政府公安机关备案。公安机关应当在收到备案材料的当日发给备案证明。</w:t>
      </w:r>
    </w:p>
    <w:p w14:paraId="16891802">
      <w:pPr>
        <w:pStyle w:val="11"/>
        <w:widowControl/>
        <w:numPr>
          <w:ilvl w:val="0"/>
          <w:numId w:val="6"/>
        </w:numPr>
        <w:topLinePunct w:val="0"/>
        <w:ind w:left="0" w:leftChars="0" w:firstLine="616" w:firstLineChars="0"/>
        <w:rPr>
          <w:b/>
          <w:bdr w:val="none" w:sz="0" w:space="0"/>
        </w:rPr>
      </w:pPr>
      <w:r>
        <w:t>负责审批的公安机关对申请人提交的申请材料，应当核查其真实性和有效性，其中查验购销合同时，可以要求申请人出示购买许可证或者备案证明，核对是否相符；对营业执照和登记证书（或者成立批准文件），应当核查其生产范围、经营范围、使用范围、证照有效期等内容。</w:t>
      </w:r>
    </w:p>
    <w:p w14:paraId="3C40FE40">
      <w:pPr>
        <w:pStyle w:val="11"/>
        <w:widowControl/>
      </w:pPr>
      <w:r>
        <w:t>公安机关审查第一类易制毒化学品运输许可申请材料时，根据需要，可以进行实地核查。遇有下列情形之一的，应当进行实地核查：</w:t>
      </w:r>
    </w:p>
    <w:p w14:paraId="4ED271E3">
      <w:pPr>
        <w:pStyle w:val="11"/>
        <w:widowControl/>
        <w:numPr>
          <w:ilvl w:val="0"/>
          <w:numId w:val="9"/>
        </w:numPr>
        <w:topLinePunct w:val="0"/>
        <w:ind w:left="0" w:leftChars="0" w:firstLine="616" w:firstLineChars="0"/>
        <w:rPr>
          <w:b w:val="0"/>
          <w:bdr w:val="none" w:sz="0" w:space="0"/>
        </w:rPr>
      </w:pPr>
      <w:r>
        <w:t>申请人第一次申请的；</w:t>
      </w:r>
    </w:p>
    <w:p w14:paraId="47894AAB">
      <w:pPr>
        <w:pStyle w:val="11"/>
        <w:widowControl/>
        <w:numPr>
          <w:ilvl w:val="0"/>
          <w:numId w:val="9"/>
        </w:numPr>
        <w:topLinePunct w:val="0"/>
        <w:ind w:left="0" w:leftChars="0" w:firstLine="616" w:firstLineChars="0"/>
        <w:rPr>
          <w:b w:val="0"/>
          <w:bdr w:val="none" w:sz="0" w:space="0"/>
        </w:rPr>
      </w:pPr>
      <w:r>
        <w:t>提供的申请材料不符合要求的；</w:t>
      </w:r>
    </w:p>
    <w:p w14:paraId="18704F03">
      <w:pPr>
        <w:pStyle w:val="11"/>
        <w:widowControl/>
        <w:numPr>
          <w:ilvl w:val="0"/>
          <w:numId w:val="9"/>
        </w:numPr>
        <w:topLinePunct w:val="0"/>
        <w:ind w:left="0" w:leftChars="0" w:firstLine="616" w:firstLineChars="0"/>
        <w:rPr>
          <w:b w:val="0"/>
          <w:bdr w:val="none" w:sz="0" w:space="0"/>
        </w:rPr>
      </w:pPr>
      <w:r>
        <w:t>对提供的申请材料有疑问的。</w:t>
      </w:r>
    </w:p>
    <w:p w14:paraId="53D76B03">
      <w:pPr>
        <w:pStyle w:val="11"/>
        <w:widowControl/>
        <w:numPr>
          <w:ilvl w:val="0"/>
          <w:numId w:val="6"/>
        </w:numPr>
        <w:topLinePunct w:val="0"/>
        <w:ind w:left="0" w:leftChars="0" w:firstLine="616" w:firstLineChars="0"/>
        <w:rPr>
          <w:b/>
          <w:bdr w:val="none" w:sz="0" w:space="0"/>
        </w:rPr>
      </w:pPr>
      <w:r>
        <w:t>对许可运输第一类易制毒化学品的，发给一次有效的运输许可证，有效期一个月。</w:t>
      </w:r>
    </w:p>
    <w:p w14:paraId="211C1143">
      <w:pPr>
        <w:pStyle w:val="11"/>
        <w:widowControl/>
      </w:pPr>
      <w:r>
        <w:t>对许可运输第二类易制毒化学品的，发给三个月多次使用有效的运输许可证；对第三类易制毒化学品运输备案的，发给三个月多次使用有效的备案证明；对于领取运输许可证或者运输备案证明后六个月内按照规定运输并保证运输安全的，可以发给有效期十二个月的运输许可证或者运输备案证明。</w:t>
      </w:r>
    </w:p>
    <w:p w14:paraId="57B967E8">
      <w:pPr>
        <w:pStyle w:val="11"/>
        <w:widowControl/>
        <w:numPr>
          <w:ilvl w:val="0"/>
          <w:numId w:val="6"/>
        </w:numPr>
        <w:topLinePunct w:val="0"/>
        <w:ind w:left="0" w:leftChars="0" w:firstLine="616" w:firstLineChars="0"/>
        <w:rPr>
          <w:b/>
          <w:bdr w:val="none" w:sz="0" w:space="0"/>
        </w:rPr>
      </w:pPr>
      <w:r>
        <w:t>承运人接受货主委托运输，对应当凭证运输的，应当查验货主提供的运输许可证或者备案证明，并查验所运货物与运输许可证或者备案证明载明的易制毒化学品的品种、数量等情况是否相符；不相符的，不得承运。</w:t>
      </w:r>
    </w:p>
    <w:p w14:paraId="223AA453">
      <w:pPr>
        <w:pStyle w:val="11"/>
        <w:widowControl/>
      </w:pPr>
      <w:r>
        <w:t>承运人查验货主提供的运输许可证或者备案证明时，对不能确定其真实性的，可以请当地人民政府公安机关协助核查。公安机关应当当场予以核查，对于不能当场核实的，应当于三日内将核查结果告知承运人。</w:t>
      </w:r>
    </w:p>
    <w:p w14:paraId="033F6BB4">
      <w:pPr>
        <w:pStyle w:val="11"/>
        <w:widowControl/>
        <w:numPr>
          <w:ilvl w:val="0"/>
          <w:numId w:val="6"/>
        </w:numPr>
        <w:topLinePunct w:val="0"/>
        <w:ind w:left="0" w:leftChars="0" w:firstLine="616" w:firstLineChars="0"/>
        <w:rPr>
          <w:b/>
          <w:bdr w:val="none" w:sz="0" w:space="0"/>
        </w:rPr>
      </w:pPr>
      <w:r>
        <w:t>运输易制毒化学品时，运输车辆应当在明显部位张贴易制毒化学品标识；属于危险化学品的，应当由有危险化学品运输资质的单位运输；应当凭证运输的，运输人员应当自启运起全程携带运输许可证或者备案证明。承运单位应当派人押运或者采取其他有效措施，防止易制毒化学品丢失、被盗、被抢。</w:t>
      </w:r>
    </w:p>
    <w:p w14:paraId="016823E3">
      <w:pPr>
        <w:pStyle w:val="11"/>
        <w:widowControl/>
      </w:pPr>
      <w:r>
        <w:t>运输易制毒化学品时，还应当遵守国家有关货物运输的规定。</w:t>
      </w:r>
    </w:p>
    <w:p w14:paraId="4B29B04F">
      <w:pPr>
        <w:pStyle w:val="11"/>
        <w:widowControl/>
        <w:numPr>
          <w:ilvl w:val="0"/>
          <w:numId w:val="6"/>
        </w:numPr>
        <w:topLinePunct w:val="0"/>
        <w:ind w:left="0" w:leftChars="0" w:firstLine="616" w:firstLineChars="0"/>
        <w:rPr>
          <w:b/>
          <w:bdr w:val="none" w:sz="0" w:space="0"/>
        </w:rPr>
      </w:pPr>
      <w:r>
        <w:t>公安机关在易制毒化学品运输过程中应当对运输情况与运输许可证或者备案证明所载内容是否相符等情况进行检查。交警、治安、禁毒、边防等部门应当在交通重点路段和边境地区等加强易制毒化学品运输的检查。</w:t>
      </w:r>
    </w:p>
    <w:p w14:paraId="1F9EA725">
      <w:pPr>
        <w:pStyle w:val="11"/>
        <w:widowControl/>
        <w:numPr>
          <w:ilvl w:val="0"/>
          <w:numId w:val="6"/>
        </w:numPr>
        <w:topLinePunct w:val="0"/>
        <w:ind w:left="0" w:leftChars="0" w:firstLine="616" w:firstLineChars="0"/>
        <w:rPr>
          <w:b/>
          <w:bdr w:val="none" w:sz="0" w:space="0"/>
        </w:rPr>
      </w:pPr>
      <w:r>
        <w:t>易制毒化学品运出地与运入地公安机关应当建立情况通报制度。运出地负责审批或者备案的公安机关应当每季度末将办理的易制毒化学品运输许可或者备案情况通报运入地同级公安机关，运入地同级公安机关应当核查货物的实际运达情况后通报运出地公安机关。</w:t>
      </w:r>
    </w:p>
    <w:p w14:paraId="70A6CD71">
      <w:pPr>
        <w:pStyle w:val="18"/>
        <w:widowControl/>
        <w:numPr>
          <w:ilvl w:val="0"/>
          <w:numId w:val="1"/>
        </w:numPr>
        <w:ind w:left="0" w:leftChars="0" w:firstLine="0" w:firstLineChars="0"/>
        <w:rPr>
          <w:b w:val="0"/>
          <w:bdr w:val="none" w:sz="0" w:space="0"/>
        </w:rPr>
      </w:pPr>
      <w:r>
        <w:t>监督检查</w:t>
      </w:r>
    </w:p>
    <w:p w14:paraId="2FAE76FA">
      <w:pPr>
        <w:pStyle w:val="11"/>
        <w:bidi w:val="0"/>
        <w:rPr>
          <w:rFonts w:hint="eastAsia"/>
        </w:rPr>
      </w:pPr>
    </w:p>
    <w:p w14:paraId="6463899A">
      <w:pPr>
        <w:pStyle w:val="11"/>
        <w:widowControl/>
        <w:numPr>
          <w:ilvl w:val="0"/>
          <w:numId w:val="10"/>
        </w:numPr>
        <w:topLinePunct w:val="0"/>
        <w:ind w:left="0" w:leftChars="0" w:firstLine="616" w:firstLineChars="0"/>
        <w:rPr>
          <w:b/>
          <w:bdr w:val="none" w:sz="0" w:space="0"/>
        </w:rPr>
      </w:pPr>
      <w:r>
        <w:t>县级以上人民政府公安机关应当加强对易制毒化学品购销和运输等情况的监督检查，有关单位和个人应当积极配合。对发现非法购销和运输行为的，公安机关应当依法查处。</w:t>
      </w:r>
    </w:p>
    <w:p w14:paraId="4CAE38D6">
      <w:pPr>
        <w:pStyle w:val="11"/>
        <w:widowControl/>
      </w:pPr>
      <w:r>
        <w:t>公安机关在进行易制毒化学品监督检查时，可以依法查看现场、查阅和复制有关资料、记录有关情况、扣押相关的证据材料和违法物品；必要时，可以临时查封有关场所。</w:t>
      </w:r>
    </w:p>
    <w:p w14:paraId="505C6871">
      <w:pPr>
        <w:pStyle w:val="11"/>
        <w:widowControl/>
      </w:pPr>
      <w:r>
        <w:t>被检查的单位或者个人应当如实提供有关情况和材料、物品，不得拒绝或者隐匿。</w:t>
      </w:r>
    </w:p>
    <w:p w14:paraId="48B0D465">
      <w:pPr>
        <w:pStyle w:val="11"/>
        <w:widowControl/>
        <w:numPr>
          <w:ilvl w:val="0"/>
          <w:numId w:val="10"/>
        </w:numPr>
        <w:topLinePunct w:val="0"/>
        <w:ind w:left="0" w:leftChars="0" w:firstLine="616" w:firstLineChars="0"/>
        <w:rPr>
          <w:b/>
          <w:bdr w:val="none" w:sz="0" w:space="0"/>
        </w:rPr>
      </w:pPr>
      <w:r>
        <w:t>公安机关应当对依法收缴、查获的易制毒化学品安全保管。对于可以回收的，应当予以回收；对于不能回收的，应当依照环境保护法律、行政法规的有关规定，交由有资质的单位予以销毁，防止造成环境污染和人身伤亡。对收缴、查获的第一类中的药品类易制毒化学品的，一律销毁。</w:t>
      </w:r>
    </w:p>
    <w:p w14:paraId="783102F1">
      <w:pPr>
        <w:pStyle w:val="11"/>
        <w:widowControl/>
      </w:pPr>
      <w:r>
        <w:t>保管和销毁费用由易制毒化学品违法单位或者个人承担。违法单位或者个人无力承担的，该费用在回收所得中开支，或者在公安机关的禁毒经费中列支。</w:t>
      </w:r>
    </w:p>
    <w:p w14:paraId="49FC5472">
      <w:pPr>
        <w:pStyle w:val="11"/>
        <w:widowControl/>
        <w:numPr>
          <w:ilvl w:val="0"/>
          <w:numId w:val="10"/>
        </w:numPr>
        <w:topLinePunct w:val="0"/>
        <w:ind w:left="0" w:leftChars="0" w:firstLine="616" w:firstLineChars="0"/>
        <w:rPr>
          <w:b/>
          <w:bdr w:val="none" w:sz="0" w:space="0"/>
        </w:rPr>
      </w:pPr>
      <w:r>
        <w:t>购买、销售和运输易制毒化学品的单位应当于每年三月三十一日前向所在地县级公安机关报告上年度的购买、销售和运输情况。公安机关发现可疑情况的，应当及时予以核对和检查，必要时可以进行实地核查。</w:t>
      </w:r>
    </w:p>
    <w:p w14:paraId="1FF43CD3">
      <w:pPr>
        <w:pStyle w:val="11"/>
        <w:widowControl/>
      </w:pPr>
      <w:r>
        <w:t>有条件的购买、销售和运输单位，可以与当地公安机关建立计算机联网，及时通报有关情况。</w:t>
      </w:r>
    </w:p>
    <w:p w14:paraId="5E64A551">
      <w:pPr>
        <w:pStyle w:val="11"/>
        <w:widowControl/>
        <w:numPr>
          <w:ilvl w:val="0"/>
          <w:numId w:val="10"/>
        </w:numPr>
        <w:topLinePunct w:val="0"/>
        <w:ind w:left="0" w:leftChars="0" w:firstLine="616" w:firstLineChars="0"/>
        <w:rPr>
          <w:b/>
          <w:bdr w:val="none" w:sz="0" w:space="0"/>
        </w:rPr>
      </w:pPr>
      <w:r>
        <w:t>易制毒化学品丢失、被盗、被抢的，发案单位应当立即向当地公安机关报告。接到报案的公安机关应当及时立案查处，并向上级公安机关报告。</w:t>
      </w:r>
    </w:p>
    <w:p w14:paraId="5CA0CD3F">
      <w:pPr>
        <w:pStyle w:val="18"/>
        <w:widowControl/>
        <w:numPr>
          <w:ilvl w:val="0"/>
          <w:numId w:val="1"/>
        </w:numPr>
        <w:ind w:left="0" w:leftChars="0" w:firstLine="0" w:firstLineChars="0"/>
        <w:rPr>
          <w:b w:val="0"/>
          <w:bdr w:val="none" w:sz="0" w:space="0"/>
        </w:rPr>
      </w:pPr>
      <w:r>
        <w:t>法律责任</w:t>
      </w:r>
    </w:p>
    <w:p w14:paraId="4AE07257">
      <w:pPr>
        <w:pStyle w:val="11"/>
        <w:bidi w:val="0"/>
        <w:rPr>
          <w:rFonts w:hint="eastAsia"/>
        </w:rPr>
      </w:pPr>
    </w:p>
    <w:p w14:paraId="78613BF4">
      <w:pPr>
        <w:pStyle w:val="11"/>
        <w:widowControl/>
        <w:numPr>
          <w:ilvl w:val="0"/>
          <w:numId w:val="11"/>
        </w:numPr>
        <w:topLinePunct w:val="0"/>
        <w:ind w:left="0" w:leftChars="0" w:firstLine="616" w:firstLineChars="0"/>
        <w:rPr>
          <w:b/>
          <w:bdr w:val="none" w:sz="0" w:space="0"/>
        </w:rPr>
      </w:pPr>
      <w:r>
        <w:t>违反规定购买易制毒化学品，有下列情形之一的，公安机关应当没收非法购买的易制毒化学品，对购买方处非法购买易制毒化学品货值十倍以上二十倍以下的罚款，货值的二十倍不足一万元的，按一万元罚款；构成犯罪的，依法追究刑事责任：</w:t>
      </w:r>
    </w:p>
    <w:p w14:paraId="64374FBD">
      <w:pPr>
        <w:pStyle w:val="11"/>
        <w:widowControl/>
        <w:numPr>
          <w:ilvl w:val="0"/>
          <w:numId w:val="12"/>
        </w:numPr>
        <w:topLinePunct w:val="0"/>
        <w:ind w:left="0" w:leftChars="0" w:firstLine="616" w:firstLineChars="0"/>
        <w:rPr>
          <w:b w:val="0"/>
          <w:bdr w:val="none" w:sz="0" w:space="0"/>
        </w:rPr>
      </w:pPr>
      <w:r>
        <w:t>未经许可或者备案擅自购买易制毒化学品的；</w:t>
      </w:r>
    </w:p>
    <w:p w14:paraId="02F7101F">
      <w:pPr>
        <w:pStyle w:val="11"/>
        <w:widowControl/>
        <w:numPr>
          <w:ilvl w:val="0"/>
          <w:numId w:val="12"/>
        </w:numPr>
        <w:topLinePunct w:val="0"/>
        <w:ind w:left="0" w:leftChars="0" w:firstLine="616" w:firstLineChars="0"/>
        <w:rPr>
          <w:b w:val="0"/>
          <w:bdr w:val="none" w:sz="0" w:space="0"/>
        </w:rPr>
      </w:pPr>
      <w:r>
        <w:t>使用他人的或者伪造、变造、失效的许可证或者备案证明购买易制毒化学品的。</w:t>
      </w:r>
    </w:p>
    <w:p w14:paraId="412126A9">
      <w:pPr>
        <w:pStyle w:val="11"/>
        <w:widowControl/>
        <w:numPr>
          <w:ilvl w:val="0"/>
          <w:numId w:val="11"/>
        </w:numPr>
        <w:topLinePunct w:val="0"/>
        <w:ind w:left="0" w:leftChars="0" w:firstLine="616" w:firstLineChars="0"/>
        <w:rPr>
          <w:b/>
          <w:bdr w:val="none" w:sz="0" w:space="0"/>
        </w:rPr>
      </w:pPr>
      <w:r>
        <w:t>违反规定销售易制毒化学品，有下列情形之一的，公安机关应当对销售单位处一万元以下罚款；有违法所得的，处三万元以下罚款，并对违法所得依法予以追缴；构成犯罪的，依法追究刑事责任：</w:t>
      </w:r>
    </w:p>
    <w:p w14:paraId="1E7BCA50">
      <w:pPr>
        <w:pStyle w:val="11"/>
        <w:widowControl/>
        <w:numPr>
          <w:ilvl w:val="0"/>
          <w:numId w:val="13"/>
        </w:numPr>
        <w:topLinePunct w:val="0"/>
        <w:ind w:left="0" w:leftChars="0" w:firstLine="616" w:firstLineChars="0"/>
        <w:rPr>
          <w:b w:val="0"/>
          <w:bdr w:val="none" w:sz="0" w:space="0"/>
        </w:rPr>
      </w:pPr>
      <w:r>
        <w:t>向无购买许可证或者备案证明的单位或者个人销售易制毒化学品的；</w:t>
      </w:r>
    </w:p>
    <w:p w14:paraId="2084B6FC">
      <w:pPr>
        <w:pStyle w:val="11"/>
        <w:widowControl/>
        <w:numPr>
          <w:ilvl w:val="0"/>
          <w:numId w:val="13"/>
        </w:numPr>
        <w:topLinePunct w:val="0"/>
        <w:ind w:left="0" w:leftChars="0" w:firstLine="616" w:firstLineChars="0"/>
        <w:rPr>
          <w:b w:val="0"/>
          <w:bdr w:val="none" w:sz="0" w:space="0"/>
        </w:rPr>
      </w:pPr>
      <w:r>
        <w:t>超出购买许可证或者备案证明的品种、数量销售易制毒化学品的。</w:t>
      </w:r>
    </w:p>
    <w:p w14:paraId="69B2B589">
      <w:pPr>
        <w:pStyle w:val="11"/>
        <w:widowControl/>
        <w:numPr>
          <w:ilvl w:val="0"/>
          <w:numId w:val="11"/>
        </w:numPr>
        <w:topLinePunct w:val="0"/>
        <w:ind w:left="0" w:leftChars="0" w:firstLine="616" w:firstLineChars="0"/>
        <w:rPr>
          <w:b/>
          <w:bdr w:val="none" w:sz="0" w:space="0"/>
        </w:rPr>
      </w:pPr>
      <w:r>
        <w:t>货主违反规定运输易制毒化学品，有下列情形之一的，公安机关应当没收非法运输的易制毒化学品或者非法运输易制毒化学品的设备、工具；处非法运输易制毒化学品货值十倍以上二十倍以下罚款，货值的二十倍不足一万元的，按一万元罚款；有违法所得的，没收违法所得；构成犯罪的，依法追究刑事责任：</w:t>
      </w:r>
    </w:p>
    <w:p w14:paraId="21112C68">
      <w:pPr>
        <w:pStyle w:val="11"/>
        <w:widowControl/>
        <w:numPr>
          <w:ilvl w:val="0"/>
          <w:numId w:val="14"/>
        </w:numPr>
        <w:topLinePunct w:val="0"/>
        <w:ind w:left="0" w:leftChars="0" w:firstLine="616" w:firstLineChars="0"/>
        <w:rPr>
          <w:b w:val="0"/>
          <w:bdr w:val="none" w:sz="0" w:space="0"/>
        </w:rPr>
      </w:pPr>
      <w:r>
        <w:t>未经许可或者备案擅自运输易制毒化学品的；</w:t>
      </w:r>
    </w:p>
    <w:p w14:paraId="4EEB3BAD">
      <w:pPr>
        <w:pStyle w:val="11"/>
        <w:widowControl/>
        <w:numPr>
          <w:ilvl w:val="0"/>
          <w:numId w:val="14"/>
        </w:numPr>
        <w:topLinePunct w:val="0"/>
        <w:ind w:left="0" w:leftChars="0" w:firstLine="616" w:firstLineChars="0"/>
        <w:rPr>
          <w:b w:val="0"/>
          <w:bdr w:val="none" w:sz="0" w:space="0"/>
        </w:rPr>
      </w:pPr>
      <w:r>
        <w:t>使用他人的或者伪造、变造、失效的许可证运输易制毒化学品的。</w:t>
      </w:r>
    </w:p>
    <w:p w14:paraId="0EF13BF7">
      <w:pPr>
        <w:pStyle w:val="11"/>
        <w:widowControl/>
        <w:numPr>
          <w:ilvl w:val="0"/>
          <w:numId w:val="11"/>
        </w:numPr>
        <w:topLinePunct w:val="0"/>
        <w:ind w:left="0" w:leftChars="0" w:firstLine="616" w:firstLineChars="0"/>
        <w:rPr>
          <w:b/>
          <w:bdr w:val="none" w:sz="0" w:space="0"/>
        </w:rPr>
      </w:pPr>
      <w:r>
        <w:t>承运人违反规定运输易制毒化学品，有下列情形之一的，公安机关应当责令停运整改，处五千元以上五万元以下罚款：</w:t>
      </w:r>
    </w:p>
    <w:p w14:paraId="69F60DD6">
      <w:pPr>
        <w:pStyle w:val="11"/>
        <w:widowControl/>
        <w:numPr>
          <w:ilvl w:val="0"/>
          <w:numId w:val="15"/>
        </w:numPr>
        <w:topLinePunct w:val="0"/>
        <w:ind w:left="0" w:leftChars="0" w:firstLine="616" w:firstLineChars="0"/>
        <w:rPr>
          <w:b w:val="0"/>
          <w:bdr w:val="none" w:sz="0" w:space="0"/>
        </w:rPr>
      </w:pPr>
      <w:r>
        <w:t>与易制毒化学品运输许可证或者备案证明载明的品种、数量、运入地、货主及收货人、承运人等情况不符的；</w:t>
      </w:r>
    </w:p>
    <w:p w14:paraId="3587055F">
      <w:pPr>
        <w:pStyle w:val="11"/>
        <w:widowControl/>
        <w:numPr>
          <w:ilvl w:val="0"/>
          <w:numId w:val="15"/>
        </w:numPr>
        <w:topLinePunct w:val="0"/>
        <w:ind w:left="0" w:leftChars="0" w:firstLine="616" w:firstLineChars="0"/>
        <w:rPr>
          <w:b w:val="0"/>
          <w:bdr w:val="none" w:sz="0" w:space="0"/>
        </w:rPr>
      </w:pPr>
      <w:r>
        <w:t>运输许可证种类不当的；</w:t>
      </w:r>
    </w:p>
    <w:p w14:paraId="518EE28E">
      <w:pPr>
        <w:pStyle w:val="11"/>
        <w:widowControl/>
        <w:numPr>
          <w:ilvl w:val="0"/>
          <w:numId w:val="15"/>
        </w:numPr>
        <w:topLinePunct w:val="0"/>
        <w:ind w:left="0" w:leftChars="0" w:firstLine="616" w:firstLineChars="0"/>
        <w:rPr>
          <w:b w:val="0"/>
          <w:bdr w:val="none" w:sz="0" w:space="0"/>
        </w:rPr>
      </w:pPr>
      <w:r>
        <w:t>运输人员未全程携带运输许可证或者备案证明的。</w:t>
      </w:r>
    </w:p>
    <w:p w14:paraId="531A2184">
      <w:pPr>
        <w:pStyle w:val="11"/>
        <w:widowControl/>
      </w:pPr>
      <w:r>
        <w:t>个人携带易制毒化学品不符合品种、数量规定的，公安机关应当没收易制毒化学品，处一千元以上五千元以下罚款。</w:t>
      </w:r>
    </w:p>
    <w:p w14:paraId="180BBD88">
      <w:pPr>
        <w:pStyle w:val="11"/>
        <w:widowControl/>
        <w:numPr>
          <w:ilvl w:val="0"/>
          <w:numId w:val="11"/>
        </w:numPr>
        <w:topLinePunct w:val="0"/>
        <w:ind w:left="0" w:leftChars="0" w:firstLine="616" w:firstLineChars="0"/>
        <w:rPr>
          <w:b/>
          <w:bdr w:val="none" w:sz="0" w:space="0"/>
        </w:rPr>
      </w:pPr>
      <w:r>
        <w:t>伪造申请材料骗取易制毒化学品购买、运输许可证或者备案证明的，公安机关应当处一万元罚款，并撤销许可证或者备案证明。</w:t>
      </w:r>
    </w:p>
    <w:p w14:paraId="6A063517">
      <w:pPr>
        <w:pStyle w:val="11"/>
        <w:widowControl/>
      </w:pPr>
      <w:r>
        <w:t>使用以伪造的申请材料骗取的易制毒化学品购买、运输许可证或者备案证明购买、运输易制毒化学品的，分别按照第三十条第一项和第三十二条第一项的规定处罚。</w:t>
      </w:r>
    </w:p>
    <w:p w14:paraId="41CBA7E1">
      <w:pPr>
        <w:pStyle w:val="11"/>
        <w:widowControl/>
        <w:numPr>
          <w:ilvl w:val="0"/>
          <w:numId w:val="11"/>
        </w:numPr>
        <w:topLinePunct w:val="0"/>
        <w:ind w:left="0" w:leftChars="0" w:firstLine="616" w:firstLineChars="0"/>
        <w:rPr>
          <w:b/>
          <w:bdr w:val="none" w:sz="0" w:space="0"/>
        </w:rPr>
      </w:pPr>
      <w:r>
        <w:t>对具有第三十条、第三十二条和第三十四条规定违法行为的单位或个人，自作出行政处罚决定之日起三年内，公安机关可以停止受理其易制毒化学品购买或者运输许可申请。</w:t>
      </w:r>
    </w:p>
    <w:p w14:paraId="7DF190D1">
      <w:pPr>
        <w:pStyle w:val="11"/>
        <w:widowControl/>
        <w:numPr>
          <w:ilvl w:val="0"/>
          <w:numId w:val="11"/>
        </w:numPr>
        <w:topLinePunct w:val="0"/>
        <w:ind w:left="0" w:leftChars="0" w:firstLine="616" w:firstLineChars="0"/>
        <w:rPr>
          <w:b/>
          <w:bdr w:val="none" w:sz="0" w:space="0"/>
        </w:rPr>
      </w:pPr>
      <w:r>
        <w:t>违反易制毒化学品管理规定，有下列行为之一的，公安机关应当给予警告，责令限期改正，处一万元以上五万元以下罚款；对违反规定购买的易制毒化学品予以没收；逾期不改正的，责令限期停产停业整顿；逾期整顿不合格的，吊销相应的许可证：</w:t>
      </w:r>
    </w:p>
    <w:p w14:paraId="5F004E5E">
      <w:pPr>
        <w:pStyle w:val="11"/>
        <w:widowControl/>
        <w:numPr>
          <w:ilvl w:val="0"/>
          <w:numId w:val="16"/>
        </w:numPr>
        <w:topLinePunct w:val="0"/>
        <w:ind w:left="0" w:leftChars="0" w:firstLine="616" w:firstLineChars="0"/>
        <w:rPr>
          <w:b w:val="0"/>
          <w:bdr w:val="none" w:sz="0" w:space="0"/>
        </w:rPr>
      </w:pPr>
      <w:r>
        <w:t>将易制毒化学品购买或运输许可证或者备案证明转借他人使用的；</w:t>
      </w:r>
    </w:p>
    <w:p w14:paraId="4D35CA04">
      <w:pPr>
        <w:pStyle w:val="11"/>
        <w:widowControl/>
        <w:numPr>
          <w:ilvl w:val="0"/>
          <w:numId w:val="16"/>
        </w:numPr>
        <w:topLinePunct w:val="0"/>
        <w:ind w:left="0" w:leftChars="0" w:firstLine="616" w:firstLineChars="0"/>
        <w:rPr>
          <w:b w:val="0"/>
          <w:bdr w:val="none" w:sz="0" w:space="0"/>
        </w:rPr>
      </w:pPr>
      <w:r>
        <w:t>超出许可的品种、数量购买易制毒化学品的；</w:t>
      </w:r>
    </w:p>
    <w:p w14:paraId="39B479D1">
      <w:pPr>
        <w:pStyle w:val="11"/>
        <w:widowControl/>
        <w:numPr>
          <w:ilvl w:val="0"/>
          <w:numId w:val="16"/>
        </w:numPr>
        <w:topLinePunct w:val="0"/>
        <w:ind w:left="0" w:leftChars="0" w:firstLine="616" w:firstLineChars="0"/>
        <w:rPr>
          <w:b w:val="0"/>
          <w:bdr w:val="none" w:sz="0" w:space="0"/>
        </w:rPr>
      </w:pPr>
      <w:r>
        <w:t>销售、购买易制毒化学品的单位不记录或者不如实记录交易情况、不按规定保存交易记录或者不如实、不及时向公安机关备案销售情况的；</w:t>
      </w:r>
    </w:p>
    <w:p w14:paraId="68732299">
      <w:pPr>
        <w:pStyle w:val="11"/>
        <w:widowControl/>
        <w:numPr>
          <w:ilvl w:val="0"/>
          <w:numId w:val="16"/>
        </w:numPr>
        <w:topLinePunct w:val="0"/>
        <w:ind w:left="0" w:leftChars="0" w:firstLine="616" w:firstLineChars="0"/>
        <w:rPr>
          <w:b w:val="0"/>
          <w:bdr w:val="none" w:sz="0" w:space="0"/>
        </w:rPr>
      </w:pPr>
      <w:r>
        <w:t>易制毒化学品丢失、被盗、被抢后未及时报告，造成严重后果的；</w:t>
      </w:r>
    </w:p>
    <w:p w14:paraId="2BD0133C">
      <w:pPr>
        <w:pStyle w:val="11"/>
        <w:widowControl/>
        <w:numPr>
          <w:ilvl w:val="0"/>
          <w:numId w:val="16"/>
        </w:numPr>
        <w:topLinePunct w:val="0"/>
        <w:ind w:left="0" w:leftChars="0" w:firstLine="616" w:firstLineChars="0"/>
        <w:rPr>
          <w:b w:val="0"/>
          <w:bdr w:val="none" w:sz="0" w:space="0"/>
        </w:rPr>
      </w:pPr>
      <w:r>
        <w:t>除个人合法购买第一类中的药品类易制毒化学品药品制剂以及第三类易制毒化学品外，使用现金或者实物进行易制毒化学品交易的；</w:t>
      </w:r>
    </w:p>
    <w:p w14:paraId="013FC158">
      <w:pPr>
        <w:pStyle w:val="11"/>
        <w:widowControl/>
        <w:numPr>
          <w:ilvl w:val="0"/>
          <w:numId w:val="16"/>
        </w:numPr>
        <w:topLinePunct w:val="0"/>
        <w:ind w:left="0" w:leftChars="0" w:firstLine="616" w:firstLineChars="0"/>
        <w:rPr>
          <w:b w:val="0"/>
          <w:bdr w:val="none" w:sz="0" w:space="0"/>
        </w:rPr>
      </w:pPr>
      <w:r>
        <w:t>经营易制毒化学品的单位不如实或者不按时报告易制毒化学品年度经销和库存情况的。</w:t>
      </w:r>
    </w:p>
    <w:p w14:paraId="724B0769">
      <w:pPr>
        <w:pStyle w:val="11"/>
        <w:widowControl/>
        <w:numPr>
          <w:ilvl w:val="0"/>
          <w:numId w:val="11"/>
        </w:numPr>
        <w:topLinePunct w:val="0"/>
        <w:ind w:left="0" w:leftChars="0" w:firstLine="616" w:firstLineChars="0"/>
        <w:rPr>
          <w:b/>
          <w:bdr w:val="none" w:sz="0" w:space="0"/>
        </w:rPr>
      </w:pPr>
      <w:r>
        <w:t>经营、购买、运输易制毒化学品的单位或者个人拒不接受公安机关监督检查的，公安机关应当责令其改正，对直接负责的主管人员以及其他直接责任人员给予警告；情节严重的，对单位处一万元以上五万元以下罚款，对直接负责的主管人员以及其他直接责任人员处一千元以上五千元以下罚款；有违反治安管理行为的，依法给予治安管理处罚；构成犯罪的，依法追究刑事责任。</w:t>
      </w:r>
    </w:p>
    <w:p w14:paraId="43D7AD65">
      <w:pPr>
        <w:pStyle w:val="11"/>
        <w:widowControl/>
        <w:numPr>
          <w:ilvl w:val="0"/>
          <w:numId w:val="11"/>
        </w:numPr>
        <w:topLinePunct w:val="0"/>
        <w:ind w:left="0" w:leftChars="0" w:firstLine="616" w:firstLineChars="0"/>
        <w:rPr>
          <w:b/>
          <w:bdr w:val="none" w:sz="0" w:space="0"/>
        </w:rPr>
      </w:pPr>
      <w:r>
        <w:t>公安机关易制毒化学品管理工作人员在管理工作中有应当许可而不许可、不应当许可而滥许可，不依法受理备案，以及其他滥用职权、玩忽职守、徇私舞弊行为的，依法给予行政处分；构成犯罪的，依法追究刑事责任。</w:t>
      </w:r>
    </w:p>
    <w:p w14:paraId="75D20B28">
      <w:pPr>
        <w:pStyle w:val="11"/>
        <w:widowControl/>
        <w:numPr>
          <w:ilvl w:val="0"/>
          <w:numId w:val="11"/>
        </w:numPr>
        <w:topLinePunct w:val="0"/>
        <w:ind w:left="0" w:leftChars="0" w:firstLine="616" w:firstLineChars="0"/>
        <w:rPr>
          <w:b/>
          <w:bdr w:val="none" w:sz="0" w:space="0"/>
        </w:rPr>
      </w:pPr>
      <w:r>
        <w:t>公安机关实施本章处罚，同时应当由其他行政主管机关实施处罚的，应当通报其他行政机关处理。</w:t>
      </w:r>
    </w:p>
    <w:p w14:paraId="2FF371C0">
      <w:pPr>
        <w:pStyle w:val="18"/>
        <w:widowControl/>
        <w:numPr>
          <w:ilvl w:val="0"/>
          <w:numId w:val="1"/>
        </w:numPr>
        <w:ind w:left="0" w:leftChars="0" w:firstLine="0" w:firstLineChars="0"/>
        <w:rPr>
          <w:b w:val="0"/>
          <w:bdr w:val="none" w:sz="0" w:space="0"/>
        </w:rPr>
      </w:pPr>
      <w:r>
        <w:t>附则</w:t>
      </w:r>
    </w:p>
    <w:p w14:paraId="00267B25">
      <w:pPr>
        <w:pStyle w:val="11"/>
        <w:bidi w:val="0"/>
        <w:rPr>
          <w:rFonts w:hint="eastAsia"/>
        </w:rPr>
      </w:pPr>
    </w:p>
    <w:p w14:paraId="6C62D3F7">
      <w:pPr>
        <w:pStyle w:val="11"/>
        <w:widowControl/>
        <w:numPr>
          <w:ilvl w:val="0"/>
          <w:numId w:val="0"/>
        </w:numPr>
        <w:topLinePunct w:val="0"/>
        <w:ind w:left="0" w:leftChars="0" w:firstLine="616" w:firstLineChars="0"/>
        <w:rPr>
          <w:b/>
          <w:bdr w:val="none" w:sz="0" w:space="0"/>
        </w:rPr>
      </w:pPr>
      <w:r>
        <w:rPr>
          <w:rFonts w:hint="eastAsia" w:ascii="仿宋_GB2312" w:hAnsi="仿宋_GB2312" w:eastAsia="仿宋_GB2312" w:cs="Times New Roman"/>
          <w:b/>
          <w:spacing w:val="-6"/>
          <w:sz w:val="32"/>
          <w:bdr w:val="none" w:sz="0" w:space="0"/>
        </w:rPr>
        <w:t>第四十条　</w:t>
      </w:r>
      <w:r>
        <w:t>本办法所称“经营单位”，是指经营易制毒化学品的经销单位和经销自产易制毒化学品的生产单位。</w:t>
      </w:r>
    </w:p>
    <w:p w14:paraId="34A0EF7D">
      <w:pPr>
        <w:pStyle w:val="11"/>
        <w:widowControl/>
        <w:numPr>
          <w:ilvl w:val="0"/>
          <w:numId w:val="0"/>
        </w:numPr>
        <w:topLinePunct w:val="0"/>
        <w:ind w:left="0" w:leftChars="0" w:firstLine="616" w:firstLineChars="0"/>
        <w:rPr>
          <w:b/>
          <w:bdr w:val="none" w:sz="0" w:space="0"/>
        </w:rPr>
      </w:pPr>
      <w:r>
        <w:rPr>
          <w:rFonts w:hint="eastAsia" w:ascii="仿宋_GB2312" w:hAnsi="仿宋_GB2312" w:eastAsia="仿宋_GB2312" w:cs="Times New Roman"/>
          <w:b/>
          <w:spacing w:val="-6"/>
          <w:sz w:val="32"/>
          <w:bdr w:val="none" w:sz="0" w:space="0"/>
        </w:rPr>
        <w:t>第四十一条　</w:t>
      </w:r>
      <w:r>
        <w:t>本办法所称“运输”，是指通过公路、铁路、水上和航空等各种运输途径，使用车、船、航空器等各种运输工具，以及人力、畜力携带、搬运等各种运输方式使易制毒化学品货物发生空间位置的移动。</w:t>
      </w:r>
    </w:p>
    <w:p w14:paraId="4D3C9B4E">
      <w:pPr>
        <w:pStyle w:val="11"/>
        <w:widowControl/>
        <w:numPr>
          <w:ilvl w:val="0"/>
          <w:numId w:val="0"/>
        </w:numPr>
        <w:topLinePunct w:val="0"/>
        <w:ind w:left="0" w:leftChars="0" w:firstLine="616" w:firstLineChars="0"/>
        <w:rPr>
          <w:b/>
          <w:bdr w:val="none" w:sz="0" w:space="0"/>
        </w:rPr>
      </w:pPr>
      <w:r>
        <w:rPr>
          <w:rFonts w:hint="eastAsia" w:ascii="仿宋_GB2312" w:hAnsi="仿宋_GB2312" w:eastAsia="仿宋_GB2312" w:cs="Times New Roman"/>
          <w:b/>
          <w:spacing w:val="-6"/>
          <w:sz w:val="32"/>
          <w:bdr w:val="none" w:sz="0" w:space="0"/>
        </w:rPr>
        <w:t>第四十二条　</w:t>
      </w:r>
      <w:r>
        <w:t>易制毒化学品购买许可证和备案证明、运输许可证和备案证明、易制毒化学品管理专用印章由公安部统一规定式样并监制。</w:t>
      </w:r>
    </w:p>
    <w:p w14:paraId="5688B157">
      <w:pPr>
        <w:pStyle w:val="11"/>
        <w:bidi w:val="0"/>
        <w:rPr>
          <w:rFonts w:hint="eastAsia" w:eastAsia="仿宋_GB2312" w:cs="仿宋_GB2312"/>
          <w:spacing w:val="-6"/>
          <w:sz w:val="28"/>
          <w:szCs w:val="28"/>
          <w:lang w:val="en-US" w:eastAsia="zh-CN"/>
        </w:rPr>
        <w:sectPr>
          <w:pgSz w:w="11906" w:h="16838"/>
          <w:pgMar w:top="1962" w:right="1474" w:bottom="1848" w:left="1587" w:header="851" w:footer="1049" w:gutter="0"/>
          <w:pgNumType w:fmt="decimal"/>
          <w:cols w:space="425" w:num="1"/>
          <w:docGrid w:type="linesAndChars" w:linePitch="592" w:charSpace="15"/>
        </w:sectPr>
      </w:pPr>
      <w:r>
        <w:rPr>
          <w:rFonts w:hint="eastAsia" w:ascii="仿宋_GB2312" w:hAnsi="仿宋_GB2312" w:eastAsia="仿宋_GB2312" w:cs="Times New Roman"/>
          <w:b/>
          <w:spacing w:val="-6"/>
          <w:sz w:val="32"/>
        </w:rPr>
        <w:t>第四十</w:t>
      </w:r>
      <w:r>
        <w:rPr>
          <w:rFonts w:hint="eastAsia" w:cs="Times New Roman"/>
          <w:b/>
          <w:spacing w:val="-6"/>
          <w:sz w:val="32"/>
          <w:lang w:val="en-US" w:eastAsia="zh-CN"/>
        </w:rPr>
        <w:t>三</w:t>
      </w:r>
      <w:r>
        <w:rPr>
          <w:rFonts w:hint="eastAsia" w:ascii="仿宋_GB2312" w:hAnsi="仿宋_GB2312" w:eastAsia="仿宋_GB2312" w:cs="Times New Roman"/>
          <w:b/>
          <w:spacing w:val="-6"/>
          <w:sz w:val="32"/>
        </w:rPr>
        <w:t>条</w:t>
      </w:r>
      <w:r>
        <w:rPr>
          <w:rFonts w:hint="eastAsia" w:cs="Times New Roman"/>
          <w:b/>
          <w:spacing w:val="-6"/>
          <w:sz w:val="32"/>
          <w:lang w:val="en-US" w:eastAsia="zh-CN"/>
        </w:rPr>
        <w:t xml:space="preserve">  </w:t>
      </w:r>
      <w:r>
        <w:t>本办法自2006年10月1日起施行。《麻黄素运输许可证管理规定》（公安部令第52号）同时废止</w:t>
      </w:r>
      <w:r>
        <w:rPr>
          <w:rFonts w:hint="eastAsia"/>
          <w:lang w:eastAsia="zh-CN"/>
        </w:rPr>
        <w:t>。</w:t>
      </w:r>
    </w:p>
    <w:p w14:paraId="2E63EC4A">
      <w:pPr>
        <w:tabs>
          <w:tab w:val="left" w:pos="2112"/>
        </w:tabs>
        <w:bidi w:val="0"/>
        <w:jc w:val="left"/>
        <w:rPr>
          <w:rFonts w:hint="eastAsia" w:eastAsia="仿宋_GB2312"/>
          <w:lang w:eastAsia="zh-CN"/>
        </w:rPr>
      </w:pPr>
    </w:p>
    <w:sectPr>
      <w:pgSz w:w="11906" w:h="16838"/>
      <w:pgMar w:top="1962" w:right="1474" w:bottom="1848" w:left="1587" w:header="851" w:footer="1049" w:gutter="0"/>
      <w:pgNumType w:fmt="decimal"/>
      <w:cols w:space="425" w:num="1"/>
      <w:docGrid w:type="linesAndChars" w:linePitch="592" w:charSpace="1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8"/>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001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panose1 w:val="03000502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23931C"/>
    <w:multiLevelType w:val="singleLevel"/>
    <w:tmpl w:val="8423931C"/>
    <w:lvl w:ilvl="0" w:tentative="0">
      <w:start w:val="30"/>
      <w:numFmt w:val="chineseCounting"/>
      <w:suff w:val="nothing"/>
      <w:lvlText w:val="第%1条　"/>
      <w:lvlJc w:val="left"/>
      <w:pPr>
        <w:ind w:left="0" w:firstLine="616"/>
      </w:pPr>
      <w:rPr>
        <w:rFonts w:hint="eastAsia"/>
      </w:rPr>
    </w:lvl>
  </w:abstractNum>
  <w:abstractNum w:abstractNumId="1">
    <w:nsid w:val="88ACB72C"/>
    <w:multiLevelType w:val="singleLevel"/>
    <w:tmpl w:val="88ACB72C"/>
    <w:lvl w:ilvl="0" w:tentative="0">
      <w:start w:val="1"/>
      <w:numFmt w:val="chineseCounting"/>
      <w:suff w:val="nothing"/>
      <w:lvlText w:val="（%1）"/>
      <w:lvlJc w:val="left"/>
      <w:pPr>
        <w:ind w:left="0" w:firstLine="616"/>
      </w:pPr>
      <w:rPr>
        <w:rFonts w:hint="eastAsia"/>
      </w:rPr>
    </w:lvl>
  </w:abstractNum>
  <w:abstractNum w:abstractNumId="2">
    <w:nsid w:val="8EDAE5A9"/>
    <w:multiLevelType w:val="singleLevel"/>
    <w:tmpl w:val="8EDAE5A9"/>
    <w:lvl w:ilvl="0" w:tentative="0">
      <w:start w:val="1"/>
      <w:numFmt w:val="chineseCounting"/>
      <w:suff w:val="nothing"/>
      <w:lvlText w:val="（%1）"/>
      <w:lvlJc w:val="left"/>
      <w:pPr>
        <w:ind w:left="0" w:firstLine="616"/>
      </w:pPr>
      <w:rPr>
        <w:rFonts w:hint="eastAsia"/>
      </w:rPr>
    </w:lvl>
  </w:abstractNum>
  <w:abstractNum w:abstractNumId="3">
    <w:nsid w:val="90902765"/>
    <w:multiLevelType w:val="singleLevel"/>
    <w:tmpl w:val="90902765"/>
    <w:lvl w:ilvl="0" w:tentative="0">
      <w:start w:val="1"/>
      <w:numFmt w:val="chineseCounting"/>
      <w:suff w:val="nothing"/>
      <w:lvlText w:val="（%1）"/>
      <w:lvlJc w:val="left"/>
      <w:pPr>
        <w:ind w:left="0" w:firstLine="616"/>
      </w:pPr>
      <w:rPr>
        <w:rFonts w:hint="eastAsia"/>
      </w:rPr>
    </w:lvl>
  </w:abstractNum>
  <w:abstractNum w:abstractNumId="4">
    <w:nsid w:val="95BD5EC2"/>
    <w:multiLevelType w:val="singleLevel"/>
    <w:tmpl w:val="95BD5EC2"/>
    <w:lvl w:ilvl="0" w:tentative="0">
      <w:start w:val="1"/>
      <w:numFmt w:val="chineseCounting"/>
      <w:suff w:val="nothing"/>
      <w:lvlText w:val="（%1）"/>
      <w:lvlJc w:val="left"/>
      <w:pPr>
        <w:ind w:left="0" w:firstLine="616"/>
      </w:pPr>
      <w:rPr>
        <w:rFonts w:hint="eastAsia"/>
      </w:rPr>
    </w:lvl>
  </w:abstractNum>
  <w:abstractNum w:abstractNumId="5">
    <w:nsid w:val="9F0B1725"/>
    <w:multiLevelType w:val="singleLevel"/>
    <w:tmpl w:val="9F0B1725"/>
    <w:lvl w:ilvl="0" w:tentative="0">
      <w:start w:val="1"/>
      <w:numFmt w:val="chineseCounting"/>
      <w:suff w:val="nothing"/>
      <w:lvlText w:val="（%1）"/>
      <w:lvlJc w:val="left"/>
      <w:pPr>
        <w:ind w:left="0" w:firstLine="616"/>
      </w:pPr>
      <w:rPr>
        <w:rFonts w:hint="eastAsia"/>
      </w:rPr>
    </w:lvl>
  </w:abstractNum>
  <w:abstractNum w:abstractNumId="6">
    <w:nsid w:val="A330CD5C"/>
    <w:multiLevelType w:val="singleLevel"/>
    <w:tmpl w:val="A330CD5C"/>
    <w:lvl w:ilvl="0" w:tentative="0">
      <w:start w:val="1"/>
      <w:numFmt w:val="chineseCounting"/>
      <w:suff w:val="nothing"/>
      <w:lvlText w:val="（%1）"/>
      <w:lvlJc w:val="left"/>
      <w:pPr>
        <w:ind w:left="0" w:firstLine="616"/>
      </w:pPr>
      <w:rPr>
        <w:rFonts w:hint="eastAsia"/>
      </w:rPr>
    </w:lvl>
  </w:abstractNum>
  <w:abstractNum w:abstractNumId="7">
    <w:nsid w:val="ABC528E7"/>
    <w:multiLevelType w:val="singleLevel"/>
    <w:tmpl w:val="ABC528E7"/>
    <w:lvl w:ilvl="0" w:tentative="0">
      <w:start w:val="15"/>
      <w:numFmt w:val="chineseCounting"/>
      <w:suff w:val="nothing"/>
      <w:lvlText w:val="第%1条　"/>
      <w:lvlJc w:val="left"/>
      <w:pPr>
        <w:ind w:left="0" w:firstLine="616"/>
      </w:pPr>
      <w:rPr>
        <w:rFonts w:hint="eastAsia"/>
      </w:rPr>
    </w:lvl>
  </w:abstractNum>
  <w:abstractNum w:abstractNumId="8">
    <w:nsid w:val="BAC8918D"/>
    <w:multiLevelType w:val="singleLevel"/>
    <w:tmpl w:val="BAC8918D"/>
    <w:lvl w:ilvl="0" w:tentative="0">
      <w:start w:val="1"/>
      <w:numFmt w:val="chineseCounting"/>
      <w:suff w:val="nothing"/>
      <w:lvlText w:val="（%1）"/>
      <w:lvlJc w:val="left"/>
      <w:pPr>
        <w:ind w:left="0" w:firstLine="616"/>
      </w:pPr>
      <w:rPr>
        <w:rFonts w:hint="eastAsia"/>
      </w:rPr>
    </w:lvl>
  </w:abstractNum>
  <w:abstractNum w:abstractNumId="9">
    <w:nsid w:val="CDAE869C"/>
    <w:multiLevelType w:val="singleLevel"/>
    <w:tmpl w:val="CDAE869C"/>
    <w:lvl w:ilvl="0" w:tentative="0">
      <w:start w:val="3"/>
      <w:numFmt w:val="chineseCounting"/>
      <w:suff w:val="nothing"/>
      <w:lvlText w:val="第%1条　"/>
      <w:lvlJc w:val="left"/>
      <w:pPr>
        <w:ind w:left="0" w:firstLine="616"/>
      </w:pPr>
      <w:rPr>
        <w:rFonts w:hint="eastAsia"/>
      </w:rPr>
    </w:lvl>
  </w:abstractNum>
  <w:abstractNum w:abstractNumId="10">
    <w:nsid w:val="E6F77885"/>
    <w:multiLevelType w:val="singleLevel"/>
    <w:tmpl w:val="E6F77885"/>
    <w:lvl w:ilvl="0" w:tentative="0">
      <w:start w:val="1"/>
      <w:numFmt w:val="taiwaneseCounting"/>
      <w:suff w:val="space"/>
      <w:lvlText w:val="第%1章"/>
      <w:lvlJc w:val="left"/>
      <w:pPr>
        <w:ind w:left="0" w:firstLine="0"/>
      </w:pPr>
      <w:rPr>
        <w:rFonts w:hint="eastAsia"/>
      </w:rPr>
    </w:lvl>
  </w:abstractNum>
  <w:abstractNum w:abstractNumId="11">
    <w:nsid w:val="180B39D1"/>
    <w:multiLevelType w:val="singleLevel"/>
    <w:tmpl w:val="180B39D1"/>
    <w:lvl w:ilvl="0" w:tentative="0">
      <w:start w:val="1"/>
      <w:numFmt w:val="chineseCounting"/>
      <w:suff w:val="nothing"/>
      <w:lvlText w:val="（%1）"/>
      <w:lvlJc w:val="left"/>
      <w:pPr>
        <w:ind w:left="0" w:firstLine="616"/>
      </w:pPr>
      <w:rPr>
        <w:rFonts w:hint="eastAsia"/>
      </w:rPr>
    </w:lvl>
  </w:abstractNum>
  <w:abstractNum w:abstractNumId="12">
    <w:nsid w:val="1B416C1E"/>
    <w:multiLevelType w:val="singleLevel"/>
    <w:tmpl w:val="1B416C1E"/>
    <w:lvl w:ilvl="0" w:tentative="0">
      <w:start w:val="1"/>
      <w:numFmt w:val="chineseCounting"/>
      <w:suff w:val="nothing"/>
      <w:lvlText w:val="（%1）"/>
      <w:lvlJc w:val="left"/>
      <w:pPr>
        <w:ind w:left="0" w:firstLine="616"/>
      </w:pPr>
      <w:rPr>
        <w:rFonts w:hint="eastAsia"/>
      </w:rPr>
    </w:lvl>
  </w:abstractNum>
  <w:abstractNum w:abstractNumId="13">
    <w:nsid w:val="1DF53DAC"/>
    <w:multiLevelType w:val="singleLevel"/>
    <w:tmpl w:val="1DF53DAC"/>
    <w:lvl w:ilvl="0" w:tentative="0">
      <w:start w:val="26"/>
      <w:numFmt w:val="chineseCounting"/>
      <w:suff w:val="nothing"/>
      <w:lvlText w:val="第%1条　"/>
      <w:lvlJc w:val="left"/>
      <w:pPr>
        <w:ind w:left="0" w:firstLine="616"/>
      </w:pPr>
      <w:rPr>
        <w:rFonts w:hint="eastAsia"/>
      </w:rPr>
    </w:lvl>
  </w:abstractNum>
  <w:abstractNum w:abstractNumId="14">
    <w:nsid w:val="25AF9DB9"/>
    <w:multiLevelType w:val="singleLevel"/>
    <w:tmpl w:val="25AF9DB9"/>
    <w:lvl w:ilvl="0" w:tentative="0">
      <w:start w:val="1"/>
      <w:numFmt w:val="chineseCounting"/>
      <w:suff w:val="nothing"/>
      <w:lvlText w:val="第%1条　"/>
      <w:lvlJc w:val="left"/>
      <w:pPr>
        <w:ind w:left="0" w:firstLine="616"/>
      </w:pPr>
      <w:rPr>
        <w:rFonts w:hint="eastAsia"/>
      </w:rPr>
    </w:lvl>
  </w:abstractNum>
  <w:abstractNum w:abstractNumId="15">
    <w:nsid w:val="54DCF037"/>
    <w:multiLevelType w:val="singleLevel"/>
    <w:tmpl w:val="54DCF037"/>
    <w:lvl w:ilvl="0" w:tentative="0">
      <w:start w:val="1"/>
      <w:numFmt w:val="chineseCounting"/>
      <w:suff w:val="nothing"/>
      <w:lvlText w:val="（%1）"/>
      <w:lvlJc w:val="left"/>
      <w:pPr>
        <w:ind w:left="0" w:firstLine="616"/>
      </w:pPr>
      <w:rPr>
        <w:rFonts w:hint="eastAsia"/>
      </w:rPr>
    </w:lvl>
  </w:abstractNum>
  <w:num w:numId="1">
    <w:abstractNumId w:val="10"/>
  </w:num>
  <w:num w:numId="2">
    <w:abstractNumId w:val="14"/>
  </w:num>
  <w:num w:numId="3">
    <w:abstractNumId w:val="9"/>
  </w:num>
  <w:num w:numId="4">
    <w:abstractNumId w:val="15"/>
  </w:num>
  <w:num w:numId="5">
    <w:abstractNumId w:val="11"/>
  </w:num>
  <w:num w:numId="6">
    <w:abstractNumId w:val="7"/>
  </w:num>
  <w:num w:numId="7">
    <w:abstractNumId w:val="1"/>
  </w:num>
  <w:num w:numId="8">
    <w:abstractNumId w:val="3"/>
  </w:num>
  <w:num w:numId="9">
    <w:abstractNumId w:val="2"/>
  </w:num>
  <w:num w:numId="10">
    <w:abstractNumId w:val="13"/>
  </w:num>
  <w:num w:numId="11">
    <w:abstractNumId w:val="0"/>
  </w:num>
  <w:num w:numId="12">
    <w:abstractNumId w:val="6"/>
  </w:num>
  <w:num w:numId="13">
    <w:abstractNumId w:val="4"/>
  </w:num>
  <w:num w:numId="14">
    <w:abstractNumId w:val="5"/>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evenAndOddHeaders w:val="1"/>
  <w:drawingGridHorizontalSpacing w:val="158"/>
  <w:drawingGridVerticalSpacing w:val="296"/>
  <w:displayHorizontalDrawingGridEvery w:val="2"/>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AC3B3D"/>
    <w:rsid w:val="399C0A9E"/>
    <w:rsid w:val="43C81360"/>
    <w:rsid w:val="61860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mc:AlternateContent>
    <mc:Choice Requires="wpsCustomData">
      <wpsCustomData:officialmode val="1"/>
    </mc:Choice>
  </mc:AlternateConten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both"/>
    </w:pPr>
    <w:rPr>
      <w:rFonts w:ascii="仿宋_GB2312" w:hAnsi="仿宋_GB2312" w:eastAsia="仿宋_GB2312" w:cs="Times New Roman"/>
      <w:spacing w:val="-6"/>
      <w:kern w:val="2"/>
      <w:sz w:val="32"/>
      <w:szCs w:val="32"/>
      <w:lang w:bidi="ar-SA"/>
    </w:rPr>
  </w:style>
  <w:style w:type="paragraph" w:styleId="2">
    <w:name w:val="heading 1"/>
    <w:next w:val="1"/>
    <w:qFormat/>
    <w:uiPriority w:val="0"/>
    <w:pPr>
      <w:keepNext/>
      <w:keepLines/>
      <w:spacing w:beforeLines="0" w:beforeAutospacing="0" w:afterLines="0" w:afterAutospacing="0" w:line="560" w:lineRule="exact"/>
      <w:ind w:firstLine="894" w:firstLineChars="200"/>
      <w:outlineLvl w:val="0"/>
    </w:pPr>
    <w:rPr>
      <w:rFonts w:ascii="黑体" w:hAnsi="黑体" w:eastAsia="黑体" w:cs="Times New Roman"/>
      <w:kern w:val="44"/>
      <w:sz w:val="32"/>
      <w:szCs w:val="32"/>
    </w:rPr>
  </w:style>
  <w:style w:type="paragraph" w:styleId="3">
    <w:name w:val="heading 2"/>
    <w:next w:val="1"/>
    <w:semiHidden/>
    <w:unhideWhenUsed/>
    <w:qFormat/>
    <w:uiPriority w:val="0"/>
    <w:pPr>
      <w:keepNext/>
      <w:keepLines/>
      <w:spacing w:beforeLines="0" w:beforeAutospacing="0" w:afterLines="0" w:afterAutospacing="0" w:line="560" w:lineRule="exact"/>
      <w:ind w:firstLine="894" w:firstLineChars="200"/>
      <w:outlineLvl w:val="1"/>
    </w:pPr>
    <w:rPr>
      <w:rFonts w:ascii="楷体_GB2312" w:hAnsi="楷体_GB2312" w:eastAsia="楷体_GB2312" w:cs="Times New Roman"/>
      <w:sz w:val="32"/>
      <w:szCs w:val="32"/>
    </w:rPr>
  </w:style>
  <w:style w:type="paragraph" w:styleId="4">
    <w:name w:val="heading 3"/>
    <w:next w:val="1"/>
    <w:semiHidden/>
    <w:unhideWhenUsed/>
    <w:qFormat/>
    <w:uiPriority w:val="0"/>
    <w:pPr>
      <w:keepNext/>
      <w:keepLines/>
      <w:spacing w:beforeLines="0" w:beforeAutospacing="0" w:afterLines="0" w:afterAutospacing="0" w:line="560" w:lineRule="exact"/>
      <w:ind w:firstLine="894" w:firstLineChars="200"/>
      <w:outlineLvl w:val="2"/>
    </w:pPr>
    <w:rPr>
      <w:rFonts w:ascii="仿宋_GB2312" w:hAnsi="仿宋_GB2312" w:eastAsia="仿宋_GB2312" w:cs="Times New Roman"/>
      <w:sz w:val="32"/>
      <w:szCs w:val="32"/>
    </w:rPr>
  </w:style>
  <w:style w:type="paragraph" w:styleId="5">
    <w:name w:val="heading 4"/>
    <w:next w:val="1"/>
    <w:semiHidden/>
    <w:unhideWhenUsed/>
    <w:qFormat/>
    <w:uiPriority w:val="0"/>
    <w:pPr>
      <w:keepNext/>
      <w:keepLines/>
      <w:spacing w:beforeLines="0" w:beforeAutospacing="0" w:afterLines="0" w:afterAutospacing="0" w:line="560" w:lineRule="exact"/>
      <w:ind w:firstLine="894" w:firstLineChars="200"/>
      <w:outlineLvl w:val="3"/>
    </w:pPr>
    <w:rPr>
      <w:rFonts w:ascii="仿宋_GB2312" w:hAnsi="仿宋_GB2312" w:eastAsia="仿宋_GB2312" w:cs="Times New Roman"/>
      <w:sz w:val="32"/>
      <w:szCs w:val="32"/>
    </w:rPr>
  </w:style>
  <w:style w:type="paragraph" w:styleId="6">
    <w:name w:val="heading 5"/>
    <w:next w:val="1"/>
    <w:semiHidden/>
    <w:unhideWhenUsed/>
    <w:qFormat/>
    <w:uiPriority w:val="0"/>
    <w:pPr>
      <w:spacing w:line="560" w:lineRule="exact"/>
      <w:ind w:firstLine="894" w:firstLineChars="200"/>
      <w:outlineLvl w:val="4"/>
    </w:pPr>
    <w:rPr>
      <w:rFonts w:ascii="仿宋_GB2312" w:hAnsi="仿宋_GB2312" w:eastAsia="仿宋_GB2312" w:cs="Times New Roman"/>
      <w:sz w:val="32"/>
      <w:szCs w:val="32"/>
    </w:rPr>
  </w:style>
  <w:style w:type="paragraph" w:styleId="7">
    <w:name w:val="heading 6"/>
    <w:next w:val="1"/>
    <w:semiHidden/>
    <w:unhideWhenUsed/>
    <w:qFormat/>
    <w:uiPriority w:val="0"/>
    <w:pPr>
      <w:spacing w:line="560" w:lineRule="exact"/>
      <w:ind w:firstLine="894" w:firstLineChars="200"/>
      <w:outlineLvl w:val="5"/>
    </w:pPr>
    <w:rPr>
      <w:rFonts w:ascii="仿宋_GB2312" w:hAnsi="仿宋_GB2312" w:eastAsia="仿宋_GB2312" w:cs="Times New Roman"/>
      <w:sz w:val="32"/>
      <w:szCs w:val="32"/>
    </w:rPr>
  </w:style>
  <w:style w:type="paragraph" w:styleId="8">
    <w:name w:val="heading 7"/>
    <w:next w:val="1"/>
    <w:semiHidden/>
    <w:unhideWhenUsed/>
    <w:qFormat/>
    <w:uiPriority w:val="0"/>
    <w:pPr>
      <w:spacing w:line="560" w:lineRule="exact"/>
      <w:ind w:firstLine="894" w:firstLineChars="200"/>
      <w:outlineLvl w:val="6"/>
    </w:pPr>
    <w:rPr>
      <w:rFonts w:ascii="仿宋_GB2312" w:hAnsi="仿宋_GB2312" w:eastAsia="仿宋_GB2312" w:cs="Times New Roman"/>
      <w:sz w:val="32"/>
      <w:szCs w:val="32"/>
    </w:rPr>
  </w:style>
  <w:style w:type="paragraph" w:styleId="9">
    <w:name w:val="heading 8"/>
    <w:next w:val="1"/>
    <w:semiHidden/>
    <w:unhideWhenUsed/>
    <w:qFormat/>
    <w:uiPriority w:val="0"/>
    <w:pPr>
      <w:spacing w:line="560" w:lineRule="exact"/>
      <w:ind w:firstLine="894" w:firstLineChars="200"/>
      <w:outlineLvl w:val="7"/>
    </w:pPr>
    <w:rPr>
      <w:rFonts w:ascii="仿宋_GB2312" w:hAnsi="仿宋_GB2312" w:eastAsia="仿宋_GB2312" w:cs="Times New Roman"/>
      <w:sz w:val="32"/>
      <w:szCs w:val="32"/>
    </w:rPr>
  </w:style>
  <w:style w:type="paragraph" w:styleId="10">
    <w:name w:val="heading 9"/>
    <w:next w:val="1"/>
    <w:semiHidden/>
    <w:unhideWhenUsed/>
    <w:qFormat/>
    <w:uiPriority w:val="0"/>
    <w:pPr>
      <w:spacing w:line="560" w:lineRule="exact"/>
      <w:ind w:firstLine="894" w:firstLineChars="200"/>
      <w:outlineLvl w:val="8"/>
    </w:pPr>
    <w:rPr>
      <w:rFonts w:ascii="仿宋_GB2312" w:hAnsi="仿宋_GB2312" w:eastAsia="仿宋_GB2312" w:cs="Times New Roman"/>
      <w:sz w:val="32"/>
      <w:szCs w:val="32"/>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uiPriority w:val="0"/>
    <w:pPr>
      <w:spacing w:line="560" w:lineRule="exact"/>
      <w:ind w:firstLine="630" w:firstLineChars="200"/>
      <w:jc w:val="both"/>
    </w:pPr>
    <w:rPr>
      <w:rFonts w:ascii="仿宋_GB2312" w:hAnsi="仿宋_GB2312" w:eastAsia="仿宋_GB2312" w:cs="Times New Roman"/>
      <w:spacing w:val="-6"/>
      <w:sz w:val="32"/>
    </w:rPr>
  </w:style>
  <w:style w:type="paragraph" w:styleId="12">
    <w:name w:val="footer"/>
    <w:basedOn w:val="1"/>
    <w:uiPriority w:val="0"/>
    <w:pPr>
      <w:tabs>
        <w:tab w:val="center" w:pos="4153"/>
        <w:tab w:val="right" w:pos="8306"/>
      </w:tabs>
      <w:snapToGrid w:val="0"/>
      <w:jc w:val="left"/>
    </w:pPr>
    <w:rPr>
      <w:sz w:val="18"/>
    </w:rPr>
  </w:style>
  <w:style w:type="paragraph" w:styleId="1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Subtitle"/>
    <w:qFormat/>
    <w:uiPriority w:val="0"/>
    <w:pPr>
      <w:spacing w:beforeLines="0" w:beforeAutospacing="0" w:afterLines="0" w:afterAutospacing="0" w:line="560" w:lineRule="exact"/>
      <w:jc w:val="center"/>
      <w:outlineLvl w:val="1"/>
    </w:pPr>
    <w:rPr>
      <w:rFonts w:ascii="楷体_GB2312" w:hAnsi="楷体_GB2312" w:eastAsia="楷体_GB2312" w:cs="Times New Roman"/>
      <w:kern w:val="28"/>
      <w:sz w:val="32"/>
      <w:szCs w:val="32"/>
    </w:rPr>
  </w:style>
  <w:style w:type="paragraph" w:styleId="15">
    <w:name w:val="Title"/>
    <w:qFormat/>
    <w:uiPriority w:val="0"/>
    <w:pPr>
      <w:spacing w:line="720" w:lineRule="exact"/>
      <w:jc w:val="center"/>
      <w:outlineLvl w:val="0"/>
    </w:pPr>
    <w:rPr>
      <w:rFonts w:ascii="方正小标宋简体" w:hAnsi="方正小标宋简体" w:eastAsia="方正小标宋简体" w:cs="Times New Roman"/>
      <w:sz w:val="44"/>
      <w:szCs w:val="44"/>
    </w:rPr>
  </w:style>
  <w:style w:type="paragraph" w:customStyle="1" w:styleId="18">
    <w:name w:val="章标题"/>
    <w:next w:val="1"/>
    <w:uiPriority w:val="0"/>
    <w:pPr>
      <w:widowControl w:val="0"/>
      <w:spacing w:line="720" w:lineRule="exact"/>
      <w:jc w:val="center"/>
      <w:outlineLvl w:val="0"/>
    </w:pPr>
    <w:rPr>
      <w:rFonts w:ascii="黑体" w:hAnsi="黑体" w:eastAsia="黑体" w:cs="Times New Roman"/>
      <w:bCs/>
      <w:spacing w:val="-6"/>
      <w:kern w:val="44"/>
      <w:sz w:val="32"/>
      <w:szCs w:val="44"/>
      <w:lang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7</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2025-07-30T02:59:59Z</dcterms:created>
  <dc:creator>袁蕾蕾</dc:creator>
  <cp:lastModifiedBy>微信用户</cp:lastModifiedBy>
  <dcterms:modified xsi:type="dcterms:W3CDTF">2025-07-30T03:08:14Z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eyJoZGlkIjoiYTc2ZGZiNzZiNDVlOGViOWVmM2JhOTY0NGJkNjUyYzgiLCJ1c2VySWQiOiIxMjc5Mzg0MjMxIn0=</vt:lpwstr>
  </property>
  <property fmtid="{D5CDD505-2E9C-101B-9397-08002B2CF9AE}" pid="4" name="ICV">
    <vt:lpwstr>59CB799D84C947BE89EDD68234CA4187_12</vt:lpwstr>
  </property>
</Properties>
</file>