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EA344">
      <w:pPr>
        <w:spacing w:before="211" w:beforeLines="50" w:after="423" w:afterLines="100"/>
        <w:ind w:firstLine="0" w:firstLineChars="0"/>
        <w:jc w:val="center"/>
        <w:rPr>
          <w:rFonts w:ascii="宋体" w:hAnsi="宋体" w:eastAsia="宋体"/>
          <w:b/>
          <w:sz w:val="32"/>
          <w:szCs w:val="32"/>
        </w:rPr>
      </w:pPr>
      <w:r>
        <w:fldChar w:fldCharType="begin"/>
      </w:r>
      <w:r>
        <w:instrText xml:space="preserve"> HYPERLINK "https://alphalawyer.cn/ilawregu-search/api/v1/lawregu/redict/178b58073fbca4a088bd99f1f9a44574" </w:instrText>
      </w:r>
      <w:r>
        <w:fldChar w:fldCharType="separate"/>
      </w:r>
      <w:r>
        <w:rPr>
          <w:rFonts w:hint="eastAsia" w:ascii="宋体" w:hAnsi="宋体" w:eastAsia="宋体"/>
          <w:b/>
          <w:sz w:val="32"/>
          <w:szCs w:val="32"/>
        </w:rPr>
        <w:t>应急管理部关于印发《化工园区安全风险排查治理导则》的通知</w:t>
      </w:r>
      <w:r>
        <w:rPr>
          <w:rFonts w:hint="eastAsia" w:ascii="宋体" w:hAnsi="宋体" w:eastAsia="宋体"/>
          <w:b/>
          <w:sz w:val="32"/>
          <w:szCs w:val="32"/>
        </w:rPr>
        <w:fldChar w:fldCharType="end"/>
      </w:r>
    </w:p>
    <w:p w14:paraId="1CE78CBD">
      <w:pPr>
        <w:spacing w:before="105"/>
        <w:ind w:firstLine="420"/>
      </w:pPr>
      <w:r>
        <w:rPr>
          <w:rStyle w:val="44"/>
          <w:rFonts w:ascii="宋体" w:hAnsi="宋体" w:eastAsia="宋体"/>
        </w:rPr>
        <w:t xml:space="preserve">时效性：  </w:t>
      </w:r>
      <w:r>
        <w:rPr>
          <w:rStyle w:val="44"/>
          <w:b w:val="0"/>
        </w:rPr>
        <w:t xml:space="preserve">  </w:t>
      </w:r>
      <w:r>
        <w:rPr>
          <w:rFonts w:ascii="宋体" w:hAnsi="宋体" w:eastAsia="宋体"/>
        </w:rPr>
        <w:t>现行有效</w:t>
      </w:r>
    </w:p>
    <w:p w14:paraId="628E1286">
      <w:pPr>
        <w:spacing w:before="105"/>
        <w:ind w:firstLine="420"/>
      </w:pPr>
      <w:r>
        <w:rPr>
          <w:rStyle w:val="44"/>
          <w:rFonts w:ascii="宋体" w:hAnsi="宋体" w:eastAsia="宋体"/>
        </w:rPr>
        <w:t>发文机关：</w:t>
      </w:r>
      <w:r>
        <w:rPr>
          <w:rStyle w:val="44"/>
          <w:b w:val="0"/>
        </w:rPr>
        <w:t xml:space="preserve">  </w:t>
      </w:r>
      <w:r>
        <w:rPr>
          <w:rFonts w:ascii="宋体" w:hAnsi="宋体" w:eastAsia="宋体"/>
        </w:rPr>
        <w:t>应急管理部</w:t>
      </w:r>
    </w:p>
    <w:p w14:paraId="7045121C">
      <w:pPr>
        <w:spacing w:before="105"/>
        <w:ind w:firstLine="420"/>
      </w:pPr>
      <w:r>
        <w:rPr>
          <w:rStyle w:val="44"/>
          <w:rFonts w:ascii="宋体" w:hAnsi="宋体" w:eastAsia="宋体"/>
        </w:rPr>
        <w:t xml:space="preserve">文号：    </w:t>
      </w:r>
      <w:r>
        <w:rPr>
          <w:rStyle w:val="44"/>
          <w:b w:val="0"/>
        </w:rPr>
        <w:t xml:space="preserve">  </w:t>
      </w:r>
      <w:r>
        <w:rPr>
          <w:rFonts w:ascii="宋体" w:hAnsi="宋体" w:eastAsia="宋体"/>
        </w:rPr>
        <w:t>应急〔2023〕123号</w:t>
      </w:r>
    </w:p>
    <w:p w14:paraId="3B0B02EB">
      <w:pPr>
        <w:spacing w:before="105"/>
        <w:ind w:firstLine="420"/>
      </w:pPr>
      <w:r>
        <w:rPr>
          <w:rStyle w:val="44"/>
          <w:rFonts w:ascii="宋体" w:hAnsi="宋体" w:eastAsia="宋体"/>
        </w:rPr>
        <w:t>发文日期：</w:t>
      </w:r>
      <w:r>
        <w:rPr>
          <w:rStyle w:val="44"/>
          <w:b w:val="0"/>
        </w:rPr>
        <w:t xml:space="preserve">  </w:t>
      </w:r>
      <w:r>
        <w:rPr>
          <w:rFonts w:ascii="宋体" w:hAnsi="宋体" w:eastAsia="宋体"/>
        </w:rPr>
        <w:t>2023年11月14日</w:t>
      </w:r>
    </w:p>
    <w:p w14:paraId="48517EB0">
      <w:pPr>
        <w:spacing w:before="105"/>
        <w:ind w:firstLine="420"/>
      </w:pPr>
      <w:r>
        <w:rPr>
          <w:rStyle w:val="44"/>
          <w:rFonts w:ascii="宋体" w:hAnsi="宋体" w:eastAsia="宋体"/>
        </w:rPr>
        <w:t>施行日期：</w:t>
      </w:r>
      <w:r>
        <w:rPr>
          <w:rStyle w:val="44"/>
          <w:b w:val="0"/>
        </w:rPr>
        <w:t xml:space="preserve">  </w:t>
      </w:r>
      <w:r>
        <w:rPr>
          <w:rFonts w:ascii="宋体" w:hAnsi="宋体" w:eastAsia="宋体"/>
        </w:rPr>
        <w:t>2023年11月14日</w:t>
      </w:r>
    </w:p>
    <w:p w14:paraId="380AF393">
      <w:pPr>
        <w:spacing w:before="105"/>
        <w:ind w:firstLine="420"/>
      </w:pPr>
      <w:r>
        <w:rPr>
          <w:rStyle w:val="44"/>
          <w:rFonts w:ascii="宋体" w:hAnsi="宋体" w:eastAsia="宋体"/>
        </w:rPr>
        <w:t>效力级别：</w:t>
      </w:r>
      <w:r>
        <w:rPr>
          <w:rStyle w:val="44"/>
          <w:b w:val="0"/>
        </w:rPr>
        <w:t xml:space="preserve">  </w:t>
      </w:r>
      <w:r>
        <w:rPr>
          <w:rFonts w:ascii="宋体" w:hAnsi="宋体" w:eastAsia="宋体"/>
        </w:rPr>
        <w:t>部门规范性文件</w:t>
      </w:r>
    </w:p>
    <w:p w14:paraId="17D9BCF4">
      <w:pPr>
        <w:spacing w:before="211" w:beforeLines="50" w:after="211" w:afterLines="50"/>
        <w:rPr>
          <w:rFonts w:ascii="宋体" w:hAnsi="宋体" w:eastAsia="宋体"/>
          <w:color w:val="000000"/>
          <w:kern w:val="0"/>
          <w:sz w:val="28"/>
        </w:rPr>
      </w:pPr>
    </w:p>
    <w:p w14:paraId="08E1E112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各省、自治区、直辖市应急管理厅（局），新疆生产建设兵团应急管理局：</w:t>
      </w:r>
    </w:p>
    <w:p w14:paraId="3C26EB24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    为有效防控化工园区重大安全风险，推动化工园区实现集中布局、集群发展、降低安全风险，应急管理部部务会议审议通过了《化工园区安全风险排查治理导则》，现印发给你们，请结合实际认真贯彻落实。应急管理部2019年印发的《化工园区安全风险排查治理导则（试行）》同时废止。</w:t>
      </w:r>
    </w:p>
    <w:p w14:paraId="3F1FE62F">
      <w:pPr>
        <w:spacing w:before="0" w:beforeLines="0" w:after="0" w:afterLines="0"/>
        <w:ind w:firstLine="420"/>
        <w:jc w:val="right"/>
      </w:pPr>
      <w:r>
        <w:rPr>
          <w:rFonts w:hint="default" w:ascii="宋体" w:hAnsi="宋体" w:eastAsia="宋体"/>
        </w:rPr>
        <w:t>应急管理部</w:t>
      </w:r>
    </w:p>
    <w:p w14:paraId="4E2A4B48">
      <w:pPr>
        <w:spacing w:before="0" w:beforeLines="0" w:after="0" w:afterLines="0"/>
        <w:ind w:firstLine="420"/>
        <w:jc w:val="right"/>
      </w:pPr>
      <w:r>
        <w:rPr>
          <w:rFonts w:hint="default" w:ascii="宋体" w:hAnsi="宋体" w:eastAsia="宋体"/>
        </w:rPr>
        <w:t>2023年11月14日</w:t>
      </w:r>
    </w:p>
    <w:p w14:paraId="129BF016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化工园区安全风险排查治理导则</w:t>
      </w:r>
    </w:p>
    <w:p w14:paraId="478448BA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1 总则</w:t>
      </w:r>
    </w:p>
    <w:p w14:paraId="35951C8E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1.1 目的</w:t>
      </w:r>
    </w:p>
    <w:p w14:paraId="4A47C9F2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为全面排查化工园区安全风险，规范化工园区建设和安全管 理，系统提升化工园区本质安全水平，增强化工园区安全应急保 障能力，推动化工园区集中布局、集群发展、降低安全风险，防 范危险化学品重特大生产安全事故，依据《中华人民共和国安全生产法》《危险化学品安全管理条例》《化工园区建设标准和认定管理办法（试行）》《关于进一步加强化工园区安全管理的指导意见》等有关法律法规和标准规范，制定本导则。</w:t>
      </w:r>
    </w:p>
    <w:p w14:paraId="4B520D33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1.2 适用范围</w:t>
      </w:r>
    </w:p>
    <w:p w14:paraId="5078E949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本导则适用于化工园区的安全风险排查治理。</w:t>
      </w:r>
    </w:p>
    <w:p w14:paraId="2FEADE2F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1.3 基本原则</w:t>
      </w:r>
    </w:p>
    <w:p w14:paraId="6ADF8232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1.3.1 科学规划，合理布局。</w:t>
      </w:r>
    </w:p>
    <w:p w14:paraId="4CDDD67E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统筹发展和安全，坚持产业集聚、布局集中、用地集约原则， 规范化工园区选址，完善化工园区规划体系，明确“ 四至”范 围和周边土地规划安全控制线，严格规划区域功能，优化安全 布局，提升应急保障能力。</w:t>
      </w:r>
    </w:p>
    <w:p w14:paraId="11E9EEBF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1.3.2 严格准入，规范管理。</w:t>
      </w:r>
    </w:p>
    <w:p w14:paraId="61174DC1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强化源头管控，严禁列入淘汰落后危险化学品安全生产工艺 技术装备目录的、不成熟工艺的、不符合安全生产标准规范的危险化学品建设项目进园入区。新建危险化学品生产建设项目采用 国内首次使用化工工艺的，应经过省级人民政府有关部门组织的 安全可靠性论证，严密防控化工产业转移安全风险。加强安全 生产监管力量建设，规范制度和机制建设，强化安全生产与应 急一体化管理。</w:t>
      </w:r>
    </w:p>
    <w:p w14:paraId="2E544CB0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1.3.3 系统排查，重点整治。</w:t>
      </w:r>
    </w:p>
    <w:p w14:paraId="18A931F9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坚持安全第一、预防为主、综合治理，化工园区每年开展 一次安全风险等级自评，省级层面按照每年不低于30%的比例抽 查复核安全风险等级，每三年完成一轮全覆盖省级复核，根据 自评和复核结果，针对性完善并落实“一园一策 ”整治提升方 案，加大安全投入，加强配套功能设施建设，有效防范多米诺 效应，不断提升本质安全水平，持续降低化工园区安全风险。</w:t>
      </w:r>
    </w:p>
    <w:p w14:paraId="12672F26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2 认定</w:t>
      </w:r>
    </w:p>
    <w:p w14:paraId="131DAC64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化工园区应经省级人民政府或其授权机构认定公布，认定 手续齐全、资料完备，并通过相关部门审查。</w:t>
      </w:r>
    </w:p>
    <w:p w14:paraId="1DBC7785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3 选址及规划</w:t>
      </w:r>
    </w:p>
    <w:p w14:paraId="5FEEEF9E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3.1 化工园区应符合国家、区域、省和设区的市产业布局 规划要求，位于地方人民政府规划的专门用于危险化学品生产、 储存的区域，符合所在设区的市国土空间规划，“四至”范围明 确。“四至”范围发生变动的，应及时修订相关规划。</w:t>
      </w:r>
    </w:p>
    <w:p w14:paraId="67A5C7A5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3.2 化工园区应整体规划、集中布局，选址具有良好地质、 地形、水文、气象等自然条件。化工园区内不应有居民居住。</w:t>
      </w:r>
    </w:p>
    <w:p w14:paraId="7CF7DA95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3.3 化工园区应编制化工园区总体规划和产业规划，总体规 划应包含安全生产和综合防灾减灾规划章节或独立编制专项规划。</w:t>
      </w:r>
    </w:p>
    <w:p w14:paraId="2FA759A3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3.4 化工园区应充分考虑选址安全，与城市建成区、人 口 密集区、重要设施等防护目标之间保持足够的安全防护距离， 安全风险控制在可以接受的范围内。</w:t>
      </w:r>
    </w:p>
    <w:p w14:paraId="559C2965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3.5 化工园区应至少每三年开展一次化工园区整体性安全 风险评估，提出消除、降低、管控安全风险的对策措施并有效 实施。化工园区“ 四至”范围发生变化、或重大危险源数量发 生较大变化可能导致化工园区整体安全风险显著提高、或安全 风险评估等级升高要求按照高（A级）或较高（B级）安全风险 等级管理、或发生较大及以上或造成重大社会影响化工生产安 全事故的，应重新开展整体性安全风险评估。</w:t>
      </w:r>
    </w:p>
    <w:p w14:paraId="26AB32CD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3.6 化工园区应依据化工园区整体性安全风险评估结果和 相关法规标准要求，划定化工园区周边土地规划安全控制线， 并报送化工园区所在地和涉及的设区的市级和县级地方人民政 府规划主管部门、应急管理部门。</w:t>
      </w:r>
    </w:p>
    <w:p w14:paraId="130C89BA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3.7 化工园区所在地设区的市级和县级地方人民政府规划 主管部门应严格控制化工园区周边土地开发利用，周边土地规 划安全控制线范围内的开发建设项目应经过安全风险评估，满 足安全风险控制要求。</w:t>
      </w:r>
    </w:p>
    <w:p w14:paraId="6E1298EB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4 园区内布局</w:t>
      </w:r>
    </w:p>
    <w:p w14:paraId="66B6CF2A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4.1 化工园区应综合考虑主导风向、地势高低落差、企业装 置之间的相互影响、产品类别、生产工艺、物料互供、公用设施 保障、应急救援等因素，合理布置功能分区。劳动力密集型的非 化工企业不得与化工企业混建在同一化工园区内。</w:t>
      </w:r>
    </w:p>
    <w:p w14:paraId="0AAB2545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4.2 化工园区行政办公、生活服务区等人员集中场所应与生产功能区相互分离，布置在化工园区边缘或化工园区外；消 防站、应急响应中心、医疗救护站等重要设施的布置应满足应 急救援的快速响应需要，并考虑涉及爆炸物、毒性气体、液态 易燃气体的装置或设施的影响，满足国家标准规范要求，保持 足够的安全距离。</w:t>
      </w:r>
    </w:p>
    <w:p w14:paraId="74606E50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4.3 化工园区应评估化工园区布局的安全性和合理性，对 多米诺效应进行分析，采取安全风险防范措施，降低区域安全 风险，避免多米诺效应。</w:t>
      </w:r>
    </w:p>
    <w:p w14:paraId="6EB048C3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4.4 化工园区内危险化学品建设项目和危险化学品企业安 全评价报告应对项目（企业）与周边企业的相互影响进行多米 诺效应分析，优化平面布局。</w:t>
      </w:r>
    </w:p>
    <w:p w14:paraId="67A837CB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5 准入和退出</w:t>
      </w:r>
    </w:p>
    <w:p w14:paraId="4AC18C49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5.1 化工园区应严格根据化工园区总体规划和产业规划，制 定并落实适应区域特点、地方实际的“禁限控 ”目录和项目安全 准入条件，及时动态更新。</w:t>
      </w:r>
    </w:p>
    <w:p w14:paraId="7AD218B7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5.2 化工园区的项目准入应有利于形成相对完整的“上中 下游 ”产业链和主导产业，实现化工园区内资源的有效配置和 充分利用，安全风险可控。</w:t>
      </w:r>
    </w:p>
    <w:p w14:paraId="03E6674C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5.3 化工园区内危险化学品建设项目应由具备《危险化学品建设项目安全监督管理办法》（国家安全生产监督管理总局令 第45号）、《关于进一步加强危险化学品建设项目安全设计管理的通知》（安监总管三〔2013〕76号）、《危险化学品生产建设项目安全风险防控指南（试行）》(应急〔2022〕52号)资质要求的 设计单位进行设计。</w:t>
      </w:r>
    </w:p>
    <w:p w14:paraId="4E6C0B6B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危险化学品生产企业主要负责人和主管生产、设备、技术、 安全的负责人以及安全生产管理人员、一线岗位从业人员学历 资质应满足有关要求，企业特种作业人员应持证上岗。</w:t>
      </w:r>
    </w:p>
    <w:p w14:paraId="5CD253CB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5.4 化工园区应建立健全并落实建设项目和企业安全准入 与退出机制，化工园区和企业应建立健全承包商安全准入与退出 制度、黑名单制度并有效执行。</w:t>
      </w:r>
    </w:p>
    <w:p w14:paraId="60D3AA3D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5.5 化工园区内企业存在重大事故隐患的，应立即整改或限 期整改，整改后不具备安全生产条件的企业，应依法予以关闭。</w:t>
      </w:r>
    </w:p>
    <w:p w14:paraId="456D5A33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6 配套功能设施</w:t>
      </w:r>
    </w:p>
    <w:p w14:paraId="5032DD80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6.1 化工园区供水水源应充足、可靠，建设统一集中的供水 设施和管网，满足企业和化工园区配套设施生产、生活、消防用 水的需求。化工园区附近有天然水源的，应设置供消防车取水的 消防车道和取水码头。</w:t>
      </w:r>
    </w:p>
    <w:p w14:paraId="5290D30E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6.2 化工园区应保障双电源供电，满足化工园区企业和化工 园区配套设施生产、生活及应急用电需求，电源可靠。</w:t>
      </w:r>
    </w:p>
    <w:p w14:paraId="55E0B5FA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6.3 化工园区应根据需求建设符合《化工园区公共管廊管理规程》（GB/T 36762）要求的公共管廊，建立健全公共管廊和企 业间管道巡检管理、维护保养、安全管理等制度并有效执行。</w:t>
      </w:r>
    </w:p>
    <w:p w14:paraId="7B1EFFD2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6.4 化工园区应运用物联网等先进技术对危险化学品运输 车辆进出园区进行实时监控，实行限时、限速行驶、专用道路或 专用车道等措施，由化工园区实施统一管理、科学调度，防止安 全风险积聚。有危险化学品车辆聚集较大安全风险的化工园区 应建设符合有关要求的危险化学品车辆专用停车场并严格管 理。</w:t>
      </w:r>
    </w:p>
    <w:p w14:paraId="3F28F3C3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6.5 化工园区应按照“分类控制、分级管理、分步实施 ”要 求，结合产业结构、产业链特点、安全风险类型等实际情况，分 区实行封闭化管理，建立完善门禁系统和视频监控系统，利用信 息化平台、视频监控、在线监测预警等技术手段，实现人员、 车辆及物料进出全过程动态监管。对涉及爆炸物、毒性气体、 液态易燃气体、一级重大危险源的核心控制区采用远程探测在 线监测预警。</w:t>
      </w:r>
    </w:p>
    <w:p w14:paraId="0379EFB7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6.6 化工园区应按照有关法律法规和国家标准规范要求，督 促企业对产生的固体废物特别是危险废物及时进行安全处置。</w:t>
      </w:r>
    </w:p>
    <w:p w14:paraId="2FB368A7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6.7 化工园区应按照有关法律法规和国家标准规范要求， 对事故应急状况下产生的废水收集进行需求分析和估算，确保 在化工生产安全事故发生时能够满足事故废水处置要求。</w:t>
      </w:r>
    </w:p>
    <w:p w14:paraId="7DD66787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6.8 化工园区应通过自建、共建或委托服务的方式，建设 满足《化工安全技能实训基地建设指南（试行）》等要求的化 工安全技能实训基地。</w:t>
      </w:r>
    </w:p>
    <w:p w14:paraId="7A5A3FD3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7 安全生产与应急一体化管理</w:t>
      </w:r>
    </w:p>
    <w:p w14:paraId="15209C6E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7.1 负责化工园区管理的地方人民政府应明确承担化工园 区安全生产和应急管理职责的机构。</w:t>
      </w:r>
    </w:p>
    <w:p w14:paraId="6FE84656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7.2 化工园区管理机构应配备具有化工专业背景的负责人， 建立化工园区管理机构领导带班制度，根据化工园区规模、化工 （危险化学品）企业数量、产业特点、整体安全风险状况等因素， 配齐配强专业安全监管人员，明确安全监管人员职责，合理调 配力量，确保专业监管。</w:t>
      </w:r>
    </w:p>
    <w:p w14:paraId="24E08B4B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化工园区专业安全监管人员原则上不少于6人；化工（危险化学品）企业超过20家的，专业安全监管人员原则上不少于10 人；化工（危险化学品）企业超过40家的，专业安全监管人员 原则上不少于15人。</w:t>
      </w:r>
    </w:p>
    <w:p w14:paraId="3BEAE734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专业安全监管人员应具有化工等相关专业本科及以上学 历，或相关行业领域中级及以上专业技术职称、二级（技师） 及以上职业资格，或注册安全工程师、安全评价师等资格，或 在化工企业一线从事生产或安全管理10年及以上。</w:t>
      </w:r>
    </w:p>
    <w:p w14:paraId="30AA1BF3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7.3 化工园区应实施安全生产与应急一体化管理，明确化工 园区负责人、安全生产管理机构及相关部门的安全管理职责，建立健全化工园区各项安全管理制度并严格落实。</w:t>
      </w:r>
    </w:p>
    <w:p w14:paraId="4FCBA4A9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7.4 化工园区应按照有关法律法规和国家标准规范要求， 制定化工园区安全隐患排查治理制度，制定年度安全检查计划， 确定安全检查重点，对化工园区内涉及“ 两重点一重大 ”的企 业进行全覆盖安全检查。</w:t>
      </w:r>
    </w:p>
    <w:p w14:paraId="37CAD36E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7.5 化工园区应建立健全行业监管、协同执法和应急救援的 联动机制，协调解决化工园区内企业之间的安全生产重大问题， 统筹指挥化工园区的应急救援工作，指导企业落实安全生产主体 责任，全面加强安全生产和应急管理工作。</w:t>
      </w:r>
    </w:p>
    <w:p w14:paraId="742ABF1A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7.6 化工园区应按照国家有关要求，制定安全风险分级管控 制度，定期对化工园区内企业进行安全风险分级，加强对红色、 橙色安全风险的分析、评估、预警与管控。督促化工园区内危险 化学品重大危险源企业按要求开展双重预防机制数字化建设与 应用，确保优良运行，提高安全隐患排查治理效能。</w:t>
      </w:r>
    </w:p>
    <w:p w14:paraId="281FE50D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7.7 化工园区应开展化工园区安全生产信息化智能化平台建设，结合化工园区实际，建设符合《化工园区安全风险智能化管控平台建设指南（试行）》（应急厅〔2022〕5 号）要求的化 工园区安全风险智能化管控平台并有效运行。</w:t>
      </w:r>
    </w:p>
    <w:p w14:paraId="6F60BFE9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7.8 化工园区应制定总体应急预案及专项预案，至少每两年 组织一次生产安全事故应急演练。</w:t>
      </w:r>
    </w:p>
    <w:p w14:paraId="6461810E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7.9 化工园区应编制化工园区消防规划或在化工园区总体 规划中设置消防专篇，按照有关法律法规和《关于进一步加强国有大型危化企业专职消防队伍建设的意见》《危化企业消防站建设标准》等要求，结合园区实际，布点及建设消防站，消防 车种类、数量、结构以及车载灭火药剂数量、装备器材、防护 装具等应满足生产安全事故处置需要。化工园区应建设危险化 学品专业应急救援队伍，根据自身安全风险类型，配套建设医 疗急救场所和气防站。</w:t>
      </w:r>
    </w:p>
    <w:p w14:paraId="47A72472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7.10 化工园区应建立健全化工园区内企业及公共应急物资 储备保障制度，统筹规划配备充足的应急物资装备。</w:t>
      </w:r>
    </w:p>
    <w:p w14:paraId="070A1C42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7.11 化工园区应加强对台风、雷电、洪水、泥石流、滑坡 等自然灾害的监测和预警，落实有关灾害的防范措施，防范因自 然灾害引发危险化学品次生灾害。</w:t>
      </w:r>
    </w:p>
    <w:p w14:paraId="7AFF03E3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8 特殊条款</w:t>
      </w:r>
    </w:p>
    <w:p w14:paraId="6C7B4A5D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8.1 按照本导则《化工园区安全风险排查治理检查表》（见 附件）对化工园区进行评分，60分以下（不含60分）为高安全风 险等级（A级），60-70分（不含70分）为较高安全风险等级（B 级），70-85分（不含85分）为一般安全风险等级（C级），85分及 以上为较低安全风险等级（D级）。</w:t>
      </w:r>
    </w:p>
    <w:p w14:paraId="56E356B0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8.2 化工园区存在以下情况，直接判定为高安全风险等级 （A级）：</w:t>
      </w:r>
    </w:p>
    <w:p w14:paraId="3085933E">
      <w:pPr>
        <w:spacing w:before="0" w:beforeLines="0" w:after="0" w:afterLines="0"/>
        <w:ind w:firstLine="422" w:firstLineChars="200"/>
        <w:rPr>
          <w:rFonts w:ascii="宋体" w:hAnsi="宋体" w:eastAsia="宋体"/>
          <w:b w:val="0"/>
          <w:sz w:val="21"/>
          <w:szCs w:val="21"/>
        </w:rPr>
      </w:pPr>
      <w:r>
        <w:rPr>
          <w:rStyle w:val="44"/>
          <w:rFonts w:ascii="宋体" w:hAnsi="宋体" w:eastAsia="宋体"/>
        </w:rPr>
        <w:t>（1）</w:t>
      </w:r>
      <w:r>
        <w:rPr>
          <w:rStyle w:val="44"/>
          <w:rFonts w:ascii="宋体" w:hAnsi="宋体" w:eastAsia="宋体"/>
          <w:b w:val="0"/>
        </w:rPr>
        <w:t>　</w:t>
      </w:r>
      <w:r>
        <w:rPr>
          <w:rFonts w:hint="default" w:ascii="宋体" w:hAnsi="宋体" w:eastAsia="宋体"/>
        </w:rPr>
        <w:t>化工园区规划不符合所在设区的市国土空间规划或未 明确“ 四至”范围；</w:t>
      </w:r>
    </w:p>
    <w:p w14:paraId="7DA440E1">
      <w:pPr>
        <w:spacing w:before="0" w:beforeLines="0" w:after="0" w:afterLines="0"/>
        <w:ind w:firstLine="422" w:firstLineChars="200"/>
        <w:rPr>
          <w:rFonts w:ascii="宋体" w:hAnsi="宋体" w:eastAsia="宋体"/>
          <w:b w:val="0"/>
          <w:sz w:val="21"/>
          <w:szCs w:val="21"/>
        </w:rPr>
      </w:pPr>
      <w:r>
        <w:rPr>
          <w:rStyle w:val="44"/>
          <w:rFonts w:ascii="宋体" w:hAnsi="宋体" w:eastAsia="宋体"/>
        </w:rPr>
        <w:t>（2）</w:t>
      </w:r>
      <w:r>
        <w:rPr>
          <w:rStyle w:val="44"/>
          <w:rFonts w:ascii="宋体" w:hAnsi="宋体" w:eastAsia="宋体"/>
          <w:b w:val="0"/>
        </w:rPr>
        <w:t>　</w:t>
      </w:r>
      <w:r>
        <w:rPr>
          <w:rFonts w:hint="default" w:ascii="宋体" w:hAnsi="宋体" w:eastAsia="宋体"/>
        </w:rPr>
        <w:t>化工园区未明确承担安全生产管理职责的机构或配备 的专业安全监管人员不满足要求；</w:t>
      </w:r>
    </w:p>
    <w:p w14:paraId="6499B9D2">
      <w:pPr>
        <w:spacing w:before="0" w:beforeLines="0" w:after="0" w:afterLines="0"/>
        <w:ind w:firstLine="422" w:firstLineChars="200"/>
        <w:rPr>
          <w:rFonts w:ascii="宋体" w:hAnsi="宋体" w:eastAsia="宋体"/>
          <w:b w:val="0"/>
          <w:sz w:val="21"/>
          <w:szCs w:val="21"/>
        </w:rPr>
      </w:pPr>
      <w:r>
        <w:rPr>
          <w:rStyle w:val="44"/>
          <w:rFonts w:ascii="宋体" w:hAnsi="宋体" w:eastAsia="宋体"/>
        </w:rPr>
        <w:t>（3）</w:t>
      </w:r>
      <w:r>
        <w:rPr>
          <w:rStyle w:val="44"/>
          <w:rFonts w:ascii="宋体" w:hAnsi="宋体" w:eastAsia="宋体"/>
          <w:b w:val="0"/>
        </w:rPr>
        <w:t>　</w:t>
      </w:r>
      <w:r>
        <w:rPr>
          <w:rFonts w:hint="default" w:ascii="宋体" w:hAnsi="宋体" w:eastAsia="宋体"/>
        </w:rPr>
        <w:t>化工园区与高敏感防护目标、重要防护目标和居民区 之间的外部安全防护距离不符合标准要求；</w:t>
      </w:r>
    </w:p>
    <w:p w14:paraId="0EB0A530">
      <w:pPr>
        <w:spacing w:before="0" w:beforeLines="0" w:after="0" w:afterLines="0"/>
        <w:ind w:firstLine="422" w:firstLineChars="200"/>
        <w:rPr>
          <w:rFonts w:ascii="宋体" w:hAnsi="宋体" w:eastAsia="宋体"/>
          <w:b w:val="0"/>
          <w:sz w:val="21"/>
          <w:szCs w:val="21"/>
        </w:rPr>
      </w:pPr>
      <w:r>
        <w:rPr>
          <w:rStyle w:val="44"/>
          <w:rFonts w:ascii="宋体" w:hAnsi="宋体" w:eastAsia="宋体"/>
        </w:rPr>
        <w:t>（4）</w:t>
      </w:r>
      <w:r>
        <w:rPr>
          <w:rStyle w:val="44"/>
          <w:rFonts w:ascii="宋体" w:hAnsi="宋体" w:eastAsia="宋体"/>
          <w:b w:val="0"/>
        </w:rPr>
        <w:t>　</w:t>
      </w:r>
      <w:r>
        <w:rPr>
          <w:rFonts w:hint="default" w:ascii="宋体" w:hAnsi="宋体" w:eastAsia="宋体"/>
        </w:rPr>
        <w:t>化工园区内部布局不合理，企业之间存在重大安全风 险叠加失控；</w:t>
      </w:r>
    </w:p>
    <w:p w14:paraId="3359C863">
      <w:pPr>
        <w:spacing w:before="0" w:beforeLines="0" w:after="0" w:afterLines="0"/>
        <w:ind w:firstLine="422" w:firstLineChars="200"/>
        <w:rPr>
          <w:rFonts w:ascii="宋体" w:hAnsi="宋体" w:eastAsia="宋体"/>
          <w:b w:val="0"/>
          <w:sz w:val="21"/>
          <w:szCs w:val="21"/>
        </w:rPr>
      </w:pPr>
      <w:r>
        <w:rPr>
          <w:rStyle w:val="44"/>
          <w:rFonts w:ascii="宋体" w:hAnsi="宋体" w:eastAsia="宋体"/>
        </w:rPr>
        <w:t>（5）</w:t>
      </w:r>
      <w:r>
        <w:rPr>
          <w:rStyle w:val="44"/>
          <w:rFonts w:ascii="宋体" w:hAnsi="宋体" w:eastAsia="宋体"/>
          <w:b w:val="0"/>
        </w:rPr>
        <w:t>　</w:t>
      </w:r>
      <w:r>
        <w:rPr>
          <w:rFonts w:hint="default" w:ascii="宋体" w:hAnsi="宋体" w:eastAsia="宋体"/>
        </w:rPr>
        <w:t>化工园区内存在在役化工装置未经具有相应资质的单 位设计且未通过安全设计诊断的企业；</w:t>
      </w:r>
    </w:p>
    <w:p w14:paraId="4243E641">
      <w:pPr>
        <w:spacing w:before="0" w:beforeLines="0" w:after="0" w:afterLines="0"/>
        <w:ind w:firstLine="422" w:firstLineChars="200"/>
        <w:rPr>
          <w:rFonts w:ascii="宋体" w:hAnsi="宋体" w:eastAsia="宋体"/>
          <w:b w:val="0"/>
          <w:sz w:val="21"/>
          <w:szCs w:val="21"/>
        </w:rPr>
      </w:pPr>
      <w:r>
        <w:rPr>
          <w:rStyle w:val="44"/>
          <w:rFonts w:ascii="宋体" w:hAnsi="宋体" w:eastAsia="宋体"/>
        </w:rPr>
        <w:t>（6）</w:t>
      </w:r>
      <w:r>
        <w:rPr>
          <w:rStyle w:val="44"/>
          <w:rFonts w:ascii="宋体" w:hAnsi="宋体" w:eastAsia="宋体"/>
          <w:b w:val="0"/>
        </w:rPr>
        <w:t>　</w:t>
      </w:r>
      <w:r>
        <w:rPr>
          <w:rFonts w:hint="default" w:ascii="宋体" w:hAnsi="宋体" w:eastAsia="宋体"/>
        </w:rPr>
        <w:t>化工园区内存在涉及危险化工工艺的特种作业人员学 历资质不满足要求的企业；</w:t>
      </w:r>
    </w:p>
    <w:p w14:paraId="065BB6EB">
      <w:pPr>
        <w:spacing w:before="0" w:beforeLines="0" w:after="0" w:afterLines="0"/>
        <w:ind w:firstLine="422" w:firstLineChars="200"/>
        <w:rPr>
          <w:rFonts w:ascii="宋体" w:hAnsi="宋体" w:eastAsia="宋体"/>
          <w:b w:val="0"/>
          <w:sz w:val="21"/>
          <w:szCs w:val="21"/>
        </w:rPr>
      </w:pPr>
      <w:r>
        <w:rPr>
          <w:rStyle w:val="44"/>
          <w:rFonts w:ascii="宋体" w:hAnsi="宋体" w:eastAsia="宋体"/>
        </w:rPr>
        <w:t>（7）</w:t>
      </w:r>
      <w:r>
        <w:rPr>
          <w:rStyle w:val="44"/>
          <w:rFonts w:ascii="宋体" w:hAnsi="宋体" w:eastAsia="宋体"/>
          <w:b w:val="0"/>
        </w:rPr>
        <w:t>　</w:t>
      </w:r>
      <w:r>
        <w:rPr>
          <w:rFonts w:hint="default" w:ascii="宋体" w:hAnsi="宋体" w:eastAsia="宋体"/>
        </w:rPr>
        <w:t>化工园区不能保障双电源供电，或化工园区内有一级 负荷时，双电源的每一路电源的变压器总容量不能都满足所有 负荷用电需求；</w:t>
      </w:r>
    </w:p>
    <w:p w14:paraId="54704671">
      <w:pPr>
        <w:spacing w:before="0" w:beforeLines="0" w:after="0" w:afterLines="0"/>
        <w:ind w:firstLine="422" w:firstLineChars="200"/>
        <w:rPr>
          <w:rFonts w:ascii="宋体" w:hAnsi="宋体" w:eastAsia="宋体"/>
          <w:b w:val="0"/>
          <w:sz w:val="21"/>
          <w:szCs w:val="21"/>
        </w:rPr>
      </w:pPr>
      <w:r>
        <w:rPr>
          <w:rStyle w:val="44"/>
          <w:rFonts w:ascii="宋体" w:hAnsi="宋体" w:eastAsia="宋体"/>
        </w:rPr>
        <w:t>（8）</w:t>
      </w:r>
      <w:r>
        <w:rPr>
          <w:rStyle w:val="44"/>
          <w:rFonts w:ascii="宋体" w:hAnsi="宋体" w:eastAsia="宋体"/>
          <w:b w:val="0"/>
        </w:rPr>
        <w:t>　</w:t>
      </w:r>
      <w:r>
        <w:rPr>
          <w:rFonts w:hint="default" w:ascii="宋体" w:hAnsi="宋体" w:eastAsia="宋体"/>
        </w:rPr>
        <w:t>化工园区内企业发生较大及以上化工生产安全事故。
</w:t>
      </w:r>
    </w:p>
    <w:p w14:paraId="1501A903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8.3 落实动态调整机制，对高（A 级）或较高（B 级）安全 风险等级的化工园区，限期整改，整改期间停止新、改、扩建 危险化学品生产建设项目（安全、环保、节能和智能化改造项 目除外），整改完成后由省级相关部门完成安全风险等级复核， 仍达不到一般或较低安全风险等级的，报告省级政府并提出处理意见。</w:t>
      </w:r>
    </w:p>
    <w:p w14:paraId="32336291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因发生较大及以上化工生产安全事故被判定为高安全风险 等级（A级）的，应在事故发生至少3个月且事故已结案并向社 会公布后，方可提请安全风险等级省级复核。</w:t>
      </w:r>
    </w:p>
    <w:p w14:paraId="0E354B6E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8.4 本导则自发布之日起实施，有效期5年。</w:t>
      </w:r>
    </w:p>
    <w:p w14:paraId="78821562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附录 定义和术语</w:t>
      </w:r>
    </w:p>
    <w:p w14:paraId="65B17BB5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下列定义和术语适用于本导则。</w:t>
      </w:r>
    </w:p>
    <w:p w14:paraId="7AFA2C1A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1 化工园区</w:t>
      </w:r>
    </w:p>
    <w:p w14:paraId="736B4F80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本导则所称化工园区，是指由人民政府批准设立，经省级 人民政府或其授权机构认定公布， 以发展化工产业为导向、地 理边界和管理主体明确、基础设施和管理体系完整的工业区域。 其他化工园区可参照本导则执行。</w:t>
      </w:r>
    </w:p>
    <w:p w14:paraId="7B458E60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2 防护目标</w:t>
      </w:r>
    </w:p>
    <w:p w14:paraId="709FB33F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受化工园区危险化学品生产安全事故影响，化工园区外可 能发生人员伤亡、财产损失的设施或场所。居民区、高敏感防 护目标和重要防护目标参照《危险化学品生产装置和储存设施风险基准》（GB 36894）进行分类。</w:t>
      </w:r>
    </w:p>
    <w:p w14:paraId="07241E8C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3 多米诺效应分析</w:t>
      </w:r>
    </w:p>
    <w:p w14:paraId="7A5A17EA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为避免化工园区内一个企业的危险源发生生产安全事故引 起其他企业的危险源相继发生生产安全事故，造成企业内安全 风险外溢，事故影响扩大升级，多米诺效应分析应计算分析危 险源火灾、爆炸影响范围，确定多米诺效应影响半径，给出可 能受多米诺效应影响的危险源清单，提出消除、降低、管控安 全风险的措施建议，并在工程设计阶段有效落实。如重大变更 引起多米诺效应发生变化，应重新进行分析并提出消除、降低、 管控安全风险的措施。</w:t>
      </w:r>
    </w:p>
    <w:p w14:paraId="6C985345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4 周边土地规划安全控制线</w:t>
      </w:r>
    </w:p>
    <w:p w14:paraId="3B3524C1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为预防和减缓化工园区危险化学品潜在生产安全事故（爆 炸、 中毒、火灾等）对化工园区外部防护目标的影响，用于限制化工园区周边土地开发利用的控制线。</w:t>
      </w:r>
    </w:p>
    <w:p w14:paraId="51B10A4B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5 “ 四至”范围</w:t>
      </w:r>
    </w:p>
    <w:p w14:paraId="64748802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与所在设区的市国土空间规划相对应的清晰的化工园区开 发边界范围，并通过文字表述、边界拐点坐标和化工园区边界 形状图予以明确。</w:t>
      </w:r>
    </w:p>
    <w:p w14:paraId="4791276B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6 安全防护距离</w:t>
      </w:r>
    </w:p>
    <w:p w14:paraId="0143463A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为预防和减缓危险化学品生产装置和储存设施潜在事故 （爆炸、 中毒、火灾等）对厂外防护目标的影响，在装置与防 护目标之间设置的距离或风险控制线。</w:t>
      </w:r>
    </w:p>
    <w:p w14:paraId="4371E07E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7 双电源</w:t>
      </w:r>
    </w:p>
    <w:p w14:paraId="4225210A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双电源应符合《供配电系统设计规范》（GB 50052）要求， 一个负荷的电源是由两个电路提供的，这两个电路就安全供电 而言被认为是互相独立的。 以下三种情况可视为满足双电源条件：一是从外部不同110kV或220kV的变电站接出两路用电电源； 二是外部只有一个110kV或220kV的变电站，从一个变电站接出 两条不同母线的电源线；三是化工园区内有供电热电联产，其 电源可以作为一路电源，化工园区从外部110kV或220kV变电站 接一路电源。化工园区内有一级负荷时，双电源的每一路电源 的变压器总容量都要满足所有负荷用电需求。</w:t>
      </w:r>
    </w:p>
    <w:p w14:paraId="345FD0BD">
      <w:pPr>
        <w:spacing w:before="0" w:beforeLines="0" w:after="0" w:afterLines="0"/>
        <w:ind w:firstLine="420" w:firstLineChars="200"/>
      </w:pPr>
      <w:r>
        <w:rPr>
          <w:rFonts w:hint="default" w:ascii="宋体" w:hAnsi="宋体" w:eastAsia="宋体"/>
        </w:rPr>
        <w:t>附件：化工园区安全风险排查治理导则附件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0" w:h="16840"/>
      <w:pgMar w:top="1440" w:right="1080" w:bottom="1440" w:left="1080" w:header="850" w:footer="992" w:gutter="0"/>
      <w:pgNumType w:fmt="numberInDash" w:start="1"/>
      <w:cols w:space="425" w:num="1"/>
      <w:docGrid w:type="lines" w:linePitch="423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11B08D">
    <w:pPr>
      <w:spacing w:before="120"/>
      <w:ind w:firstLine="360"/>
      <w:jc w:val="center"/>
      <w:rPr>
        <w:rFonts w:hint="eastAsia" w:ascii="宋体" w:hAnsi="宋体" w:eastAsia="宋体"/>
        <w:sz w:val="18"/>
        <w:szCs w:val="18"/>
      </w:rPr>
    </w:pPr>
    <w:r>
      <w:rPr>
        <w:rFonts w:ascii="宋体" w:hAnsi="宋体" w:eastAsia="宋体"/>
        <w:sz w:val="18"/>
        <w:szCs w:val="18"/>
      </w:rPr>
      <w:fldChar w:fldCharType="begin"/>
    </w:r>
    <w:r>
      <w:rPr>
        <w:rFonts w:ascii="宋体" w:hAnsi="宋体" w:eastAsia="宋体"/>
        <w:sz w:val="18"/>
        <w:szCs w:val="18"/>
      </w:rPr>
      <w:instrText xml:space="preserve"> PAGE \* Arabic \* MERGEFORMAT </w:instrText>
    </w:r>
    <w:r>
      <w:rPr>
        <w:rFonts w:ascii="宋体" w:hAnsi="宋体" w:eastAsia="宋体"/>
        <w:sz w:val="18"/>
        <w:szCs w:val="18"/>
      </w:rPr>
      <w:fldChar w:fldCharType="separate"/>
    </w:r>
    <w:r>
      <w:rPr>
        <w:rFonts w:ascii="宋体" w:hAnsi="宋体" w:eastAsia="宋体"/>
        <w:sz w:val="18"/>
        <w:szCs w:val="18"/>
      </w:rPr>
      <w:t>1</w:t>
    </w:r>
    <w:r>
      <w:rPr>
        <w:rFonts w:ascii="宋体" w:hAnsi="宋体" w:eastAsia="宋体"/>
        <w:sz w:val="18"/>
        <w:szCs w:val="18"/>
      </w:rPr>
      <w:fldChar w:fldCharType="end"/>
    </w:r>
    <w:r>
      <w:rPr>
        <w:rFonts w:ascii="宋体" w:hAnsi="宋体" w:eastAsia="宋体"/>
        <w:sz w:val="18"/>
        <w:szCs w:val="18"/>
      </w:rPr>
      <w:t xml:space="preserve"> </w:t>
    </w:r>
    <w:r>
      <w:rPr>
        <w:rFonts w:hint="eastAsia" w:ascii="宋体" w:hAnsi="宋体" w:eastAsia="宋体"/>
        <w:sz w:val="18"/>
        <w:szCs w:val="18"/>
      </w:rPr>
      <w:t>/</w:t>
    </w:r>
    <w:r>
      <w:rPr>
        <w:rFonts w:ascii="宋体" w:hAnsi="宋体" w:eastAsia="宋体"/>
        <w:sz w:val="18"/>
        <w:szCs w:val="18"/>
      </w:rPr>
      <w:t xml:space="preserve"> </w:t>
    </w:r>
    <w:r>
      <w:rPr>
        <w:rFonts w:ascii="宋体" w:hAnsi="宋体" w:eastAsia="宋体"/>
        <w:sz w:val="18"/>
        <w:szCs w:val="18"/>
      </w:rPr>
      <w:fldChar w:fldCharType="begin"/>
    </w:r>
    <w:r>
      <w:rPr>
        <w:rFonts w:ascii="宋体" w:hAnsi="宋体" w:eastAsia="宋体"/>
        <w:sz w:val="18"/>
        <w:szCs w:val="18"/>
      </w:rPr>
      <w:instrText xml:space="preserve"> NUMPAGES  \* MERGEFORMAT </w:instrText>
    </w:r>
    <w:r>
      <w:rPr>
        <w:rFonts w:ascii="宋体" w:hAnsi="宋体" w:eastAsia="宋体"/>
        <w:sz w:val="18"/>
        <w:szCs w:val="18"/>
      </w:rPr>
      <w:fldChar w:fldCharType="separate"/>
    </w:r>
    <w:r>
      <w:rPr>
        <w:rFonts w:ascii="宋体" w:hAnsi="宋体" w:eastAsia="宋体"/>
        <w:sz w:val="18"/>
        <w:szCs w:val="18"/>
      </w:rPr>
      <w:t>1</w:t>
    </w:r>
    <w:r>
      <w:rPr>
        <w:rFonts w:ascii="宋体" w:hAnsi="宋体" w:eastAsia="宋体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08974F">
    <w:pPr>
      <w:pStyle w:val="12"/>
      <w:spacing w:before="120"/>
      <w:ind w:firstLine="360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 w14:paraId="65A1A4A3">
    <w:pPr>
      <w:pStyle w:val="12"/>
      <w:spacing w:before="120"/>
      <w:ind w:firstLine="360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 w14:paraId="0535F3A2">
    <w:pPr>
      <w:pStyle w:val="12"/>
      <w:spacing w:before="120"/>
      <w:ind w:firstLine="360"/>
    </w:pPr>
  </w:p>
  <w:p w14:paraId="7D151C96">
    <w:pPr>
      <w:spacing w:before="120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AABA87">
    <w:pPr>
      <w:pStyle w:val="12"/>
      <w:spacing w:before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420"/>
      </w:pPr>
      <w:r>
        <w:separator/>
      </w:r>
    </w:p>
  </w:footnote>
  <w:footnote w:type="continuationSeparator" w:id="1">
    <w:p>
      <w:pPr>
        <w:spacing w:before="0" w:after="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CD8F08">
    <w:pPr>
      <w:pStyle w:val="13"/>
      <w:spacing w:before="120"/>
      <w:ind w:firstLine="0" w:firstLineChars="0"/>
    </w:pPr>
    <w:r>
      <w:rPr>
        <w:rFonts w:ascii="宋体" w:hAnsi="宋体" w:eastAsia="宋体"/>
      </w:rPr>
      <w:t>应急管理部关于印发《化工园区安全风险排查治理导则》的通知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F8493E">
    <w:pPr>
      <w:pStyle w:val="13"/>
      <w:spacing w:before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C72149">
    <w:pPr>
      <w:pStyle w:val="13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  <w:rsid w:val="0ADE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/>
      <w:ind w:firstLine="200" w:firstLineChars="200"/>
    </w:pPr>
    <w:rPr>
      <w:rFonts w:ascii="等线" w:hAnsi="等线" w:eastAsia="等线" w:cs="宋体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link w:val="32"/>
    <w:qFormat/>
    <w:uiPriority w:val="9"/>
    <w:pPr>
      <w:spacing w:before="423" w:beforeLines="100" w:after="317" w:afterLines="75" w:line="400" w:lineRule="exact"/>
      <w:ind w:firstLine="0" w:firstLineChars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3">
    <w:name w:val="heading 2"/>
    <w:basedOn w:val="1"/>
    <w:next w:val="1"/>
    <w:link w:val="51"/>
    <w:unhideWhenUsed/>
    <w:qFormat/>
    <w:uiPriority w:val="9"/>
    <w:pPr>
      <w:keepNext/>
      <w:keepLines/>
      <w:spacing w:before="211" w:line="400" w:lineRule="exact"/>
      <w:ind w:firstLine="0" w:firstLineChars="0"/>
      <w:jc w:val="center"/>
      <w:outlineLvl w:val="1"/>
    </w:pPr>
    <w:rPr>
      <w:rFonts w:cstheme="majorBidi"/>
      <w:b/>
      <w:bCs/>
      <w:szCs w:val="32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autoRedefine/>
    <w:unhideWhenUsed/>
    <w:uiPriority w:val="3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7">
    <w:name w:val="annotation text"/>
    <w:basedOn w:val="1"/>
    <w:link w:val="47"/>
    <w:unhideWhenUsed/>
    <w:uiPriority w:val="99"/>
  </w:style>
  <w:style w:type="paragraph" w:styleId="8">
    <w:name w:val="toc 5"/>
    <w:basedOn w:val="1"/>
    <w:next w:val="1"/>
    <w:autoRedefine/>
    <w:unhideWhenUsed/>
    <w:qFormat/>
    <w:uiPriority w:val="3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9">
    <w:name w:val="toc 3"/>
    <w:basedOn w:val="1"/>
    <w:next w:val="1"/>
    <w:autoRedefine/>
    <w:unhideWhenUsed/>
    <w:uiPriority w:val="3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10">
    <w:name w:val="toc 8"/>
    <w:basedOn w:val="1"/>
    <w:next w:val="1"/>
    <w:autoRedefine/>
    <w:unhideWhenUsed/>
    <w:qFormat/>
    <w:uiPriority w:val="3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11">
    <w:name w:val="Balloon Text"/>
    <w:basedOn w:val="1"/>
    <w:link w:val="49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12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2"/>
    <w:next w:val="2"/>
    <w:autoRedefine/>
    <w:unhideWhenUsed/>
    <w:uiPriority w:val="39"/>
    <w:pPr>
      <w:tabs>
        <w:tab w:val="right" w:pos="9730"/>
      </w:tabs>
      <w:spacing w:before="0" w:beforeLines="0" w:after="0" w:afterLines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15">
    <w:name w:val="toc 4"/>
    <w:basedOn w:val="1"/>
    <w:next w:val="1"/>
    <w:autoRedefine/>
    <w:unhideWhenUsed/>
    <w:uiPriority w:val="3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16">
    <w:name w:val="Subtitle"/>
    <w:basedOn w:val="1"/>
    <w:next w:val="1"/>
    <w:link w:val="56"/>
    <w:qFormat/>
    <w:uiPriority w:val="11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paragraph" w:styleId="17">
    <w:name w:val="toc 6"/>
    <w:basedOn w:val="1"/>
    <w:next w:val="1"/>
    <w:autoRedefine/>
    <w:unhideWhenUsed/>
    <w:uiPriority w:val="3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18">
    <w:name w:val="toc 2"/>
    <w:basedOn w:val="1"/>
    <w:next w:val="1"/>
    <w:autoRedefine/>
    <w:unhideWhenUsed/>
    <w:uiPriority w:val="39"/>
    <w:pPr>
      <w:spacing w:before="0" w:beforeLines="0"/>
    </w:pPr>
    <w:rPr>
      <w:rFonts w:asciiTheme="minorHAnsi" w:eastAsiaTheme="minorHAnsi"/>
      <w:smallCaps/>
      <w:szCs w:val="20"/>
    </w:rPr>
  </w:style>
  <w:style w:type="paragraph" w:styleId="19">
    <w:name w:val="toc 9"/>
    <w:basedOn w:val="1"/>
    <w:next w:val="1"/>
    <w:autoRedefine/>
    <w:unhideWhenUsed/>
    <w:uiPriority w:val="3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21">
    <w:name w:val="Title"/>
    <w:basedOn w:val="1"/>
    <w:next w:val="1"/>
    <w:link w:val="55"/>
    <w:qFormat/>
    <w:uiPriority w:val="10"/>
    <w:pPr>
      <w:spacing w:before="240" w:after="60"/>
      <w:jc w:val="center"/>
      <w:outlineLvl w:val="0"/>
    </w:pPr>
    <w:rPr>
      <w:rFonts w:eastAsia="Songti SC" w:asciiTheme="majorHAnsi" w:hAnsiTheme="majorHAnsi" w:cstheme="majorBidi"/>
      <w:b/>
      <w:bCs/>
      <w:sz w:val="32"/>
      <w:szCs w:val="32"/>
    </w:rPr>
  </w:style>
  <w:style w:type="paragraph" w:styleId="22">
    <w:name w:val="annotation subject"/>
    <w:basedOn w:val="7"/>
    <w:next w:val="7"/>
    <w:link w:val="48"/>
    <w:semiHidden/>
    <w:unhideWhenUsed/>
    <w:uiPriority w:val="99"/>
    <w:rPr>
      <w:b/>
      <w:bCs/>
    </w:rPr>
  </w:style>
  <w:style w:type="table" w:styleId="24">
    <w:name w:val="Table Grid"/>
    <w:basedOn w:val="2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page number"/>
    <w:basedOn w:val="25"/>
    <w:semiHidden/>
    <w:unhideWhenUsed/>
    <w:uiPriority w:val="99"/>
  </w:style>
  <w:style w:type="character" w:styleId="27">
    <w:name w:val="FollowedHyperlink"/>
    <w:basedOn w:val="2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Hyperlink"/>
    <w:basedOn w:val="25"/>
    <w:unhideWhenUsed/>
    <w:uiPriority w:val="99"/>
    <w:rPr>
      <w:color w:val="0000FF"/>
      <w:u w:val="none"/>
    </w:rPr>
  </w:style>
  <w:style w:type="character" w:styleId="29">
    <w:name w:val="annotation reference"/>
    <w:basedOn w:val="25"/>
    <w:semiHidden/>
    <w:unhideWhenUsed/>
    <w:uiPriority w:val="99"/>
    <w:rPr>
      <w:sz w:val="21"/>
      <w:szCs w:val="21"/>
    </w:rPr>
  </w:style>
  <w:style w:type="character" w:customStyle="1" w:styleId="30">
    <w:name w:val="页眉 字符"/>
    <w:basedOn w:val="25"/>
    <w:link w:val="13"/>
    <w:uiPriority w:val="99"/>
    <w:rPr>
      <w:sz w:val="18"/>
      <w:szCs w:val="18"/>
    </w:rPr>
  </w:style>
  <w:style w:type="character" w:customStyle="1" w:styleId="31">
    <w:name w:val="页脚 字符"/>
    <w:basedOn w:val="25"/>
    <w:link w:val="12"/>
    <w:uiPriority w:val="99"/>
    <w:rPr>
      <w:sz w:val="18"/>
      <w:szCs w:val="18"/>
    </w:rPr>
  </w:style>
  <w:style w:type="character" w:customStyle="1" w:styleId="32">
    <w:name w:val="标题 1 字符"/>
    <w:basedOn w:val="25"/>
    <w:link w:val="2"/>
    <w:uiPriority w:val="9"/>
    <w:rPr>
      <w:rFonts w:ascii="等线" w:hAnsi="等线" w:eastAsia="宋体" w:cs="宋体"/>
      <w:b/>
      <w:bCs/>
      <w:kern w:val="36"/>
    </w:rPr>
  </w:style>
  <w:style w:type="paragraph" w:customStyle="1" w:styleId="33">
    <w:name w:val="doc-a"/>
    <w:basedOn w:val="1"/>
    <w:uiPriority w:val="0"/>
    <w:pPr>
      <w:spacing w:before="100" w:beforeAutospacing="1" w:after="100" w:afterAutospacing="1"/>
      <w:ind w:firstLine="480"/>
    </w:pPr>
    <w:rPr>
      <w:rFonts w:ascii="微软雅黑" w:hAnsi="微软雅黑" w:eastAsia="微软雅黑"/>
    </w:rPr>
  </w:style>
  <w:style w:type="paragraph" w:customStyle="1" w:styleId="34">
    <w:name w:val="cnsubtitle"/>
    <w:basedOn w:val="1"/>
    <w:semiHidden/>
    <w:uiPriority w:val="99"/>
    <w:pPr>
      <w:spacing w:before="315" w:after="315" w:line="300" w:lineRule="exact"/>
    </w:pPr>
    <w:rPr>
      <w:rFonts w:ascii="微软雅黑" w:hAnsi="微软雅黑" w:eastAsia="微软雅黑"/>
    </w:rPr>
  </w:style>
  <w:style w:type="paragraph" w:customStyle="1" w:styleId="35">
    <w:name w:val="cntitle"/>
    <w:basedOn w:val="1"/>
    <w:semiHidden/>
    <w:uiPriority w:val="99"/>
    <w:pPr>
      <w:spacing w:before="150" w:after="150"/>
      <w:ind w:left="150" w:right="150"/>
      <w:jc w:val="center"/>
    </w:pPr>
    <w:rPr>
      <w:rFonts w:ascii="微软雅黑" w:hAnsi="微软雅黑" w:eastAsia="微软雅黑"/>
      <w:b/>
      <w:bCs/>
      <w:vanish/>
    </w:rPr>
  </w:style>
  <w:style w:type="paragraph" w:customStyle="1" w:styleId="36">
    <w:name w:val="promulgatetitle"/>
    <w:basedOn w:val="1"/>
    <w:semiHidden/>
    <w:uiPriority w:val="99"/>
    <w:pPr>
      <w:spacing w:before="100" w:beforeAutospacing="1" w:after="100" w:afterAutospacing="1"/>
      <w:jc w:val="center"/>
    </w:pPr>
    <w:rPr>
      <w:rFonts w:ascii="微软雅黑" w:hAnsi="微软雅黑" w:eastAsia="微软雅黑"/>
      <w:b/>
      <w:bCs/>
      <w:vanish/>
    </w:rPr>
  </w:style>
  <w:style w:type="paragraph" w:customStyle="1" w:styleId="37">
    <w:name w:val="promulgatesubtitle"/>
    <w:basedOn w:val="1"/>
    <w:semiHidden/>
    <w:uiPriority w:val="99"/>
    <w:pPr>
      <w:spacing w:before="150" w:after="150"/>
      <w:ind w:left="150" w:right="150"/>
      <w:jc w:val="center"/>
    </w:pPr>
    <w:rPr>
      <w:rFonts w:ascii="微软雅黑" w:hAnsi="微软雅黑" w:eastAsia="微软雅黑"/>
      <w:sz w:val="23"/>
      <w:szCs w:val="23"/>
    </w:rPr>
  </w:style>
  <w:style w:type="paragraph" w:customStyle="1" w:styleId="38">
    <w:name w:val="promulgatedate"/>
    <w:basedOn w:val="1"/>
    <w:uiPriority w:val="0"/>
    <w:pPr>
      <w:jc w:val="right"/>
    </w:pPr>
  </w:style>
  <w:style w:type="paragraph" w:customStyle="1" w:styleId="39">
    <w:name w:val="promulgatesignatory"/>
    <w:basedOn w:val="1"/>
    <w:uiPriority w:val="0"/>
    <w:pPr>
      <w:jc w:val="right"/>
    </w:pPr>
  </w:style>
  <w:style w:type="paragraph" w:customStyle="1" w:styleId="40">
    <w:name w:val="标题1"/>
    <w:basedOn w:val="1"/>
    <w:semiHidden/>
    <w:uiPriority w:val="99"/>
    <w:pPr>
      <w:spacing w:before="100" w:beforeAutospacing="1" w:after="100" w:afterAutospacing="1"/>
      <w:ind w:firstLine="480"/>
    </w:pPr>
    <w:rPr>
      <w:rFonts w:ascii="微软雅黑" w:hAnsi="微软雅黑" w:eastAsia="微软雅黑"/>
    </w:rPr>
  </w:style>
  <w:style w:type="paragraph" w:customStyle="1" w:styleId="41">
    <w:name w:val="catalog-a"/>
    <w:basedOn w:val="1"/>
    <w:semiHidden/>
    <w:uiPriority w:val="99"/>
    <w:pPr>
      <w:spacing w:before="100" w:beforeAutospacing="1" w:after="100" w:afterAutospacing="1"/>
    </w:pPr>
  </w:style>
  <w:style w:type="character" w:customStyle="1" w:styleId="42">
    <w:name w:val="chaptertitle"/>
    <w:basedOn w:val="25"/>
    <w:uiPriority w:val="0"/>
    <w:rPr>
      <w:rFonts w:hint="eastAsia" w:ascii="微软雅黑" w:hAnsi="微软雅黑" w:eastAsia="微软雅黑"/>
      <w:b/>
      <w:bCs/>
      <w:sz w:val="21"/>
      <w:szCs w:val="21"/>
    </w:rPr>
  </w:style>
  <w:style w:type="character" w:customStyle="1" w:styleId="43">
    <w:name w:val="metaname1"/>
    <w:basedOn w:val="25"/>
    <w:uiPriority w:val="0"/>
    <w:rPr>
      <w:rFonts w:hint="eastAsia" w:ascii="微软雅黑" w:hAnsi="微软雅黑" w:eastAsia="微软雅黑"/>
      <w:b/>
      <w:bCs/>
      <w:sz w:val="21"/>
      <w:szCs w:val="21"/>
    </w:rPr>
  </w:style>
  <w:style w:type="character" w:customStyle="1" w:styleId="44">
    <w:name w:val="sect2title1"/>
    <w:basedOn w:val="25"/>
    <w:uiPriority w:val="0"/>
    <w:rPr>
      <w:rFonts w:hint="eastAsia" w:ascii="微软雅黑" w:hAnsi="微软雅黑" w:eastAsia="微软雅黑"/>
      <w:b/>
      <w:bCs/>
      <w:sz w:val="21"/>
      <w:szCs w:val="21"/>
    </w:rPr>
  </w:style>
  <w:style w:type="character" w:customStyle="1" w:styleId="45">
    <w:name w:val="title1"/>
    <w:basedOn w:val="25"/>
    <w:uiPriority w:val="0"/>
    <w:rPr>
      <w:rFonts w:hint="eastAsia" w:ascii="微软雅黑" w:hAnsi="微软雅黑" w:eastAsia="微软雅黑"/>
      <w:sz w:val="21"/>
      <w:szCs w:val="21"/>
    </w:rPr>
  </w:style>
  <w:style w:type="character" w:customStyle="1" w:styleId="46">
    <w:name w:val="sect1title1"/>
    <w:basedOn w:val="25"/>
    <w:uiPriority w:val="0"/>
    <w:rPr>
      <w:rFonts w:hint="eastAsia" w:ascii="微软雅黑" w:hAnsi="微软雅黑" w:eastAsia="微软雅黑"/>
      <w:b/>
      <w:bCs/>
      <w:sz w:val="21"/>
      <w:szCs w:val="21"/>
    </w:rPr>
  </w:style>
  <w:style w:type="character" w:customStyle="1" w:styleId="47">
    <w:name w:val="批注文字 字符"/>
    <w:basedOn w:val="25"/>
    <w:link w:val="7"/>
    <w:uiPriority w:val="99"/>
    <w:rPr>
      <w:rFonts w:ascii="宋体" w:hAnsi="宋体" w:eastAsia="宋体" w:cs="宋体"/>
      <w:kern w:val="0"/>
    </w:rPr>
  </w:style>
  <w:style w:type="character" w:customStyle="1" w:styleId="48">
    <w:name w:val="批注主题 字符"/>
    <w:basedOn w:val="47"/>
    <w:link w:val="22"/>
    <w:semiHidden/>
    <w:uiPriority w:val="99"/>
    <w:rPr>
      <w:rFonts w:ascii="宋体" w:hAnsi="宋体" w:eastAsia="宋体" w:cs="宋体"/>
      <w:b/>
      <w:bCs/>
      <w:kern w:val="0"/>
    </w:rPr>
  </w:style>
  <w:style w:type="character" w:customStyle="1" w:styleId="49">
    <w:name w:val="批注框文本 字符"/>
    <w:basedOn w:val="25"/>
    <w:link w:val="11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0">
    <w:name w:val="标题 3 字符"/>
    <w:basedOn w:val="25"/>
    <w:link w:val="4"/>
    <w:uiPriority w:val="9"/>
    <w:rPr>
      <w:rFonts w:ascii="等线" w:hAnsi="等线" w:eastAsia="等线" w:cs="宋体"/>
      <w:b/>
      <w:bCs/>
      <w:kern w:val="0"/>
      <w:szCs w:val="32"/>
    </w:rPr>
  </w:style>
  <w:style w:type="character" w:customStyle="1" w:styleId="51">
    <w:name w:val="标题 2 字符"/>
    <w:basedOn w:val="25"/>
    <w:link w:val="3"/>
    <w:uiPriority w:val="9"/>
    <w:rPr>
      <w:rFonts w:ascii="等线" w:hAnsi="等线" w:eastAsia="等线" w:cstheme="majorBidi"/>
      <w:b/>
      <w:bCs/>
      <w:kern w:val="0"/>
      <w:sz w:val="21"/>
      <w:szCs w:val="32"/>
    </w:rPr>
  </w:style>
  <w:style w:type="paragraph" w:customStyle="1" w:styleId="52">
    <w:name w:val="TOC Heading"/>
    <w:basedOn w:val="2"/>
    <w:next w:val="1"/>
    <w:unhideWhenUsed/>
    <w:qFormat/>
    <w:uiPriority w:val="39"/>
    <w:pPr>
      <w:keepNext/>
      <w:keepLines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Cs w:val="28"/>
    </w:rPr>
  </w:style>
  <w:style w:type="table" w:customStyle="1" w:styleId="53">
    <w:name w:val="Grid Table Light"/>
    <w:basedOn w:val="23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54">
    <w:name w:val="Revision"/>
    <w:hidden/>
    <w:semiHidden/>
    <w:uiPriority w:val="99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customStyle="1" w:styleId="55">
    <w:name w:val="标题 字符"/>
    <w:basedOn w:val="25"/>
    <w:link w:val="21"/>
    <w:uiPriority w:val="10"/>
    <w:rPr>
      <w:rFonts w:eastAsia="Songti SC" w:asciiTheme="majorHAnsi" w:hAnsiTheme="majorHAnsi" w:cstheme="majorBidi"/>
      <w:b/>
      <w:bCs/>
      <w:kern w:val="0"/>
      <w:sz w:val="32"/>
      <w:szCs w:val="32"/>
    </w:rPr>
  </w:style>
  <w:style w:type="character" w:customStyle="1" w:styleId="56">
    <w:name w:val="副标题 字符"/>
    <w:basedOn w:val="25"/>
    <w:link w:val="16"/>
    <w:uiPriority w:val="11"/>
    <w:rPr>
      <w:rFonts w:eastAsia="等线"/>
      <w:bCs/>
      <w:kern w:val="28"/>
      <w:sz w:val="21"/>
      <w:szCs w:val="32"/>
    </w:rPr>
  </w:style>
  <w:style w:type="paragraph" w:styleId="57">
    <w:name w:val="Quote"/>
    <w:basedOn w:val="1"/>
    <w:next w:val="1"/>
    <w:link w:val="58"/>
    <w:qFormat/>
    <w:uiPriority w:val="29"/>
    <w:pPr>
      <w:spacing w:before="25" w:beforeLines="25" w:line="240" w:lineRule="exact"/>
    </w:pPr>
    <w:rPr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8">
    <w:name w:val="引用 字符"/>
    <w:basedOn w:val="25"/>
    <w:link w:val="57"/>
    <w:uiPriority w:val="29"/>
    <w:rPr>
      <w:rFonts w:ascii="等线" w:hAnsi="等线" w:eastAsia="等线" w:cs="宋体"/>
      <w:iCs/>
      <w:color w:val="404040" w:themeColor="text1" w:themeTint="BF"/>
      <w:kern w:val="0"/>
      <w:sz w:val="21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9">
    <w:name w:val="标题 4 字符"/>
    <w:basedOn w:val="25"/>
    <w:link w:val="5"/>
    <w:semiHidden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6029</Words>
  <Characters>6229</Characters>
  <Lines>5</Lines>
  <Paragraphs>1</Paragraphs>
  <TotalTime>501</TotalTime>
  <ScaleCrop>false</ScaleCrop>
  <LinksUpToDate>false</LinksUpToDate>
  <CharactersWithSpaces>6490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2017-10-10T03:02:00Z</dcterms:created>
  <dc:creator>微信用户</dc:creator>
  <cp:lastModifiedBy>微信用户</cp:lastModifiedBy>
  <cp:lastPrinted>2018-09-08T01:56:00Z</cp:lastPrinted>
  <dcterms:modified xsi:type="dcterms:W3CDTF">2025-09-25T09:18:06Z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eyJoZGlkIjoiYTc2ZGZiNzZiNDVlOGViOWVmM2JhOTY0NGJkNjUyYzgiLCJ1c2VySWQiOiIxMjc5Mzg0MjMxIn0=</vt:lpwstr>
  </property>
  <property fmtid="{D5CDD505-2E9C-101B-9397-08002B2CF9AE}" pid="3" name="KSOProductBuildVer">
    <vt:lpwstr>2052-12.1.0.22529</vt:lpwstr>
  </property>
  <property fmtid="{D5CDD505-2E9C-101B-9397-08002B2CF9AE}" pid="4" name="ICV">
    <vt:lpwstr>793696D5DA914B2F995E8FD46D7BB3EE_12</vt:lpwstr>
  </property>
</Properties>
</file>