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Ako Milestones and Delivery Plan</w:t>
      </w:r>
    </w:p>
    <w:p>
      <w:pPr>
        <w:snapToGrid w:val="0"/>
      </w:pPr>
      <w:r>
        <w:t>Status as of 27 October 2026 | Dates and times use Pacific/Auckland</w:t>
      </w:r>
    </w:p>
    <w:p>
      <w:pPr>
        <w:pStyle w:val="Heading1"/>
        <w:snapToGrid w:val="0"/>
      </w:pPr>
      <w:r>
        <w:t>Milestone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48"/>
        <w:gridCol w:w="2088"/>
        <w:gridCol w:w="2880"/>
        <w:gridCol w:w="4248"/>
        <w:gridCol w:w="2232"/>
        <w:gridCol w:w="2016"/>
      </w:tblGrid>
      <w:tr>
        <w:trPr>
          <w:cantSplit/>
          <w:tblHeader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Milestone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Deliverables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Completion criteria and current evidence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Dates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jc w:val="center"/>
              <w:snapToGrid w:val="0"/>
            </w:pPr>
            <w:r>
              <w:rPr>
                <w:sz w:val="21"/>
              </w:rPr>
              <w:t>M1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Requirements and design confirmed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Requirements, acceptance criteria, MVP scope, architecture and collaboration rules.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r>
              <w:t>Requirements, acceptance criteria, MVP scope, architecture and collaboration rules confirmed.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r>
              <w:t>Completed: 19 Oct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r>
              <w:t>Completed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jc w:val="center"/>
              <w:snapToGrid w:val="0"/>
            </w:pPr>
            <w:r>
              <w:rPr>
                <w:sz w:val="21"/>
              </w:rPr>
              <w:t>M2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MVP functionality completed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Login, staff and learner records, attendance, lessons, reviews, sessions and corrections.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r>
              <w:t>All MVP functionality and related subtasks completed.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r>
              <w:t>Completed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r>
              <w:t>Completed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jc w:val="center"/>
              <w:snapToGrid w:val="0"/>
            </w:pPr>
            <w:r>
              <w:rPr>
                <w:sz w:val="21"/>
              </w:rPr>
              <w:t>M3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Release candidate completed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Integrated features, defect fixes, reviews and Story Owner walkthroughs.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r>
              <w:t>All 17 user stories, integrated features and defect fixes completed.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r>
              <w:t>Completed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r>
              <w:t>Completed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jc w:val="center"/>
              <w:snapToGrid w:val="0"/>
            </w:pPr>
            <w:r>
              <w:rPr>
                <w:sz w:val="21"/>
              </w:rPr>
              <w:t>M4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Final acceptance and delivery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Final code, setup instructions, test report, demonstration and delivery checklist.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r>
              <w:t>Final acceptance and delivery completed, including setup instructions, test report and delivery checklist.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r>
              <w:t>Completed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r>
              <w:t>Completed</w:t>
            </w:r>
          </w:p>
        </w:tc>
      </w:tr>
    </w:tbl>
    <w:p>
      <w:pPr>
        <w:spacing w:line="40" w:lineRule="exact"/>
        <w:snapToGrid w:val="0"/>
      </w:pPr>
    </w:p>
    <w:p>
      <w:pPr>
        <w:snapToGrid w:val="0"/>
      </w:pPr>
      <w:r>
        <w:t>Completion status has been updated as requested by the project owner. Historical dates are retained where recorded; no additional completion dates have been inferred.</w:t>
      </w:r>
    </w:p>
    <w:p>
      <w:pPr>
        <w:snapToGrid w:val="0"/>
      </w:pPr>
      <w:r>
        <w:t>All milestones and final acceptance and delivery items are marked Completed. The MVP scope comprises US-001, 002, 003, 004, 005, 006, 008, 014 and 015.</w:t>
      </w:r>
    </w:p>
    <w:p>
      <w:pPr>
        <w:snapToGrid w:val="0"/>
      </w:pPr>
      <w:r>
        <w:t>Source: Ako_Project_History_Oct 27 0943(1).xlsx and GitHub issue records, with completion statuses updated at the project owner’s request.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Closed GitHub Defects</w:t>
      </w:r>
    </w:p>
    <w:p>
      <w:pPr>
        <w:snapToGrid w:val="0"/>
      </w:pPr>
      <w:r>
        <w:t>Both defects are assigned to M3 for tracking. The evidence below is recorded in the issues and their comments.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36"/>
        <w:gridCol w:w="3240"/>
        <w:gridCol w:w="1368"/>
        <w:gridCol w:w="1368"/>
        <w:gridCol w:w="5616"/>
        <w:gridCol w:w="1584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Issue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Defect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Assignee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Closed on</w:t>
            </w:r>
          </w:p>
        </w:tc>
        <w:tc>
          <w:tcPr>
            <w:tcW w:type="dxa" w:w="56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Resolution evidence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jc w:val="center"/>
              <w:snapToGrid w:val="0"/>
            </w:pPr>
            <w:hyperlink r:id="rId10">
              <w:r>
                <w:rPr>
                  <w:color w:val="1F4E79"/>
                  <w:u w:val="single"/>
                  <w:sz w:val="21"/>
                </w:rPr>
                <w:t>GH #34</w:t>
              </w:r>
            </w:hyperlink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Staff pages return 503 because of link prefetching and a shared Nginx rate limit.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willtbing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26 Oct</w:t>
              <w:br/>
              <w:t>15:10</w:t>
            </w:r>
          </w:p>
        </w:tc>
        <w:tc>
          <w:tcPr>
            <w:tcW w:type="dxa" w:w="56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089210b addresses prefetching; 021d03a switches server calls to internal services. The comment records concurrency and rate-limit checks.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Closed</w:t>
              <w:br/>
              <w:t>Completed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jc w:val="center"/>
              <w:snapToGrid w:val="0"/>
            </w:pPr>
            <w:hyperlink r:id="rId11">
              <w:r>
                <w:rPr>
                  <w:color w:val="1F4E79"/>
                  <w:u w:val="single"/>
                  <w:sz w:val="21"/>
                </w:rPr>
                <w:t>GH #38</w:t>
              </w:r>
            </w:hyperlink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Class information, enquiries and staff login appear together on the login page.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Unassigned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26 Oct</w:t>
              <w:br/>
              <w:t>22:03</w:t>
            </w:r>
          </w:p>
        </w:tc>
        <w:tc>
          <w:tcPr>
            <w:tcW w:type="dxa" w:w="56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The resolution comment links to 09bec96, separating the three public pages. Reported by Enfrai.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Closed</w:t>
              <w:br/>
              <w:t>Completed</w:t>
            </w:r>
          </w:p>
        </w:tc>
      </w:tr>
    </w:tbl>
    <w:p>
      <w:pPr>
        <w:spacing w:line="40" w:lineRule="exact"/>
        <w:snapToGrid w:val="0"/>
      </w:pPr>
    </w:p>
    <w:p>
      <w:pPr>
        <w:snapToGrid w:val="0"/>
      </w:pPr>
      <w:r>
        <w:t>Issue #34’s later comment confirms that its original “Still open” concern was also fixed. These are closure records; no new retest is claimed here.</w:t>
      </w:r>
    </w:p>
    <w:p>
      <w:pPr>
        <w:pStyle w:val="Heading1"/>
        <w:snapToGrid w:val="0"/>
      </w:pPr>
      <w:r>
        <w:t>Final Acceptance and Delivery Plan</w:t>
      </w:r>
    </w:p>
    <w:p>
      <w:pPr>
        <w:snapToGrid w:val="0"/>
      </w:pPr>
      <w:r>
        <w:t>All M4 acceptance and delivery items below are marked Completed.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80"/>
        <w:gridCol w:w="2304"/>
        <w:gridCol w:w="5256"/>
        <w:gridCol w:w="3816"/>
        <w:gridCol w:w="1656"/>
      </w:tblGrid>
      <w:tr>
        <w:trPr>
          <w:cantSplit/>
          <w:tblHeader/>
        </w:trPr>
        <w:tc>
          <w:tcPr>
            <w:tcW w:type="dxa" w:w="1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Plan ID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Acceptance item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Completion criteria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Evidence to retain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F4E79"/>
          </w:tcPr>
          <w:p>
            <w:pPr>
              <w:keepNext/>
              <w:spacing w:after="0" w:before="0" w:line="270" w:lineRule="exact"/>
              <w:jc w:val="center"/>
              <w:snapToGrid w:val="0"/>
            </w:pPr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jc w:val="center"/>
              <w:snapToGrid w:val="0"/>
            </w:pPr>
            <w:r>
              <w:rPr>
                <w:sz w:val="21"/>
              </w:rPr>
              <w:t>REL-01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Confirm release scope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r>
              <w:t>Release scope, US-017 and remaining work confirmed and completed.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Scope and deferral record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r>
              <w:t>Completed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jc w:val="center"/>
              <w:snapToGrid w:val="0"/>
            </w:pPr>
            <w:r>
              <w:rPr>
                <w:sz w:val="21"/>
              </w:rPr>
              <w:t>REL-02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Install independently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Start the system from the README; verify Docker builds and service health.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Environment, commands and logs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r>
              <w:t>Completed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jc w:val="center"/>
              <w:snapToGrid w:val="0"/>
            </w:pPr>
            <w:r>
              <w:rPr>
                <w:sz w:val="21"/>
              </w:rPr>
              <w:t>REL-03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Run regression tests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Verify roles, attendance, lessons, materials and key failure recovery flows.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Test report and retest results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r>
              <w:t>Completed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jc w:val="center"/>
              <w:snapToGrid w:val="0"/>
            </w:pPr>
            <w:r>
              <w:rPr>
                <w:sz w:val="21"/>
              </w:rPr>
              <w:t>REL-04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Check phones and public pages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Test a reachable QR URL, sign-in, materials and the three separate public pages.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Devices, URLs and walkthrough results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r>
              <w:t>Completed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jc w:val="center"/>
              <w:snapToGrid w:val="0"/>
            </w:pPr>
            <w:r>
              <w:rPr>
                <w:sz w:val="21"/>
              </w:rPr>
              <w:t>REL-05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Complete Owner acceptance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Confirm Story Owner walkthroughs, instructions and known limitations.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Sign-off and document versions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r>
              <w:t>Completed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jc w:val="center"/>
              <w:snapToGrid w:val="0"/>
            </w:pPr>
            <w:r>
              <w:rPr>
                <w:sz w:val="21"/>
              </w:rPr>
              <w:t>REL-06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Deliver the final version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Match final code, version identifier, delivery package and demonstration.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pPr>
              <w:spacing w:after="0" w:before="0" w:line="270" w:lineRule="exact"/>
              <w:snapToGrid w:val="0"/>
            </w:pPr>
            <w:r>
              <w:rPr>
                <w:sz w:val="21"/>
              </w:rPr>
              <w:t>Commit or tag and delivery confirmation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1F5F9"/>
          </w:tcPr>
          <w:p>
            <w:r>
              <w:t>Completed</w:t>
            </w:r>
          </w:p>
        </w:tc>
      </w:tr>
    </w:tbl>
    <w:p>
      <w:pPr>
        <w:spacing w:line="40" w:lineRule="exact"/>
        <w:snapToGrid w:val="0"/>
      </w:pPr>
    </w:p>
    <w:sectPr w:rsidR="00FC693F" w:rsidRPr="0006063C" w:rsidSect="00034616">
      <w:footerReference w:type="default" r:id="rId9"/>
      <w:pgSz w:w="15840" w:h="12240" w:orient="landscape"/>
      <w:pgMar w:top="720" w:right="864" w:bottom="720" w:left="864" w:header="720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Ako | 27 Oct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00"/>
    </w:pPr>
    <w:rPr>
      <w:rFonts w:ascii="Calibri" w:hAnsi="Calibri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80" w:lineRule="exact"/>
    </w:pPr>
    <w:rPr>
      <w:rFonts w:ascii="Calibri" w:hAnsi="Calibri"/>
      <w:color w:val="000000"/>
      <w:sz w:val="22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80" w:lineRule="exact"/>
    </w:pPr>
    <w:rPr>
      <w:rFonts w:ascii="Calibri" w:hAnsi="Calibri"/>
      <w:color w:val="000000"/>
      <w:sz w:val="22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400" w:lineRule="exact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0" w:lineRule="exact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0" w:lineRule="exact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80" w:lineRule="exact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2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80" w:lineRule="exact"/>
      <w:outlineLvl w:val="4"/>
    </w:pPr>
    <w:rPr>
      <w:rFonts w:asciiTheme="majorHAnsi" w:eastAsiaTheme="majorEastAsia" w:hAnsiTheme="majorHAnsi" w:cstheme="majorBidi" w:ascii="Calibri" w:hAnsi="Calibri"/>
      <w:color w:val="000000"/>
      <w:sz w:val="22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80" w:lineRule="exact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2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80" w:lineRule="exact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2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80" w:lineRule="exact"/>
      <w:outlineLvl w:val="7"/>
    </w:pPr>
    <w:rPr>
      <w:rFonts w:asciiTheme="majorHAnsi" w:eastAsiaTheme="majorEastAsia" w:hAnsiTheme="majorHAnsi" w:cstheme="majorBidi" w:ascii="Calibri" w:hAnsi="Calibri"/>
      <w:color w:val="000000"/>
      <w:sz w:val="22"/>
      <w:szCs w:val="20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80" w:lineRule="exact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2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80" w:lineRule="exact"/>
    </w:pPr>
    <w:rPr>
      <w:rFonts w:ascii="Calibri" w:hAnsi="Calibri"/>
      <w:color w:val="000000"/>
      <w:sz w:val="22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80" w:lineRule="exact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0" w:lineRule="exact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80" w:lineRule="exact" w:after="100"/>
      <w:ind w:left="720"/>
      <w:contextualSpacing/>
    </w:pPr>
    <w:rPr>
      <w:rFonts w:ascii="Calibri" w:hAnsi="Calibri"/>
      <w:color w:val="000000"/>
      <w:sz w:val="22"/>
      <w:u w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80" w:lineRule="exact"/>
    </w:pPr>
    <w:rPr>
      <w:rFonts w:ascii="Calibri" w:hAnsi="Calibri"/>
      <w:color w:val="000000"/>
      <w:sz w:val="22"/>
      <w:u w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80" w:lineRule="exact"/>
    </w:pPr>
    <w:rPr>
      <w:rFonts w:ascii="Calibri" w:hAnsi="Calibri"/>
      <w:color w:val="000000"/>
      <w:sz w:val="22"/>
      <w:u w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80" w:lineRule="exact"/>
    </w:pPr>
    <w:rPr>
      <w:rFonts w:ascii="Calibri" w:hAnsi="Calibri"/>
      <w:color w:val="000000"/>
      <w:sz w:val="22"/>
      <w:szCs w:val="16"/>
      <w:u w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80" w:lineRule="exact" w:after="100"/>
      <w:ind w:left="360" w:hanging="360"/>
      <w:contextualSpacing/>
    </w:pPr>
    <w:rPr>
      <w:rFonts w:ascii="Calibri" w:hAnsi="Calibri"/>
      <w:color w:val="000000"/>
      <w:sz w:val="22"/>
      <w:u w:val="none"/>
    </w:rPr>
  </w:style>
  <w:style w:type="paragraph" w:styleId="List2">
    <w:name w:val="List 2"/>
    <w:basedOn w:val="Normal"/>
    <w:uiPriority w:val="99"/>
    <w:unhideWhenUsed/>
    <w:rsid w:val="00326F90"/>
    <w:pPr>
      <w:spacing w:line="280" w:lineRule="exact" w:after="100"/>
      <w:ind w:left="720" w:hanging="360"/>
      <w:contextualSpacing/>
    </w:pPr>
    <w:rPr>
      <w:rFonts w:ascii="Calibri" w:hAnsi="Calibri"/>
      <w:color w:val="000000"/>
      <w:sz w:val="22"/>
      <w:u w:val="none"/>
    </w:rPr>
  </w:style>
  <w:style w:type="paragraph" w:styleId="List3">
    <w:name w:val="List 3"/>
    <w:basedOn w:val="Normal"/>
    <w:uiPriority w:val="99"/>
    <w:unhideWhenUsed/>
    <w:rsid w:val="00326F90"/>
    <w:pPr>
      <w:spacing w:line="280" w:lineRule="exact" w:after="100"/>
      <w:ind w:left="1080" w:hanging="360"/>
      <w:contextualSpacing/>
    </w:pPr>
    <w:rPr>
      <w:rFonts w:ascii="Calibri" w:hAnsi="Calibri"/>
      <w:color w:val="000000"/>
      <w:sz w:val="22"/>
      <w:u w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0" w:lineRule="exact" w:after="100"/>
      <w:contextualSpacing/>
    </w:pPr>
    <w:rPr>
      <w:rFonts w:ascii="Calibri" w:hAnsi="Calibri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80" w:lineRule="exact" w:after="100"/>
      <w:contextualSpacing/>
    </w:pPr>
    <w:rPr>
      <w:rFonts w:ascii="Calibri" w:hAnsi="Calibri"/>
      <w:color w:val="000000"/>
      <w:sz w:val="22"/>
      <w:u w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80" w:lineRule="exact" w:after="100"/>
      <w:contextualSpacing/>
    </w:pPr>
    <w:rPr>
      <w:rFonts w:ascii="Calibri" w:hAnsi="Calibri"/>
      <w:color w:val="000000"/>
      <w:sz w:val="22"/>
      <w:u w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0" w:lineRule="exact" w:after="100"/>
      <w:contextualSpacing/>
    </w:pPr>
    <w:rPr>
      <w:rFonts w:ascii="Calibri" w:hAnsi="Calibri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80" w:lineRule="exact" w:after="100"/>
      <w:contextualSpacing/>
    </w:pPr>
    <w:rPr>
      <w:rFonts w:ascii="Calibri" w:hAnsi="Calibri"/>
      <w:color w:val="000000"/>
      <w:sz w:val="22"/>
      <w:u w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80" w:lineRule="exact" w:after="100"/>
      <w:contextualSpacing/>
    </w:pPr>
    <w:rPr>
      <w:rFonts w:ascii="Calibri" w:hAnsi="Calibri"/>
      <w:color w:val="000000"/>
      <w:sz w:val="22"/>
      <w:u w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80" w:lineRule="exact"/>
      <w:ind w:left="360"/>
      <w:contextualSpacing/>
    </w:pPr>
    <w:rPr>
      <w:rFonts w:ascii="Calibri" w:hAnsi="Calibri"/>
      <w:color w:val="000000"/>
      <w:sz w:val="22"/>
      <w:u w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80" w:lineRule="exact"/>
      <w:ind w:left="720"/>
      <w:contextualSpacing/>
    </w:pPr>
    <w:rPr>
      <w:rFonts w:ascii="Calibri" w:hAnsi="Calibri"/>
      <w:color w:val="000000"/>
      <w:sz w:val="22"/>
      <w:u w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80" w:lineRule="exact"/>
      <w:ind w:left="1080"/>
      <w:contextualSpacing/>
    </w:pPr>
    <w:rPr>
      <w:rFonts w:ascii="Calibri" w:hAnsi="Calibri"/>
      <w:color w:val="000000"/>
      <w:sz w:val="22"/>
      <w:u w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80" w:lineRule="exact" w:after="100"/>
    </w:pPr>
    <w:rPr>
      <w:rFonts w:ascii="Calibri" w:hAnsi="Calibri"/>
      <w:color w:val="000000"/>
      <w:sz w:val="22"/>
      <w:szCs w:val="20"/>
      <w:u w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80" w:lineRule="exact" w:after="100"/>
    </w:pPr>
    <w:rPr>
      <w:rFonts w:ascii="Calibri" w:hAnsi="Calibri"/>
      <w:i/>
      <w:iCs/>
      <w:color w:val="000000"/>
      <w:sz w:val="22"/>
      <w:u w:val="non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 w:after="100"/>
    </w:pPr>
    <w:rPr>
      <w:rFonts w:ascii="Calibri" w:hAnsi="Calibri"/>
      <w:b/>
      <w:bCs/>
      <w:color w:val="000000"/>
      <w:sz w:val="22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80" w:lineRule="exact"/>
      <w:ind w:left="936" w:right="936"/>
    </w:pPr>
    <w:rPr>
      <w:rFonts w:ascii="Calibri" w:hAnsi="Calibri"/>
      <w:b/>
      <w:bCs/>
      <w:i/>
      <w:iCs/>
      <w:color w:val="000000"/>
      <w:sz w:val="22"/>
      <w:u w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80" w:lineRule="exact" w:after="100"/>
      <w:outlineLvl w:val="9"/>
    </w:pPr>
    <w:rPr>
      <w:rFonts w:ascii="Calibri" w:hAnsi="Calibri"/>
      <w:color w:val="000000"/>
      <w:sz w:val="22"/>
      <w:u w:val="non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Enfrai/800.2_English_Learning_Class/issues/34" TargetMode="External"/><Relationship Id="rId11" Type="http://schemas.openxmlformats.org/officeDocument/2006/relationships/hyperlink" Target="https://github.com/Enfrai/800.2_English_Learning_Class/issues/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Ako Milestones and Delivery Plan</dc:title>
  <dc:subject/>
  <dc:creator>Ako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