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Sprint 3 Retrospective</w:t>
      </w:r>
    </w:p>
    <w:p>
      <w:r>
        <w:t>Ako MSE800  |  Sprint 3  |  24–28 October 2026 (project reporting period)  |  Jira snapshot: 29 October 2026</w:t>
      </w:r>
    </w:p>
    <w:p>
      <w:pPr>
        <w:pStyle w:val="Heading1"/>
      </w:pPr>
      <w:r>
        <w:t>1. Sprint Overview</w:t>
      </w:r>
    </w:p>
    <w:p>
      <w:r>
        <w:t>Sprint goal: Implement lesson management and Māori content review, complete attendance reporting, and integrate and test the MVP and other features.</w:t>
      </w:r>
    </w:p>
    <w:p>
      <w:r>
        <w:t>All 14 User Stories associated with Sprint 3 were marked Done as of 29 October 2026, achieving a 100% completion rate. Sprint 3 was intentionally kept Active in Jira so that the team could continue viewing project information in the Backlog and Board. This reporting arrangement did not indicate outstanding development work. The Sprint included Stories carried over from Sprint 2.</w:t>
      </w:r>
    </w:p>
    <w:tbl>
      <w:tblPr>
        <w:tblStyle w:val="LightShading-Accent1"/>
        <w:tblW w:type="auto" w:w="0"/>
        <w:tblLook w:firstColumn="1" w:firstRow="1" w:lastColumn="0" w:lastRow="0" w:noHBand="0" w:noVBand="1" w:val="04A0"/>
      </w:tblPr>
      <w:tblGrid>
        <w:gridCol w:w="2880"/>
        <w:gridCol w:w="2880"/>
        <w:gridCol w:w="2880"/>
      </w:tblGrid>
      <w:tr>
        <w:tc>
          <w:tcPr>
            <w:tcW w:type="dxa" w:w="2880"/>
          </w:tcPr>
          <w:p>
            <w:pPr>
              <w:spacing w:after="0"/>
            </w:pPr>
            <w:r>
              <w:t>Metric</w:t>
            </w:r>
          </w:p>
        </w:tc>
        <w:tc>
          <w:tcPr>
            <w:tcW w:type="dxa" w:w="2880"/>
          </w:tcPr>
          <w:p>
            <w:pPr>
              <w:spacing w:after="0"/>
            </w:pPr>
            <w:r>
              <w:t>Value</w:t>
            </w:r>
          </w:p>
        </w:tc>
        <w:tc>
          <w:tcPr>
            <w:tcW w:type="dxa" w:w="2880"/>
          </w:tcPr>
          <w:p>
            <w:pPr>
              <w:spacing w:after="0"/>
            </w:pPr>
            <w:r>
              <w:t>Basis</w:t>
            </w:r>
          </w:p>
        </w:tc>
      </w:tr>
      <w:tr>
        <w:tc>
          <w:tcPr>
            <w:tcW w:type="dxa" w:w="2880"/>
          </w:tcPr>
          <w:p>
            <w:pPr>
              <w:spacing w:after="0"/>
            </w:pPr>
            <w:r>
              <w:t>Stories</w:t>
            </w:r>
          </w:p>
        </w:tc>
        <w:tc>
          <w:tcPr>
            <w:tcW w:type="dxa" w:w="2880"/>
          </w:tcPr>
          <w:p>
            <w:pPr>
              <w:spacing w:after="0"/>
            </w:pPr>
            <w:r>
              <w:t>14</w:t>
            </w:r>
          </w:p>
        </w:tc>
        <w:tc>
          <w:tcPr>
            <w:tcW w:type="dxa" w:w="2880"/>
          </w:tcPr>
          <w:p>
            <w:pPr>
              <w:spacing w:after="0"/>
            </w:pPr>
            <w:r>
              <w:t>Associated with Sprint 3</w:t>
            </w:r>
          </w:p>
        </w:tc>
      </w:tr>
      <w:tr>
        <w:tc>
          <w:tcPr>
            <w:tcW w:type="dxa" w:w="2880"/>
          </w:tcPr>
          <w:p>
            <w:pPr>
              <w:spacing w:after="0"/>
            </w:pPr>
            <w:r>
              <w:t>Done</w:t>
            </w:r>
          </w:p>
        </w:tc>
        <w:tc>
          <w:tcPr>
            <w:tcW w:type="dxa" w:w="2880"/>
          </w:tcPr>
          <w:p>
            <w:pPr>
              <w:spacing w:after="0"/>
            </w:pPr>
            <w:r>
              <w:t>14</w:t>
            </w:r>
          </w:p>
        </w:tc>
        <w:tc>
          <w:tcPr>
            <w:tcW w:type="dxa" w:w="2880"/>
          </w:tcPr>
          <w:p>
            <w:r>
              <w:t>29 Oct Jira record</w:t>
            </w:r>
          </w:p>
        </w:tc>
      </w:tr>
      <w:tr>
        <w:tc>
          <w:tcPr>
            <w:tcW w:type="dxa" w:w="2880"/>
          </w:tcPr>
          <w:p>
            <w:pPr>
              <w:spacing w:after="0"/>
            </w:pPr>
            <w:r>
              <w:t>Completion rate</w:t>
            </w:r>
          </w:p>
        </w:tc>
        <w:tc>
          <w:tcPr>
            <w:tcW w:type="dxa" w:w="2880"/>
          </w:tcPr>
          <w:p>
            <w:pPr>
              <w:spacing w:after="0"/>
            </w:pPr>
            <w:r>
              <w:t>100%</w:t>
            </w:r>
          </w:p>
        </w:tc>
        <w:tc>
          <w:tcPr>
            <w:tcW w:type="dxa" w:w="2880"/>
          </w:tcPr>
          <w:p>
            <w:r>
              <w:t>All 14 Stories Done as of 29 Oct</w:t>
            </w:r>
          </w:p>
        </w:tc>
      </w:tr>
      <w:tr>
        <w:tc>
          <w:tcPr>
            <w:tcW w:type="dxa" w:w="2880"/>
          </w:tcPr>
          <w:p>
            <w:pPr>
              <w:spacing w:after="0"/>
            </w:pPr>
            <w:r>
              <w:t>Incomplete</w:t>
            </w:r>
          </w:p>
        </w:tc>
        <w:tc>
          <w:tcPr>
            <w:tcW w:type="dxa" w:w="2880"/>
          </w:tcPr>
          <w:p>
            <w:pPr>
              <w:spacing w:after="0"/>
            </w:pPr>
            <w:r>
              <w:t>0</w:t>
            </w:r>
          </w:p>
        </w:tc>
        <w:tc>
          <w:tcPr>
            <w:tcW w:type="dxa" w:w="2880"/>
          </w:tcPr>
          <w:p>
            <w:r>
              <w:t>29 Oct Jira record</w:t>
            </w:r>
          </w:p>
        </w:tc>
      </w:tr>
      <w:tr>
        <w:tc>
          <w:tcPr>
            <w:tcW w:type="dxa" w:w="2880"/>
          </w:tcPr>
          <w:p>
            <w:pPr>
              <w:spacing w:after="0"/>
            </w:pPr>
            <w:r>
              <w:t>Sprint state</w:t>
            </w:r>
          </w:p>
        </w:tc>
        <w:tc>
          <w:tcPr>
            <w:tcW w:type="dxa" w:w="2880"/>
          </w:tcPr>
          <w:p>
            <w:pPr>
              <w:spacing w:after="0"/>
            </w:pPr>
            <w:r>
              <w:t>Active</w:t>
            </w:r>
          </w:p>
        </w:tc>
        <w:tc>
          <w:tcPr>
            <w:tcW w:type="dxa" w:w="2880"/>
          </w:tcPr>
          <w:p>
            <w:r>
              <w:t>Intentionally retained for Backlog/Board reporting</w:t>
            </w:r>
          </w:p>
        </w:tc>
      </w:tr>
    </w:tbl>
    <w:p>
      <w:pPr>
        <w:pStyle w:val="Heading1"/>
      </w:pPr>
      <w:r>
        <w:t>2. Final Story Status (29 October 2026)</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pPr>
              <w:spacing w:after="0"/>
            </w:pPr>
            <w:r>
              <w:t>Issue</w:t>
            </w:r>
          </w:p>
        </w:tc>
        <w:tc>
          <w:tcPr>
            <w:tcW w:type="dxa" w:w="2160"/>
          </w:tcPr>
          <w:p>
            <w:pPr>
              <w:spacing w:after="0"/>
            </w:pPr>
            <w:r>
              <w:t>User story</w:t>
            </w:r>
          </w:p>
        </w:tc>
        <w:tc>
          <w:tcPr>
            <w:tcW w:type="dxa" w:w="2160"/>
          </w:tcPr>
          <w:p>
            <w:pPr>
              <w:spacing w:after="0"/>
            </w:pPr>
            <w:r>
              <w:t>Owner</w:t>
            </w:r>
          </w:p>
        </w:tc>
        <w:tc>
          <w:tcPr>
            <w:tcW w:type="dxa" w:w="2160"/>
          </w:tcPr>
          <w:p>
            <w:pPr>
              <w:spacing w:after="0"/>
            </w:pPr>
            <w:r>
              <w:t>Current status</w:t>
            </w:r>
          </w:p>
        </w:tc>
      </w:tr>
      <w:tr>
        <w:tc>
          <w:tcPr>
            <w:tcW w:type="dxa" w:w="2160"/>
          </w:tcPr>
          <w:p>
            <w:pPr>
              <w:spacing w:after="0"/>
            </w:pPr>
            <w:r>
              <w:t>AKO-11</w:t>
            </w:r>
          </w:p>
        </w:tc>
        <w:tc>
          <w:tcPr>
            <w:tcW w:type="dxa" w:w="2160"/>
          </w:tcPr>
          <w:p>
            <w:pPr>
              <w:spacing w:after="0"/>
            </w:pPr>
            <w:r>
              <w:t>US-014 Manage class sessions</w:t>
            </w:r>
          </w:p>
        </w:tc>
        <w:tc>
          <w:tcPr>
            <w:tcW w:type="dxa" w:w="2160"/>
          </w:tcPr>
          <w:p>
            <w:pPr>
              <w:spacing w:after="0"/>
            </w:pPr>
            <w:r>
              <w:t>Michael / Shuohui Liu</w:t>
            </w:r>
          </w:p>
        </w:tc>
        <w:tc>
          <w:tcPr>
            <w:tcW w:type="dxa" w:w="2160"/>
          </w:tcPr>
          <w:p>
            <w:pPr>
              <w:spacing w:after="0"/>
            </w:pPr>
            <w:r>
              <w:t>Done</w:t>
            </w:r>
          </w:p>
        </w:tc>
      </w:tr>
      <w:tr>
        <w:tc>
          <w:tcPr>
            <w:tcW w:type="dxa" w:w="2160"/>
          </w:tcPr>
          <w:p>
            <w:pPr>
              <w:spacing w:after="0"/>
            </w:pPr>
            <w:r>
              <w:t>AKO-13</w:t>
            </w:r>
          </w:p>
        </w:tc>
        <w:tc>
          <w:tcPr>
            <w:tcW w:type="dxa" w:w="2160"/>
          </w:tcPr>
          <w:p>
            <w:pPr>
              <w:spacing w:after="0"/>
            </w:pPr>
            <w:r>
              <w:t>US-005 Print attendance record</w:t>
            </w:r>
          </w:p>
        </w:tc>
        <w:tc>
          <w:tcPr>
            <w:tcW w:type="dxa" w:w="2160"/>
          </w:tcPr>
          <w:p>
            <w:pPr>
              <w:spacing w:after="0"/>
            </w:pPr>
            <w:r>
              <w:t>Michael / Shuohui Liu</w:t>
            </w:r>
          </w:p>
        </w:tc>
        <w:tc>
          <w:tcPr>
            <w:tcW w:type="dxa" w:w="2160"/>
          </w:tcPr>
          <w:p>
            <w:pPr>
              <w:spacing w:after="0"/>
            </w:pPr>
            <w:r>
              <w:t>Done</w:t>
            </w:r>
          </w:p>
        </w:tc>
      </w:tr>
      <w:tr>
        <w:tc>
          <w:tcPr>
            <w:tcW w:type="dxa" w:w="2160"/>
          </w:tcPr>
          <w:p>
            <w:pPr>
              <w:spacing w:after="0"/>
            </w:pPr>
            <w:r>
              <w:t>AKO-14</w:t>
            </w:r>
          </w:p>
        </w:tc>
        <w:tc>
          <w:tcPr>
            <w:tcW w:type="dxa" w:w="2160"/>
          </w:tcPr>
          <w:p>
            <w:pPr>
              <w:spacing w:after="0"/>
            </w:pPr>
            <w:r>
              <w:t>US-006 Create a lesson</w:t>
            </w:r>
          </w:p>
        </w:tc>
        <w:tc>
          <w:tcPr>
            <w:tcW w:type="dxa" w:w="2160"/>
          </w:tcPr>
          <w:p>
            <w:pPr>
              <w:spacing w:after="0"/>
            </w:pPr>
            <w:r>
              <w:t>Sandhya Tiwari</w:t>
            </w:r>
          </w:p>
        </w:tc>
        <w:tc>
          <w:tcPr>
            <w:tcW w:type="dxa" w:w="2160"/>
          </w:tcPr>
          <w:p>
            <w:pPr>
              <w:spacing w:after="0"/>
            </w:pPr>
            <w:r>
              <w:t>Done</w:t>
            </w:r>
          </w:p>
        </w:tc>
      </w:tr>
      <w:tr>
        <w:tc>
          <w:tcPr>
            <w:tcW w:type="dxa" w:w="2160"/>
          </w:tcPr>
          <w:p>
            <w:pPr>
              <w:spacing w:after="0"/>
            </w:pPr>
            <w:r>
              <w:t>AKO-15</w:t>
            </w:r>
          </w:p>
        </w:tc>
        <w:tc>
          <w:tcPr>
            <w:tcW w:type="dxa" w:w="2160"/>
          </w:tcPr>
          <w:p>
            <w:pPr>
              <w:spacing w:after="0"/>
            </w:pPr>
            <w:r>
              <w:t>US-008 Flag Māori content for review</w:t>
            </w:r>
          </w:p>
        </w:tc>
        <w:tc>
          <w:tcPr>
            <w:tcW w:type="dxa" w:w="2160"/>
          </w:tcPr>
          <w:p>
            <w:pPr>
              <w:spacing w:after="0"/>
            </w:pPr>
            <w:r>
              <w:t>Pei Wu</w:t>
            </w:r>
          </w:p>
        </w:tc>
        <w:tc>
          <w:tcPr>
            <w:tcW w:type="dxa" w:w="2160"/>
          </w:tcPr>
          <w:p>
            <w:pPr>
              <w:spacing w:after="0"/>
            </w:pPr>
            <w:r>
              <w:t>Done</w:t>
            </w:r>
          </w:p>
        </w:tc>
      </w:tr>
      <w:tr>
        <w:tc>
          <w:tcPr>
            <w:tcW w:type="dxa" w:w="2160"/>
          </w:tcPr>
          <w:p>
            <w:pPr>
              <w:spacing w:after="0"/>
            </w:pPr>
            <w:r>
              <w:t>AKO-16</w:t>
            </w:r>
          </w:p>
        </w:tc>
        <w:tc>
          <w:tcPr>
            <w:tcW w:type="dxa" w:w="2160"/>
          </w:tcPr>
          <w:p>
            <w:pPr>
              <w:spacing w:after="0"/>
            </w:pPr>
            <w:r>
              <w:t>US-007 Find and copy lessons</w:t>
            </w:r>
          </w:p>
        </w:tc>
        <w:tc>
          <w:tcPr>
            <w:tcW w:type="dxa" w:w="2160"/>
          </w:tcPr>
          <w:p>
            <w:pPr>
              <w:spacing w:after="0"/>
            </w:pPr>
            <w:r>
              <w:t>Sandhya Tiwari</w:t>
            </w:r>
          </w:p>
        </w:tc>
        <w:tc>
          <w:tcPr>
            <w:tcW w:type="dxa" w:w="2160"/>
          </w:tcPr>
          <w:p>
            <w:pPr>
              <w:spacing w:after="0"/>
            </w:pPr>
            <w:r>
              <w:t>Done</w:t>
            </w:r>
          </w:p>
        </w:tc>
      </w:tr>
      <w:tr>
        <w:tc>
          <w:tcPr>
            <w:tcW w:type="dxa" w:w="2160"/>
          </w:tcPr>
          <w:p>
            <w:pPr>
              <w:spacing w:after="0"/>
            </w:pPr>
            <w:r>
              <w:t>AKO-17</w:t>
            </w:r>
          </w:p>
        </w:tc>
        <w:tc>
          <w:tcPr>
            <w:tcW w:type="dxa" w:w="2160"/>
          </w:tcPr>
          <w:p>
            <w:pPr>
              <w:spacing w:after="0"/>
            </w:pPr>
            <w:r>
              <w:t>US-009 View club information</w:t>
            </w:r>
          </w:p>
        </w:tc>
        <w:tc>
          <w:tcPr>
            <w:tcW w:type="dxa" w:w="2160"/>
          </w:tcPr>
          <w:p>
            <w:pPr>
              <w:spacing w:after="0"/>
            </w:pPr>
            <w:r>
              <w:t>Sandhya Tiwari</w:t>
            </w:r>
          </w:p>
        </w:tc>
        <w:tc>
          <w:tcPr>
            <w:tcW w:type="dxa" w:w="2160"/>
          </w:tcPr>
          <w:p>
            <w:pPr>
              <w:spacing w:after="0"/>
            </w:pPr>
            <w:r>
              <w:t>Done</w:t>
            </w:r>
          </w:p>
        </w:tc>
      </w:tr>
      <w:tr>
        <w:tc>
          <w:tcPr>
            <w:tcW w:type="dxa" w:w="2160"/>
          </w:tcPr>
          <w:p>
            <w:pPr>
              <w:spacing w:after="0"/>
            </w:pPr>
            <w:r>
              <w:t>AKO-18</w:t>
            </w:r>
          </w:p>
        </w:tc>
        <w:tc>
          <w:tcPr>
            <w:tcW w:type="dxa" w:w="2160"/>
          </w:tcPr>
          <w:p>
            <w:pPr>
              <w:spacing w:after="0"/>
            </w:pPr>
            <w:r>
              <w:t>US-010 Register interest in classes</w:t>
            </w:r>
          </w:p>
        </w:tc>
        <w:tc>
          <w:tcPr>
            <w:tcW w:type="dxa" w:w="2160"/>
          </w:tcPr>
          <w:p>
            <w:pPr>
              <w:spacing w:after="0"/>
            </w:pPr>
            <w:r>
              <w:t>Leon / Huanchen Wu</w:t>
            </w:r>
          </w:p>
        </w:tc>
        <w:tc>
          <w:tcPr>
            <w:tcW w:type="dxa" w:w="2160"/>
          </w:tcPr>
          <w:p>
            <w:pPr>
              <w:spacing w:after="0"/>
            </w:pPr>
            <w:r>
              <w:t>Done</w:t>
            </w:r>
          </w:p>
        </w:tc>
      </w:tr>
      <w:tr>
        <w:tc>
          <w:tcPr>
            <w:tcW w:type="dxa" w:w="2160"/>
          </w:tcPr>
          <w:p>
            <w:pPr>
              <w:spacing w:after="0"/>
            </w:pPr>
            <w:r>
              <w:t>AKO-19</w:t>
            </w:r>
          </w:p>
        </w:tc>
        <w:tc>
          <w:tcPr>
            <w:tcW w:type="dxa" w:w="2160"/>
          </w:tcPr>
          <w:p>
            <w:pPr>
              <w:spacing w:after="0"/>
            </w:pPr>
            <w:r>
              <w:t>US-011 Open check-in with a QR code</w:t>
            </w:r>
          </w:p>
        </w:tc>
        <w:tc>
          <w:tcPr>
            <w:tcW w:type="dxa" w:w="2160"/>
          </w:tcPr>
          <w:p>
            <w:pPr>
              <w:spacing w:after="0"/>
            </w:pPr>
            <w:r>
              <w:t>Michael / Shuohui Liu</w:t>
            </w:r>
          </w:p>
        </w:tc>
        <w:tc>
          <w:tcPr>
            <w:tcW w:type="dxa" w:w="2160"/>
          </w:tcPr>
          <w:p>
            <w:pPr>
              <w:spacing w:after="0"/>
            </w:pPr>
            <w:r>
              <w:t>Done</w:t>
            </w:r>
          </w:p>
        </w:tc>
      </w:tr>
      <w:tr>
        <w:tc>
          <w:tcPr>
            <w:tcW w:type="dxa" w:w="2160"/>
          </w:tcPr>
          <w:p>
            <w:pPr>
              <w:spacing w:after="0"/>
            </w:pPr>
            <w:r>
              <w:t>AKO-20</w:t>
            </w:r>
          </w:p>
        </w:tc>
        <w:tc>
          <w:tcPr>
            <w:tcW w:type="dxa" w:w="2160"/>
          </w:tcPr>
          <w:p>
            <w:pPr>
              <w:spacing w:after="0"/>
            </w:pPr>
            <w:r>
              <w:t>US-012 Sign in by scanning the QR code</w:t>
            </w:r>
          </w:p>
        </w:tc>
        <w:tc>
          <w:tcPr>
            <w:tcW w:type="dxa" w:w="2160"/>
          </w:tcPr>
          <w:p>
            <w:pPr>
              <w:spacing w:after="0"/>
            </w:pPr>
            <w:r>
              <w:t>Pei Wu</w:t>
            </w:r>
          </w:p>
        </w:tc>
        <w:tc>
          <w:tcPr>
            <w:tcW w:type="dxa" w:w="2160"/>
          </w:tcPr>
          <w:p>
            <w:pPr>
              <w:spacing w:after="0"/>
            </w:pPr>
            <w:r>
              <w:t>Done</w:t>
            </w:r>
          </w:p>
        </w:tc>
      </w:tr>
      <w:tr>
        <w:tc>
          <w:tcPr>
            <w:tcW w:type="dxa" w:w="2160"/>
          </w:tcPr>
          <w:p>
            <w:pPr>
              <w:spacing w:after="0"/>
            </w:pPr>
            <w:r>
              <w:t>AKO-21</w:t>
            </w:r>
          </w:p>
        </w:tc>
        <w:tc>
          <w:tcPr>
            <w:tcW w:type="dxa" w:w="2160"/>
          </w:tcPr>
          <w:p>
            <w:pPr>
              <w:spacing w:after="0"/>
            </w:pPr>
            <w:r>
              <w:t>US-013 Access shared lesson materials after signing in</w:t>
            </w:r>
          </w:p>
        </w:tc>
        <w:tc>
          <w:tcPr>
            <w:tcW w:type="dxa" w:w="2160"/>
          </w:tcPr>
          <w:p>
            <w:pPr>
              <w:spacing w:after="0"/>
            </w:pPr>
            <w:r>
              <w:t>Sandhya Tiwari</w:t>
            </w:r>
          </w:p>
        </w:tc>
        <w:tc>
          <w:tcPr>
            <w:tcW w:type="dxa" w:w="2160"/>
          </w:tcPr>
          <w:p>
            <w:pPr>
              <w:spacing w:after="0"/>
            </w:pPr>
            <w:r>
              <w:t>Done</w:t>
            </w:r>
          </w:p>
        </w:tc>
      </w:tr>
      <w:tr>
        <w:tc>
          <w:tcPr>
            <w:tcW w:type="dxa" w:w="2160"/>
          </w:tcPr>
          <w:p>
            <w:pPr>
              <w:spacing w:after="0"/>
            </w:pPr>
            <w:r>
              <w:t>AKO-22</w:t>
            </w:r>
          </w:p>
        </w:tc>
        <w:tc>
          <w:tcPr>
            <w:tcW w:type="dxa" w:w="2160"/>
          </w:tcPr>
          <w:p>
            <w:pPr>
              <w:spacing w:after="0"/>
            </w:pPr>
            <w:r>
              <w:t>US-015 Correct a past attendance record</w:t>
            </w:r>
          </w:p>
        </w:tc>
        <w:tc>
          <w:tcPr>
            <w:tcW w:type="dxa" w:w="2160"/>
          </w:tcPr>
          <w:p>
            <w:pPr>
              <w:spacing w:after="0"/>
            </w:pPr>
            <w:r>
              <w:t>Pei Wu</w:t>
            </w:r>
          </w:p>
        </w:tc>
        <w:tc>
          <w:tcPr>
            <w:tcW w:type="dxa" w:w="2160"/>
          </w:tcPr>
          <w:p>
            <w:pPr>
              <w:spacing w:after="0"/>
            </w:pPr>
            <w:r>
              <w:t>Done</w:t>
            </w:r>
          </w:p>
        </w:tc>
      </w:tr>
      <w:tr>
        <w:tc>
          <w:tcPr>
            <w:tcW w:type="dxa" w:w="2160"/>
          </w:tcPr>
          <w:p>
            <w:pPr>
              <w:spacing w:after="0"/>
            </w:pPr>
            <w:r>
              <w:t>AKO-23</w:t>
            </w:r>
          </w:p>
        </w:tc>
        <w:tc>
          <w:tcPr>
            <w:tcW w:type="dxa" w:w="2160"/>
          </w:tcPr>
          <w:p>
            <w:pPr>
              <w:spacing w:after="0"/>
            </w:pPr>
            <w:r>
              <w:t>US-016 View a learner's attendance history</w:t>
            </w:r>
          </w:p>
        </w:tc>
        <w:tc>
          <w:tcPr>
            <w:tcW w:type="dxa" w:w="2160"/>
          </w:tcPr>
          <w:p>
            <w:pPr>
              <w:spacing w:after="0"/>
            </w:pPr>
            <w:r>
              <w:t>Michael / Shuohui Liu</w:t>
            </w:r>
          </w:p>
        </w:tc>
        <w:tc>
          <w:tcPr>
            <w:tcW w:type="dxa" w:w="2160"/>
          </w:tcPr>
          <w:p>
            <w:pPr>
              <w:spacing w:after="0"/>
            </w:pPr>
            <w:r>
              <w:t>Done</w:t>
            </w:r>
          </w:p>
        </w:tc>
      </w:tr>
      <w:tr>
        <w:tc>
          <w:tcPr>
            <w:tcW w:type="dxa" w:w="2160"/>
          </w:tcPr>
          <w:p>
            <w:pPr>
              <w:spacing w:after="0"/>
            </w:pPr>
            <w:r>
              <w:t>AKO-24</w:t>
            </w:r>
          </w:p>
        </w:tc>
        <w:tc>
          <w:tcPr>
            <w:tcW w:type="dxa" w:w="2160"/>
          </w:tcPr>
          <w:p>
            <w:pPr>
              <w:spacing w:after="0"/>
            </w:pPr>
            <w:r>
              <w:t>US-017 Import learners from a CSV file</w:t>
            </w:r>
          </w:p>
        </w:tc>
        <w:tc>
          <w:tcPr>
            <w:tcW w:type="dxa" w:w="2160"/>
          </w:tcPr>
          <w:p>
            <w:pPr>
              <w:spacing w:after="0"/>
            </w:pPr>
            <w:r>
              <w:t>Leon / Huanchen Wu</w:t>
            </w:r>
          </w:p>
        </w:tc>
        <w:tc>
          <w:tcPr>
            <w:tcW w:type="dxa" w:w="2160"/>
          </w:tcPr>
          <w:p>
            <w:pPr>
              <w:spacing w:after="0"/>
            </w:pPr>
            <w:r>
              <w:t>Done</w:t>
            </w:r>
          </w:p>
        </w:tc>
      </w:tr>
      <w:tr>
        <w:tc>
          <w:tcPr>
            <w:tcW w:type="dxa" w:w="2160"/>
          </w:tcPr>
          <w:p>
            <w:pPr>
              <w:spacing w:after="0"/>
            </w:pPr>
            <w:r>
              <w:t>AKO-9</w:t>
            </w:r>
          </w:p>
        </w:tc>
        <w:tc>
          <w:tcPr>
            <w:tcW w:type="dxa" w:w="2160"/>
          </w:tcPr>
          <w:p>
            <w:pPr>
              <w:spacing w:after="0"/>
            </w:pPr>
            <w:r>
              <w:t>US-002 Manage staff accounts</w:t>
            </w:r>
          </w:p>
        </w:tc>
        <w:tc>
          <w:tcPr>
            <w:tcW w:type="dxa" w:w="2160"/>
          </w:tcPr>
          <w:p>
            <w:pPr>
              <w:spacing w:after="0"/>
            </w:pPr>
            <w:r>
              <w:t>Leon / Huanchen Wu</w:t>
            </w:r>
          </w:p>
        </w:tc>
        <w:tc>
          <w:tcPr>
            <w:tcW w:type="dxa" w:w="2160"/>
          </w:tcPr>
          <w:p>
            <w:pPr>
              <w:spacing w:after="0"/>
            </w:pPr>
            <w:r>
              <w:t>Done</w:t>
            </w:r>
          </w:p>
        </w:tc>
      </w:tr>
    </w:tbl>
    <w:p>
      <w:pPr>
        <w:pStyle w:val="Heading1"/>
      </w:pPr>
      <w:r>
        <w:t>3. Statistical Findings</w:t>
      </w:r>
    </w:p>
    <w:p>
      <w:r>
        <w:t>Figure 1 — Completion split: 14 Done and 0 incomplete Stories (100% completion).</w:t>
      </w:r>
    </w:p>
    <w:p>
      <w:r>
        <w:t>Figure 2 — Cross-Sprint comparison: Sprint 1 100% based on the current Jira record, Sprint 2 50% at closure, and Sprint 3 100% as of 29 October. Sprint 3 was intentionally kept Active for reporting access.</w:t>
      </w:r>
    </w:p>
    <w:p>
      <w:r>
        <w:t>Figure 3 — Sprint 3 Story ownership: Leon / Huanchen Wu 3, Pei Wu 3, Sandhya Tiwari 4, Michael / Shuohui Liu 4. Counts describe Jira Story assignments, not equal-sized units of work.</w:t>
      </w:r>
    </w:p>
    <w:p>
      <w:r>
        <w:t>Figure 4 — Current status: Done 14, In Progress 0, In Review 0, To Do 0.</w:t>
      </w:r>
    </w:p>
    <w:p>
      <w:r>
        <w:t>Four editable charts and underlying data are provided in the accompanying Excel workbook.</w:t>
      </w:r>
    </w:p>
    <w:p>
      <w:pPr>
        <w:pStyle w:val="Heading1"/>
      </w:pPr>
      <w:r>
        <w:t>4. What Went Well</w:t>
      </w:r>
    </w:p>
    <w:p>
      <w:pPr>
        <w:pStyle w:val="ListBullet"/>
      </w:pPr>
      <w:r>
        <w:t>All 14 associated Stories reached Done status, completing the Sprint 3 development scope.</w:t>
      </w:r>
    </w:p>
    <w:p>
      <w:pPr>
        <w:pStyle w:val="ListBullet"/>
      </w:pPr>
      <w:r>
        <w:t>Outstanding work from Sprint 2 was included in Sprint 3 and progressed to Done.</w:t>
      </w:r>
    </w:p>
    <w:p>
      <w:pPr>
        <w:pStyle w:val="ListBullet"/>
      </w:pPr>
      <w:r>
        <w:t>The Sprint covered lesson and Māori-content features, attendance reporting, class registration, QR check-in, and CSV learner import.</w:t>
      </w:r>
    </w:p>
    <w:p>
      <w:pPr>
        <w:pStyle w:val="ListBullet"/>
      </w:pPr>
      <w:r>
        <w:t>Jira provides traceable ownership, Sprint membership, and current status for each Story.</w:t>
      </w:r>
    </w:p>
    <w:p>
      <w:pPr>
        <w:pStyle w:val="Heading1"/>
      </w:pPr>
      <w:r>
        <w:t>5. What Did Not Go Well</w:t>
      </w:r>
    </w:p>
    <w:p>
      <w:pPr>
        <w:pStyle w:val="ListBullet"/>
      </w:pPr>
      <w:r>
        <w:t>Three Stories associated with Sprint 3 were also associated with Sprint 2 (AKO-9, AKO-11, AKO-14), showing carry-over and dependency pressure.</w:t>
      </w:r>
    </w:p>
    <w:p>
      <w:pPr>
        <w:pStyle w:val="ListBullet"/>
      </w:pPr>
      <w:r>
        <w:t>The team kept Sprint 3 Active in Jira for convenient Backlog and Board reporting. A separate record of Sprint Review and Retrospective decisions would make the final project evidence easier to trace.</w:t>
      </w:r>
    </w:p>
    <w:p>
      <w:pPr>
        <w:pStyle w:val="ListBullet"/>
      </w:pPr>
      <w:r>
        <w:t>Jira work item counts do not measure actual effort: different Story sizes and Subtask granularity affect individual counts.</w:t>
      </w:r>
    </w:p>
    <w:p>
      <w:pPr>
        <w:pStyle w:val="Heading1"/>
      </w:pPr>
      <w:r>
        <w:t>6. Lessons Learned</w:t>
      </w:r>
    </w:p>
    <w:p>
      <w:pPr>
        <w:pStyle w:val="ListBullet"/>
      </w:pPr>
      <w:r>
        <w:t>Confirm carried-over Story scope and dependencies at Sprint planning.</w:t>
      </w:r>
    </w:p>
    <w:p>
      <w:pPr>
        <w:pStyle w:val="ListBullet"/>
      </w:pPr>
      <w:r>
        <w:t>Review integration and acceptance criteria early, particularly where one feature depends on another.</w:t>
      </w:r>
    </w:p>
    <w:p>
      <w:pPr>
        <w:pStyle w:val="ListBullet"/>
      </w:pPr>
      <w:r>
        <w:t>Document Sprint Review and Retrospective decisions separately from the Jira Sprint state, while retaining access to project reporting data.</w:t>
      </w:r>
    </w:p>
    <w:p>
      <w:pPr>
        <w:pStyle w:val="Heading1"/>
      </w:pPr>
      <w:r>
        <w:t>7. Proposed Action Items</w:t>
      </w:r>
    </w:p>
    <w:tbl>
      <w:tblPr>
        <w:tblStyle w:val="LightShading-Accent1"/>
        <w:tblW w:type="auto" w:w="0"/>
        <w:tblLook w:firstColumn="1" w:firstRow="1" w:lastColumn="0" w:lastRow="0" w:noHBand="0" w:noVBand="1" w:val="04A0"/>
      </w:tblPr>
      <w:tblGrid>
        <w:gridCol w:w="4320"/>
        <w:gridCol w:w="4320"/>
      </w:tblGrid>
      <w:tr>
        <w:tc>
          <w:tcPr>
            <w:tcW w:type="dxa" w:w="4320"/>
          </w:tcPr>
          <w:p>
            <w:pPr>
              <w:spacing w:after="0"/>
            </w:pPr>
            <w:r>
              <w:t>Action</w:t>
            </w:r>
          </w:p>
        </w:tc>
        <w:tc>
          <w:tcPr>
            <w:tcW w:type="dxa" w:w="4320"/>
          </w:tcPr>
          <w:p>
            <w:pPr>
              <w:spacing w:after="0"/>
            </w:pPr>
            <w:r>
              <w:t>Proposed owner</w:t>
            </w:r>
          </w:p>
        </w:tc>
      </w:tr>
      <w:tr>
        <w:tc>
          <w:tcPr>
            <w:tcW w:type="dxa" w:w="4320"/>
          </w:tcPr>
          <w:p>
            <w:r>
              <w:t>Archive final Sprint evidence and document retrospective decisions; retain Jira Board access</w:t>
            </w:r>
          </w:p>
        </w:tc>
        <w:tc>
          <w:tcPr>
            <w:tcW w:type="dxa" w:w="4320"/>
          </w:tcPr>
          <w:p>
            <w:pPr>
              <w:spacing w:after="0"/>
            </w:pPr>
            <w:r>
              <w:t>Leon</w:t>
            </w:r>
          </w:p>
        </w:tc>
      </w:tr>
      <w:tr>
        <w:tc>
          <w:tcPr>
            <w:tcW w:type="dxa" w:w="4320"/>
          </w:tcPr>
          <w:p>
            <w:pPr>
              <w:spacing w:after="0"/>
            </w:pPr>
            <w:r>
              <w:t>Review integration and unresolved technical dependencies</w:t>
            </w:r>
          </w:p>
        </w:tc>
        <w:tc>
          <w:tcPr>
            <w:tcW w:type="dxa" w:w="4320"/>
          </w:tcPr>
          <w:p>
            <w:pPr>
              <w:spacing w:after="0"/>
            </w:pPr>
            <w:r>
              <w:t>Michael</w:t>
            </w:r>
          </w:p>
        </w:tc>
      </w:tr>
      <w:tr>
        <w:tc>
          <w:tcPr>
            <w:tcW w:type="dxa" w:w="4320"/>
          </w:tcPr>
          <w:p>
            <w:pPr>
              <w:spacing w:after="0"/>
            </w:pPr>
            <w:r>
              <w:t>Confirm acceptance evidence and testing records</w:t>
            </w:r>
          </w:p>
        </w:tc>
        <w:tc>
          <w:tcPr>
            <w:tcW w:type="dxa" w:w="4320"/>
          </w:tcPr>
          <w:p>
            <w:pPr>
              <w:spacing w:after="0"/>
            </w:pPr>
            <w:r>
              <w:t>Pei</w:t>
            </w:r>
          </w:p>
        </w:tc>
      </w:tr>
      <w:tr>
        <w:tc>
          <w:tcPr>
            <w:tcW w:type="dxa" w:w="4320"/>
          </w:tcPr>
          <w:p>
            <w:pPr>
              <w:spacing w:after="0"/>
            </w:pPr>
            <w:r>
              <w:t>Review lesson and cultural-content feedback and requirements</w:t>
            </w:r>
          </w:p>
        </w:tc>
        <w:tc>
          <w:tcPr>
            <w:tcW w:type="dxa" w:w="4320"/>
          </w:tcPr>
          <w:p>
            <w:pPr>
              <w:spacing w:after="0"/>
            </w:pPr>
            <w:r>
              <w:t>Sandhya</w:t>
            </w:r>
          </w:p>
        </w:tc>
      </w:tr>
    </w:tbl>
    <w:p>
      <w:pPr>
        <w:pStyle w:val="Heading1"/>
      </w:pPr>
      <w:r>
        <w:t>8. Next Sprint Improvements</w:t>
      </w:r>
    </w:p>
    <w:p>
      <w:r>
        <w:t>For future iterations, establish clear carry-over criteria, agree interface dependencies before commitment, review testing readiness during the Sprint, and capture Sprint Review and Retrospective decisions. Cultural-content review should be linked to explicit acceptance criteria and consultation feedback.</w:t>
      </w:r>
    </w:p>
    <w:p>
      <w:r>
        <w:t>Evidence note: Story counts, assignees, statuses, Sprint membership and the Active Jira state are drawn from Ako_Project_History_Oct29(1).xlsx. The decision to retain Active status for Backlog and Board visibility was confirmed by the project manager. Qualitative observations and proposed actions are retrospective analysis for team validation.</w:t>
      </w:r>
    </w:p>
    <w:sectPr w:rsidR="00FC693F" w:rsidRPr="0006063C" w:rsidSect="00034616">
      <w:head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AKO MSE800  |  AGILE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